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361"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November 8, 2022.</w:t>
      </w:r>
    </w:p>
    <w:p>
      <w:pPr>
        <w:spacing w:after="0" w:line="30"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5"/>
          <w:szCs w:val="15"/>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31115</wp:posOffset>
            </wp:positionV>
            <wp:extent cx="515175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51755" cy="1460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81280</wp:posOffset>
            </wp:positionV>
            <wp:extent cx="51517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51755" cy="698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9019"/>
          </w:cols>
          <w:pgMar w:left="1440" w:top="208" w:right="1440" w:bottom="1440" w:gutter="0" w:footer="0" w:header="0"/>
        </w:sectPr>
      </w:pPr>
    </w:p>
    <w:p>
      <w:pPr>
        <w:spacing w:after="0" w:line="137"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81-0710585</w:t>
      </w:r>
    </w:p>
    <w:p>
      <w:pPr>
        <w:spacing w:after="0" w:line="121" w:lineRule="exact"/>
        <w:rPr>
          <w:sz w:val="24"/>
          <w:szCs w:val="24"/>
          <w:color w:val="auto"/>
        </w:rPr>
      </w:pPr>
    </w:p>
    <w:p>
      <w:pPr>
        <w:sectPr>
          <w:pgSz w:w="11900" w:h="16838" w:orient="portrait"/>
          <w:cols w:equalWidth="0" w:num="2">
            <w:col w:w="5540" w:space="720"/>
            <w:col w:w="2759"/>
          </w:cols>
          <w:pgMar w:left="1440" w:top="208" w:right="144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4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7" w:lineRule="exact"/>
        <w:rPr>
          <w:sz w:val="24"/>
          <w:szCs w:val="24"/>
          <w:color w:val="auto"/>
        </w:rPr>
      </w:pPr>
    </w:p>
    <w:p>
      <w:pPr>
        <w:jc w:val="center"/>
        <w:ind w:right="1779"/>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23" w:lineRule="exact"/>
        <w:rPr>
          <w:sz w:val="24"/>
          <w:szCs w:val="24"/>
          <w:color w:val="auto"/>
        </w:rPr>
      </w:pPr>
    </w:p>
    <w:p>
      <w:pPr>
        <w:sectPr>
          <w:pgSz w:w="11900" w:h="16838" w:orient="portrait"/>
          <w:cols w:equalWidth="0" w:num="2">
            <w:col w:w="5180" w:space="720"/>
            <w:col w:w="3119"/>
          </w:cols>
          <w:pgMar w:left="1440" w:top="208"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100 Technology Square</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Sixth Floor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Cambridge, MA 02139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ectPr>
          <w:pgSz w:w="11900" w:h="16838" w:orient="portrait"/>
          <w:cols w:equalWidth="0" w:num="1">
            <w:col w:w="9019"/>
          </w:cols>
          <w:pgMar w:left="1440" w:top="208" w:right="1440" w:bottom="1440" w:gutter="0" w:footer="0" w:header="0"/>
          <w:type w:val="continuous"/>
        </w:sectPr>
      </w:pP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(617) 914-8420</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Geoff MacKay</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100 Technology Square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Sixth Floor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Cambridge, MA 02139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(617) 914-8420</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00" w:lineRule="exact"/>
        <w:rPr>
          <w:sz w:val="24"/>
          <w:szCs w:val="24"/>
          <w:color w:val="auto"/>
        </w:rPr>
      </w:pPr>
    </w:p>
    <w:tbl>
      <w:tblPr>
        <w:tblLayout w:type="fixed"/>
        <w:tblInd w:w="1600" w:type="dxa"/>
        <w:tblCellMar>
          <w:top w:w="0" w:type="dxa"/>
          <w:left w:w="0" w:type="dxa"/>
          <w:bottom w:w="0" w:type="dxa"/>
          <w:right w:w="0" w:type="dxa"/>
        </w:tblCellMar>
      </w:tblPr>
      <w:tr>
        <w:trPr>
          <w:trHeight w:val="178"/>
        </w:trPr>
        <w:tc>
          <w:tcPr>
            <w:tcW w:w="2080" w:type="dxa"/>
            <w:vAlign w:val="bottom"/>
          </w:tcPr>
          <w:p>
            <w:pPr>
              <w:spacing w:after="0"/>
              <w:rPr>
                <w:sz w:val="15"/>
                <w:szCs w:val="15"/>
                <w:color w:val="auto"/>
              </w:rPr>
            </w:pPr>
          </w:p>
        </w:tc>
        <w:tc>
          <w:tcPr>
            <w:tcW w:w="38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tc>
      </w:tr>
      <w:tr>
        <w:trPr>
          <w:trHeight w:val="306"/>
        </w:trPr>
        <w:tc>
          <w:tcPr>
            <w:tcW w:w="208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5"/>
              </w:rPr>
              <w:t>Mitchell Bloom, Esq.</w:t>
            </w:r>
          </w:p>
        </w:tc>
        <w:tc>
          <w:tcPr>
            <w:tcW w:w="3860" w:type="dxa"/>
            <w:vAlign w:val="bottom"/>
          </w:tcPr>
          <w:p>
            <w:pPr>
              <w:jc w:val="center"/>
              <w:ind w:left="1872"/>
              <w:spacing w:after="0"/>
              <w:rPr>
                <w:sz w:val="20"/>
                <w:szCs w:val="20"/>
                <w:color w:val="auto"/>
              </w:rPr>
            </w:pPr>
            <w:r>
              <w:rPr>
                <w:rFonts w:ascii="Times New Roman" w:cs="Times New Roman" w:eastAsia="Times New Roman" w:hAnsi="Times New Roman"/>
                <w:sz w:val="14"/>
                <w:szCs w:val="14"/>
                <w:b w:val="1"/>
                <w:bCs w:val="1"/>
                <w:color w:val="auto"/>
                <w:w w:val="95"/>
              </w:rPr>
              <w:t>Erik Ostrowski</w:t>
            </w:r>
          </w:p>
        </w:tc>
      </w:tr>
      <w:tr>
        <w:trPr>
          <w:trHeight w:val="169"/>
        </w:trPr>
        <w:tc>
          <w:tcPr>
            <w:tcW w:w="208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5"/>
              </w:rPr>
              <w:t>James Xu, Esq.</w:t>
            </w:r>
          </w:p>
        </w:tc>
        <w:tc>
          <w:tcPr>
            <w:tcW w:w="3860" w:type="dxa"/>
            <w:vAlign w:val="bottom"/>
          </w:tcPr>
          <w:p>
            <w:pPr>
              <w:jc w:val="center"/>
              <w:ind w:left="1872"/>
              <w:spacing w:after="0"/>
              <w:rPr>
                <w:sz w:val="20"/>
                <w:szCs w:val="20"/>
                <w:color w:val="auto"/>
              </w:rPr>
            </w:pPr>
            <w:r>
              <w:rPr>
                <w:rFonts w:ascii="Times New Roman" w:cs="Times New Roman" w:eastAsia="Times New Roman" w:hAnsi="Times New Roman"/>
                <w:sz w:val="14"/>
                <w:szCs w:val="14"/>
                <w:b w:val="1"/>
                <w:bCs w:val="1"/>
                <w:color w:val="auto"/>
                <w:w w:val="94"/>
              </w:rPr>
              <w:t>AVROBIO, Inc.</w:t>
            </w:r>
          </w:p>
        </w:tc>
      </w:tr>
      <w:tr>
        <w:trPr>
          <w:trHeight w:val="169"/>
        </w:trPr>
        <w:tc>
          <w:tcPr>
            <w:tcW w:w="208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5"/>
              </w:rPr>
              <w:t>Goodwin Procter LLP</w:t>
            </w:r>
          </w:p>
        </w:tc>
        <w:tc>
          <w:tcPr>
            <w:tcW w:w="3860" w:type="dxa"/>
            <w:vAlign w:val="bottom"/>
          </w:tcPr>
          <w:p>
            <w:pPr>
              <w:jc w:val="center"/>
              <w:ind w:left="1852"/>
              <w:spacing w:after="0"/>
              <w:rPr>
                <w:sz w:val="20"/>
                <w:szCs w:val="20"/>
                <w:color w:val="auto"/>
              </w:rPr>
            </w:pPr>
            <w:r>
              <w:rPr>
                <w:rFonts w:ascii="Times New Roman" w:cs="Times New Roman" w:eastAsia="Times New Roman" w:hAnsi="Times New Roman"/>
                <w:sz w:val="14"/>
                <w:szCs w:val="14"/>
                <w:b w:val="1"/>
                <w:bCs w:val="1"/>
                <w:color w:val="auto"/>
                <w:w w:val="95"/>
              </w:rPr>
              <w:t>100 Technology Square</w:t>
            </w:r>
          </w:p>
        </w:tc>
      </w:tr>
      <w:tr>
        <w:trPr>
          <w:trHeight w:val="169"/>
        </w:trPr>
        <w:tc>
          <w:tcPr>
            <w:tcW w:w="208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6"/>
              </w:rPr>
              <w:t>100 Northern Avenue</w:t>
            </w:r>
          </w:p>
        </w:tc>
        <w:tc>
          <w:tcPr>
            <w:tcW w:w="3860" w:type="dxa"/>
            <w:vAlign w:val="bottom"/>
          </w:tcPr>
          <w:p>
            <w:pPr>
              <w:jc w:val="center"/>
              <w:ind w:left="1872"/>
              <w:spacing w:after="0"/>
              <w:rPr>
                <w:sz w:val="20"/>
                <w:szCs w:val="20"/>
                <w:color w:val="auto"/>
              </w:rPr>
            </w:pPr>
            <w:r>
              <w:rPr>
                <w:rFonts w:ascii="Times New Roman" w:cs="Times New Roman" w:eastAsia="Times New Roman" w:hAnsi="Times New Roman"/>
                <w:sz w:val="14"/>
                <w:szCs w:val="14"/>
                <w:b w:val="1"/>
                <w:bCs w:val="1"/>
                <w:color w:val="auto"/>
                <w:w w:val="95"/>
              </w:rPr>
              <w:t>Sixth Floor</w:t>
            </w:r>
          </w:p>
        </w:tc>
      </w:tr>
      <w:tr>
        <w:trPr>
          <w:trHeight w:val="169"/>
        </w:trPr>
        <w:tc>
          <w:tcPr>
            <w:tcW w:w="208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7"/>
              </w:rPr>
              <w:t>Boston, Massachusetts 02210</w:t>
            </w:r>
          </w:p>
        </w:tc>
        <w:tc>
          <w:tcPr>
            <w:tcW w:w="3860" w:type="dxa"/>
            <w:vAlign w:val="bottom"/>
          </w:tcPr>
          <w:p>
            <w:pPr>
              <w:jc w:val="center"/>
              <w:ind w:left="1872"/>
              <w:spacing w:after="0"/>
              <w:rPr>
                <w:sz w:val="20"/>
                <w:szCs w:val="20"/>
                <w:color w:val="auto"/>
              </w:rPr>
            </w:pPr>
            <w:r>
              <w:rPr>
                <w:rFonts w:ascii="Times New Roman" w:cs="Times New Roman" w:eastAsia="Times New Roman" w:hAnsi="Times New Roman"/>
                <w:sz w:val="14"/>
                <w:szCs w:val="14"/>
                <w:b w:val="1"/>
                <w:bCs w:val="1"/>
                <w:color w:val="auto"/>
                <w:w w:val="96"/>
              </w:rPr>
              <w:t>Cambridge, Massachusetts 02139</w:t>
            </w:r>
          </w:p>
        </w:tc>
      </w:tr>
      <w:tr>
        <w:trPr>
          <w:trHeight w:val="178"/>
        </w:trPr>
        <w:tc>
          <w:tcPr>
            <w:tcW w:w="208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5"/>
              </w:rPr>
              <w:t>(617) 570-1000</w:t>
            </w:r>
          </w:p>
        </w:tc>
        <w:tc>
          <w:tcPr>
            <w:tcW w:w="3860" w:type="dxa"/>
            <w:vAlign w:val="bottom"/>
          </w:tcPr>
          <w:p>
            <w:pPr>
              <w:jc w:val="center"/>
              <w:ind w:left="1872"/>
              <w:spacing w:after="0"/>
              <w:rPr>
                <w:sz w:val="20"/>
                <w:szCs w:val="20"/>
                <w:color w:val="auto"/>
              </w:rPr>
            </w:pPr>
            <w:r>
              <w:rPr>
                <w:rFonts w:ascii="Times New Roman" w:cs="Times New Roman" w:eastAsia="Times New Roman" w:hAnsi="Times New Roman"/>
                <w:sz w:val="14"/>
                <w:szCs w:val="14"/>
                <w:b w:val="1"/>
                <w:bCs w:val="1"/>
                <w:color w:val="auto"/>
                <w:w w:val="95"/>
              </w:rPr>
              <w:t>(617) 914-8420</w:t>
            </w:r>
          </w:p>
        </w:tc>
      </w:tr>
    </w:tbl>
    <w:p>
      <w:pPr>
        <w:spacing w:after="0" w:line="13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57" w:lineRule="exact"/>
        <w:rPr>
          <w:sz w:val="24"/>
          <w:szCs w:val="24"/>
          <w:color w:val="auto"/>
        </w:rPr>
      </w:pPr>
    </w:p>
    <w:p>
      <w:pPr>
        <w:ind w:left="440" w:right="599"/>
        <w:spacing w:after="0" w:line="179"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6" w:lineRule="exact"/>
        <w:rPr>
          <w:sz w:val="24"/>
          <w:szCs w:val="24"/>
          <w:color w:val="auto"/>
        </w:rPr>
      </w:pPr>
    </w:p>
    <w:p>
      <w:pPr>
        <w:ind w:left="440" w:right="519"/>
        <w:spacing w:after="0" w:line="179"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27" w:lineRule="exact"/>
        <w:rPr>
          <w:sz w:val="24"/>
          <w:szCs w:val="24"/>
          <w:color w:val="auto"/>
        </w:rPr>
      </w:pPr>
    </w:p>
    <w:p>
      <w:pPr>
        <w:ind w:left="440" w:right="599"/>
        <w:spacing w:after="0" w:line="179"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6" w:lineRule="exact"/>
        <w:rPr>
          <w:sz w:val="24"/>
          <w:szCs w:val="24"/>
          <w:color w:val="auto"/>
        </w:rPr>
      </w:pPr>
    </w:p>
    <w:p>
      <w:pPr>
        <w:ind w:left="440" w:right="539"/>
        <w:spacing w:after="0" w:line="17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6" w:lineRule="exact"/>
        <w:rPr>
          <w:sz w:val="24"/>
          <w:szCs w:val="24"/>
          <w:color w:val="auto"/>
        </w:rPr>
      </w:pPr>
    </w:p>
    <w:p>
      <w:pPr>
        <w:ind w:left="440" w:right="659"/>
        <w:spacing w:after="0" w:line="179"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6" w:lineRule="exact"/>
        <w:rPr>
          <w:sz w:val="24"/>
          <w:szCs w:val="24"/>
          <w:color w:val="auto"/>
        </w:rPr>
      </w:pPr>
    </w:p>
    <w:p>
      <w:pPr>
        <w:ind w:left="440" w:right="459"/>
        <w:spacing w:after="0" w:line="17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6" w:lineRule="exact"/>
        <w:rPr>
          <w:sz w:val="24"/>
          <w:szCs w:val="24"/>
          <w:color w:val="auto"/>
        </w:rPr>
      </w:pPr>
    </w:p>
    <w:p>
      <w:pPr>
        <w:ind w:left="440" w:right="459"/>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440" w:type="dxa"/>
        <w:tblCellMar>
          <w:top w:w="0" w:type="dxa"/>
          <w:left w:w="0" w:type="dxa"/>
          <w:bottom w:w="0" w:type="dxa"/>
          <w:right w:w="0" w:type="dxa"/>
        </w:tblCellMar>
      </w:tblP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5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Accelerated filer</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5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2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6" w:lineRule="exact"/>
        <w:rPr>
          <w:sz w:val="24"/>
          <w:szCs w:val="24"/>
          <w:color w:val="auto"/>
        </w:rPr>
      </w:pPr>
    </w:p>
    <w:p>
      <w:pPr>
        <w:ind w:left="440" w:right="519"/>
        <w:spacing w:after="0" w:line="17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7" w:lineRule="exact"/>
        <w:rPr>
          <w:sz w:val="24"/>
          <w:szCs w:val="24"/>
          <w:color w:val="auto"/>
        </w:rPr>
      </w:pPr>
    </w:p>
    <w:p>
      <w:pPr>
        <w:ind w:left="440" w:right="459"/>
        <w:spacing w:after="0" w:line="311"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257175</wp:posOffset>
            </wp:positionV>
            <wp:extent cx="583819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38190" cy="1460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99695</wp:posOffset>
            </wp:positionV>
            <wp:extent cx="51517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51755" cy="698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149860</wp:posOffset>
            </wp:positionV>
            <wp:extent cx="515175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51755" cy="14605"/>
                    </a:xfrm>
                    <a:prstGeom prst="rect">
                      <a:avLst/>
                    </a:prstGeom>
                    <a:noFill/>
                  </pic:spPr>
                </pic:pic>
              </a:graphicData>
            </a:graphic>
          </wp:anchor>
        </w:drawing>
      </w:r>
    </w:p>
    <w:p>
      <w:pPr>
        <w:sectPr>
          <w:pgSz w:w="11900" w:h="16838" w:orient="portrait"/>
          <w:cols w:equalWidth="0" w:num="1">
            <w:col w:w="9019"/>
          </w:cols>
          <w:pgMar w:left="1440" w:top="208" w:right="1440" w:bottom="1440" w:gutter="0" w:footer="0" w:header="0"/>
          <w:type w:val="continuous"/>
        </w:sectPr>
      </w:pPr>
    </w:p>
    <w:bookmarkStart w:id="1" w:name="page2"/>
    <w:bookmarkEnd w:id="1"/>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This registration statement contains two prospectuses:</w:t>
      </w:r>
    </w:p>
    <w:p>
      <w:pPr>
        <w:spacing w:after="0" w:line="98" w:lineRule="exact"/>
        <w:rPr>
          <w:sz w:val="20"/>
          <w:szCs w:val="20"/>
          <w:color w:val="auto"/>
        </w:rPr>
      </w:pPr>
    </w:p>
    <w:p>
      <w:pPr>
        <w:ind w:left="1580" w:right="1299" w:hanging="291"/>
        <w:spacing w:after="0" w:line="265" w:lineRule="auto"/>
        <w:tabs>
          <w:tab w:leader="none" w:pos="158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base prospectus which covers the offering, issuance and sale by us of up to $250,000,000 in the aggregate of the securities identified above from time to time, subject to market conditions and prices, liquidity objectives and other investment considerations; and</w:t>
      </w:r>
    </w:p>
    <w:p>
      <w:pPr>
        <w:spacing w:after="0" w:line="59" w:lineRule="exact"/>
        <w:rPr>
          <w:rFonts w:ascii="Times New Roman" w:cs="Times New Roman" w:eastAsia="Times New Roman" w:hAnsi="Times New Roman"/>
          <w:sz w:val="15"/>
          <w:szCs w:val="15"/>
          <w:color w:val="auto"/>
        </w:rPr>
      </w:pPr>
    </w:p>
    <w:p>
      <w:pPr>
        <w:ind w:left="1580" w:right="1059" w:hanging="291"/>
        <w:spacing w:after="0" w:line="265" w:lineRule="auto"/>
        <w:tabs>
          <w:tab w:leader="none" w:pos="158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sales agreement prospectus covering the offering, issuance and sale by us of up to a maximum aggregate offering price of $50,000,000 of our common stock that may be issued and sold under a Sales Agreement entered into with Cowen and Company, LLC.</w:t>
      </w:r>
    </w:p>
    <w:p>
      <w:pPr>
        <w:spacing w:after="0" w:line="60" w:lineRule="exact"/>
        <w:rPr>
          <w:sz w:val="20"/>
          <w:szCs w:val="20"/>
          <w:color w:val="auto"/>
        </w:rPr>
      </w:pPr>
    </w:p>
    <w:p>
      <w:pPr>
        <w:ind w:left="980" w:right="1039"/>
        <w:spacing w:after="0" w:line="253" w:lineRule="auto"/>
        <w:rPr>
          <w:sz w:val="20"/>
          <w:szCs w:val="20"/>
          <w:color w:val="auto"/>
        </w:rPr>
      </w:pPr>
      <w:r>
        <w:rPr>
          <w:rFonts w:ascii="Times New Roman" w:cs="Times New Roman" w:eastAsia="Times New Roman" w:hAnsi="Times New Roman"/>
          <w:sz w:val="15"/>
          <w:szCs w:val="15"/>
          <w:color w:val="auto"/>
        </w:rPr>
        <w:t>The base prospectus immediately follows this explanatory note. The specific terms of any securities to be offered by us pursuant to the base prospectus will be specified in a prospectus supplement to the base prospectus. The specific terms of the securities to be issued and sold under the Sales Agreement are specified in the sales agreement prospectus that immediately follows the base prospectus. The $50,000,000 of common stock that may be offered, issued and sold under the sales agreement prospectus is included in the $250,000,000 of securities that may be offered, issued and sold by us pursuant to this registration statement. Upon termination of the Sales Agreement with Cowen and Company, LLC, any portion of the $50,000,000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$250,000,000 of securities may be sold in other offerings by us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98425</wp:posOffset>
            </wp:positionV>
            <wp:extent cx="583819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 w:name="page3"/>
    <w:bookmarkEnd w:id="2"/>
    <w:p>
      <w:pPr>
        <w:ind w:left="10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080" w:right="1179"/>
        <w:spacing w:after="0" w:line="250" w:lineRule="auto"/>
        <w:rPr>
          <w:sz w:val="20"/>
          <w:szCs w:val="20"/>
          <w:color w:val="auto"/>
        </w:rPr>
      </w:pPr>
      <w:r>
        <w:rPr>
          <w:rFonts w:ascii="Arial" w:cs="Arial" w:eastAsia="Arial" w:hAnsi="Arial"/>
          <w:sz w:val="15"/>
          <w:szCs w:val="15"/>
          <w:b w:val="1"/>
          <w:bCs w:val="1"/>
          <w:color w:val="FC0014"/>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224" w:lineRule="exact"/>
        <w:rPr>
          <w:sz w:val="20"/>
          <w:szCs w:val="20"/>
          <w:color w:val="auto"/>
        </w:rPr>
      </w:pPr>
    </w:p>
    <w:p>
      <w:pPr>
        <w:ind w:left="1080"/>
        <w:spacing w:after="0"/>
        <w:tabs>
          <w:tab w:leader="none" w:pos="6340" w:val="left"/>
        </w:tabs>
        <w:rPr>
          <w:sz w:val="20"/>
          <w:szCs w:val="20"/>
          <w:color w:val="auto"/>
        </w:rPr>
      </w:pPr>
      <w:r>
        <w:rPr>
          <w:rFonts w:ascii="Times New Roman" w:cs="Times New Roman" w:eastAsia="Times New Roman" w:hAnsi="Times New Roman"/>
          <w:sz w:val="15"/>
          <w:szCs w:val="15"/>
          <w:b w:val="1"/>
          <w:bCs w:val="1"/>
          <w:color w:val="FC0014"/>
        </w:rPr>
        <w:t>Subject to Completion</w:t>
      </w:r>
      <w:r>
        <w:rPr>
          <w:sz w:val="20"/>
          <w:szCs w:val="20"/>
          <w:color w:val="auto"/>
        </w:rPr>
        <w:tab/>
      </w:r>
      <w:r>
        <w:rPr>
          <w:rFonts w:ascii="Times New Roman" w:cs="Times New Roman" w:eastAsia="Times New Roman" w:hAnsi="Times New Roman"/>
          <w:sz w:val="14"/>
          <w:szCs w:val="14"/>
          <w:b w:val="1"/>
          <w:bCs w:val="1"/>
          <w:color w:val="FC0014"/>
        </w:rPr>
        <w:t>Dated November 8, 2022</w:t>
      </w:r>
    </w:p>
    <w:p>
      <w:pPr>
        <w:spacing w:after="0" w:line="3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152400</wp:posOffset>
            </wp:positionV>
            <wp:extent cx="1939290" cy="457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9290"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 </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$250,000,000</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Warrants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Units</w:t>
      </w:r>
    </w:p>
    <w:p>
      <w:pPr>
        <w:spacing w:after="0" w:line="78" w:lineRule="exact"/>
        <w:rPr>
          <w:sz w:val="20"/>
          <w:szCs w:val="20"/>
          <w:color w:val="auto"/>
        </w:rPr>
      </w:pPr>
    </w:p>
    <w:p>
      <w:pPr>
        <w:ind w:left="1080" w:right="1119"/>
        <w:spacing w:after="0" w:line="285" w:lineRule="auto"/>
        <w:rPr>
          <w:sz w:val="20"/>
          <w:szCs w:val="20"/>
          <w:color w:val="auto"/>
        </w:rPr>
      </w:pPr>
      <w:r>
        <w:rPr>
          <w:rFonts w:ascii="Times New Roman" w:cs="Times New Roman" w:eastAsia="Times New Roman" w:hAnsi="Times New Roman"/>
          <w:sz w:val="14"/>
          <w:szCs w:val="14"/>
          <w:color w:val="auto"/>
        </w:rPr>
        <w:t>We may from time to time issue, in one or more series or classes, up to $250,000,000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and any related free writing prospectus.</w:t>
      </w:r>
    </w:p>
    <w:p>
      <w:pPr>
        <w:spacing w:after="0" w:line="47" w:lineRule="exact"/>
        <w:rPr>
          <w:sz w:val="20"/>
          <w:szCs w:val="20"/>
          <w:color w:val="auto"/>
        </w:rPr>
      </w:pPr>
    </w:p>
    <w:p>
      <w:pPr>
        <w:ind w:left="1080" w:right="1279"/>
        <w:spacing w:after="0" w:line="255" w:lineRule="auto"/>
        <w:rPr>
          <w:sz w:val="20"/>
          <w:szCs w:val="20"/>
          <w:color w:val="auto"/>
        </w:rPr>
      </w:pPr>
      <w:r>
        <w:rPr>
          <w:rFonts w:ascii="Times New Roman" w:cs="Times New Roman" w:eastAsia="Times New Roman" w:hAnsi="Times New Roman"/>
          <w:sz w:val="15"/>
          <w:szCs w:val="15"/>
          <w:color w:val="auto"/>
        </w:rPr>
        <w:t>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69" w:lineRule="exact"/>
        <w:rPr>
          <w:sz w:val="20"/>
          <w:szCs w:val="20"/>
          <w:color w:val="auto"/>
        </w:rPr>
      </w:pPr>
    </w:p>
    <w:p>
      <w:pPr>
        <w:ind w:left="1080" w:right="1159"/>
        <w:spacing w:after="0" w:line="293"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or Nasdaq, under the symbol “AVRO.” On November 3, 2022, the closing price for our common stock, as reported on Nasdaq, was $0.675 per share. Our principal executive offices are located at 100 Technology Square, Sixth Floor, Cambridge, Massachusetts 02139.</w:t>
      </w:r>
    </w:p>
    <w:p>
      <w:pPr>
        <w:spacing w:after="0" w:line="41" w:lineRule="exact"/>
        <w:rPr>
          <w:sz w:val="20"/>
          <w:szCs w:val="20"/>
          <w:color w:val="auto"/>
        </w:rPr>
      </w:pPr>
    </w:p>
    <w:p>
      <w:pPr>
        <w:ind w:left="1080" w:right="1179"/>
        <w:spacing w:after="0" w:line="254" w:lineRule="auto"/>
        <w:rPr>
          <w:sz w:val="20"/>
          <w:szCs w:val="20"/>
          <w:color w:val="auto"/>
        </w:rPr>
      </w:pPr>
      <w:r>
        <w:rPr>
          <w:rFonts w:ascii="Times New Roman" w:cs="Times New Roman" w:eastAsia="Times New Roman" w:hAnsi="Times New Roman"/>
          <w:sz w:val="15"/>
          <w:szCs w:val="15"/>
          <w:color w:val="auto"/>
        </w:rPr>
        <w:t>As of November 3, 2022, the aggregate market value of our outstanding common stock held by non-affiliates, or public float, was approximately $25.8 million, based on 43,774,088 shares of outstanding common stock, of which approximately 5.54 million shares were held by affiliates, and a price of $0.675 per share, which was the price at which our common stock was last sold on Nasdaq on such date. We have not offered any securities pursuant to General Instruction I.B.6 of Form S-3 during the prior 12-calendar-month period that ends on and includes the date of this prospectus.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$75,000,000, or the Baby Shelf Limitation.</w:t>
      </w:r>
    </w:p>
    <w:p>
      <w:pPr>
        <w:spacing w:after="0" w:line="66" w:lineRule="exact"/>
        <w:rPr>
          <w:sz w:val="20"/>
          <w:szCs w:val="20"/>
          <w:color w:val="auto"/>
        </w:rPr>
      </w:pPr>
    </w:p>
    <w:p>
      <w:pPr>
        <w:ind w:left="1080" w:right="109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Investing in our securities involves a high degree of risk. You should review carefully the risks and uncertainties described under the heading “Risk Factors” contained in this prospectus beginning on page </w:t>
      </w:r>
      <w:r>
        <w:rPr>
          <w:rFonts w:ascii="Times New Roman" w:cs="Times New Roman" w:eastAsia="Times New Roman" w:hAnsi="Times New Roman"/>
          <w:sz w:val="15"/>
          <w:szCs w:val="15"/>
          <w:b w:val="1"/>
          <w:bCs w:val="1"/>
          <w:u w:val="single" w:color="auto"/>
          <w:color w:val="0000EE"/>
        </w:rPr>
        <w:t>2</w:t>
      </w:r>
      <w:r>
        <w:rPr>
          <w:rFonts w:ascii="Times New Roman" w:cs="Times New Roman" w:eastAsia="Times New Roman" w:hAnsi="Times New Roman"/>
          <w:sz w:val="15"/>
          <w:szCs w:val="15"/>
          <w:b w:val="1"/>
          <w:bCs w:val="1"/>
          <w:color w:val="auto"/>
        </w:rPr>
        <w:t xml:space="preserve"> and any applicable prospectus supplement, and under similar headings in the other documents that are incorporated by reference into this prospectus.</w:t>
      </w:r>
    </w:p>
    <w:p>
      <w:pPr>
        <w:spacing w:after="0" w:line="62" w:lineRule="exact"/>
        <w:rPr>
          <w:sz w:val="20"/>
          <w:szCs w:val="20"/>
          <w:color w:val="auto"/>
        </w:rPr>
      </w:pPr>
    </w:p>
    <w:p>
      <w:pPr>
        <w:ind w:left="1080" w:right="1179"/>
        <w:spacing w:after="0" w:line="265" w:lineRule="auto"/>
        <w:rPr>
          <w:sz w:val="20"/>
          <w:szCs w:val="20"/>
          <w:color w:val="auto"/>
        </w:rPr>
      </w:pPr>
      <w:r>
        <w:rPr>
          <w:rFonts w:ascii="Times New Roman" w:cs="Times New Roman" w:eastAsia="Times New Roman" w:hAnsi="Times New Roman"/>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109855</wp:posOffset>
            </wp:positionV>
            <wp:extent cx="583819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 w:name="page4"/>
    <w:bookmarkEnd w:id="3"/>
    <w:p>
      <w:pPr>
        <w:ind w:left="10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20" w:type="dxa"/>
            <w:vAlign w:val="bottom"/>
            <w:gridSpan w:val="5"/>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Page</w:t>
            </w:r>
          </w:p>
        </w:tc>
      </w:tr>
      <w:tr>
        <w:trPr>
          <w:trHeight w:val="43"/>
        </w:trPr>
        <w:tc>
          <w:tcPr>
            <w:tcW w:w="174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4"/>
        </w:trPr>
        <w:tc>
          <w:tcPr>
            <w:tcW w:w="1080" w:type="dxa"/>
            <w:vAlign w:val="bottom"/>
          </w:tcPr>
          <w:p>
            <w:pPr>
              <w:spacing w:after="0"/>
              <w:rPr>
                <w:sz w:val="16"/>
                <w:szCs w:val="16"/>
                <w:color w:val="auto"/>
              </w:rPr>
            </w:pPr>
          </w:p>
        </w:tc>
        <w:tc>
          <w:tcPr>
            <w:tcW w:w="6800" w:type="dxa"/>
            <w:vAlign w:val="bottom"/>
            <w:tcBorders>
              <w:top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0000EE"/>
              </w:rPr>
              <w:t>ABOUT THIS PROSPECTUS</w:t>
            </w:r>
          </w:p>
        </w:tc>
        <w:tc>
          <w:tcPr>
            <w:tcW w:w="240" w:type="dxa"/>
            <w:vAlign w:val="bottom"/>
            <w:tcBorders>
              <w:top w:val="single" w:sz="8" w:color="auto"/>
              <w:right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5"/>
                <w:szCs w:val="15"/>
                <w:color w:val="0000EE"/>
              </w:rPr>
              <w:t>1</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1860" w:type="dxa"/>
            <w:vAlign w:val="bottom"/>
            <w:gridSpan w:val="8"/>
          </w:tcPr>
          <w:p>
            <w:pPr>
              <w:spacing w:after="0"/>
              <w:rPr>
                <w:sz w:val="20"/>
                <w:szCs w:val="20"/>
                <w:color w:val="auto"/>
              </w:rPr>
            </w:pPr>
            <w:r>
              <w:rPr>
                <w:rFonts w:ascii="Times New Roman" w:cs="Times New Roman" w:eastAsia="Times New Roman" w:hAnsi="Times New Roman"/>
                <w:sz w:val="15"/>
                <w:szCs w:val="15"/>
                <w:color w:val="0000EE"/>
              </w:rPr>
              <w:t>RISK FACTORS</w:t>
            </w:r>
          </w:p>
        </w:tc>
        <w:tc>
          <w:tcPr>
            <w:tcW w:w="4940" w:type="dxa"/>
            <w:vAlign w:val="bottom"/>
            <w:gridSpan w:val="8"/>
          </w:tcPr>
          <w:p>
            <w:pPr>
              <w:spacing w:after="0"/>
              <w:rPr>
                <w:sz w:val="16"/>
                <w:szCs w:val="16"/>
                <w:color w:val="auto"/>
              </w:rPr>
            </w:pPr>
          </w:p>
        </w:tc>
        <w:tc>
          <w:tcPr>
            <w:tcW w:w="100" w:type="dxa"/>
            <w:vAlign w:val="bottom"/>
            <w:gridSpan w:val="2"/>
          </w:tcPr>
          <w:p>
            <w:pPr>
              <w:spacing w:after="0"/>
              <w:rPr>
                <w:sz w:val="16"/>
                <w:szCs w:val="16"/>
                <w:color w:val="auto"/>
              </w:rPr>
            </w:pPr>
          </w:p>
        </w:tc>
        <w:tc>
          <w:tcPr>
            <w:tcW w:w="1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0000EE"/>
              </w:rPr>
              <w:t>2</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53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CAUTIONARY STATEMENT REGARDING FORWARD-LOOKING STATEMENTS</w:t>
            </w:r>
          </w:p>
        </w:tc>
        <w:tc>
          <w:tcPr>
            <w:tcW w:w="1500" w:type="dxa"/>
            <w:vAlign w:val="bottom"/>
            <w:shd w:val="clear" w:color="auto" w:fill="CCEEFF"/>
          </w:tcPr>
          <w:p>
            <w:pPr>
              <w:spacing w:after="0"/>
              <w:rPr>
                <w:sz w:val="16"/>
                <w:szCs w:val="16"/>
                <w:color w:val="auto"/>
              </w:rPr>
            </w:pPr>
          </w:p>
        </w:tc>
        <w:tc>
          <w:tcPr>
            <w:tcW w:w="100" w:type="dxa"/>
            <w:vAlign w:val="bottom"/>
            <w:gridSpan w:val="2"/>
            <w:shd w:val="clear" w:color="auto" w:fill="CCEEFF"/>
          </w:tcPr>
          <w:p>
            <w:pPr>
              <w:spacing w:after="0"/>
              <w:rPr>
                <w:sz w:val="16"/>
                <w:szCs w:val="16"/>
                <w:color w:val="auto"/>
              </w:rPr>
            </w:pPr>
          </w:p>
        </w:tc>
        <w:tc>
          <w:tcPr>
            <w:tcW w:w="140" w:type="dxa"/>
            <w:vAlign w:val="bottom"/>
            <w:tcBorders>
              <w:right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0000EE"/>
              </w:rPr>
              <w:t>3</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10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530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THE COMPANY</w:t>
            </w:r>
          </w:p>
        </w:tc>
        <w:tc>
          <w:tcPr>
            <w:tcW w:w="15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0000EE"/>
              </w:rPr>
              <w:t>5</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68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0000EE"/>
              </w:rPr>
              <w:t>USE OF PROCEEDS</w:t>
            </w:r>
          </w:p>
        </w:tc>
        <w:tc>
          <w:tcPr>
            <w:tcW w:w="240" w:type="dxa"/>
            <w:vAlign w:val="bottom"/>
            <w:tcBorders>
              <w:right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5"/>
                <w:szCs w:val="15"/>
                <w:color w:val="0000EE"/>
              </w:rPr>
              <w:t>7</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680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SECURITIES WE MAY OFFER</w:t>
            </w:r>
          </w:p>
        </w:tc>
        <w:tc>
          <w:tcPr>
            <w:tcW w:w="24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0000EE"/>
              </w:rPr>
              <w:t>8</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68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0000EE"/>
              </w:rPr>
              <w:t>DESCRIPTION OF CAPITAL STOCK</w:t>
            </w:r>
          </w:p>
        </w:tc>
        <w:tc>
          <w:tcPr>
            <w:tcW w:w="240" w:type="dxa"/>
            <w:vAlign w:val="bottom"/>
            <w:tcBorders>
              <w:right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5"/>
                <w:szCs w:val="15"/>
                <w:color w:val="0000EE"/>
              </w:rPr>
              <w:t>9</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680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DESCRIPTION OF DEBT SECURITIES</w:t>
            </w:r>
          </w:p>
        </w:tc>
        <w:tc>
          <w:tcPr>
            <w:tcW w:w="24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0000EE"/>
              </w:rPr>
              <w:t>14</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20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DESCRIPTION OF WARRANTS</w:t>
            </w:r>
          </w:p>
        </w:tc>
        <w:tc>
          <w:tcPr>
            <w:tcW w:w="4720" w:type="dxa"/>
            <w:vAlign w:val="bottom"/>
            <w:gridSpan w:val="6"/>
            <w:shd w:val="clear" w:color="auto" w:fill="CCEEFF"/>
          </w:tcPr>
          <w:p>
            <w:pPr>
              <w:spacing w:after="0"/>
              <w:rPr>
                <w:sz w:val="16"/>
                <w:szCs w:val="16"/>
                <w:color w:val="auto"/>
              </w:rPr>
            </w:pPr>
          </w:p>
        </w:tc>
        <w:tc>
          <w:tcPr>
            <w:tcW w:w="240" w:type="dxa"/>
            <w:vAlign w:val="bottom"/>
            <w:tcBorders>
              <w:right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5"/>
                <w:szCs w:val="15"/>
                <w:color w:val="0000EE"/>
              </w:rPr>
              <w:t>21</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right w:val="single" w:sz="8" w:color="CCEEFF"/>
            </w:tcBorders>
            <w:shd w:val="clear" w:color="auto" w:fill="CCEEFF"/>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2080" w:type="dxa"/>
            <w:vAlign w:val="bottom"/>
            <w:gridSpan w:val="10"/>
          </w:tcPr>
          <w:p>
            <w:pPr>
              <w:spacing w:after="0"/>
              <w:rPr>
                <w:sz w:val="20"/>
                <w:szCs w:val="20"/>
                <w:color w:val="auto"/>
              </w:rPr>
            </w:pPr>
            <w:r>
              <w:rPr>
                <w:rFonts w:ascii="Times New Roman" w:cs="Times New Roman" w:eastAsia="Times New Roman" w:hAnsi="Times New Roman"/>
                <w:sz w:val="15"/>
                <w:szCs w:val="15"/>
                <w:color w:val="0000EE"/>
              </w:rPr>
              <w:t>DESCRIPTION OF UNITS</w:t>
            </w:r>
          </w:p>
        </w:tc>
        <w:tc>
          <w:tcPr>
            <w:tcW w:w="4720" w:type="dxa"/>
            <w:vAlign w:val="bottom"/>
            <w:gridSpan w:val="6"/>
          </w:tcPr>
          <w:p>
            <w:pPr>
              <w:spacing w:after="0"/>
              <w:rPr>
                <w:sz w:val="16"/>
                <w:szCs w:val="16"/>
                <w:color w:val="auto"/>
              </w:rPr>
            </w:pPr>
          </w:p>
        </w:tc>
        <w:tc>
          <w:tcPr>
            <w:tcW w:w="24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0000EE"/>
              </w:rPr>
              <w:t>22</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1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0000EE"/>
                <w:w w:val="99"/>
              </w:rPr>
              <w:t>PLAN OF DISTRIBUTION</w:t>
            </w:r>
          </w:p>
        </w:tc>
        <w:tc>
          <w:tcPr>
            <w:tcW w:w="5080" w:type="dxa"/>
            <w:vAlign w:val="bottom"/>
            <w:gridSpan w:val="9"/>
            <w:shd w:val="clear" w:color="auto" w:fill="CCEEFF"/>
          </w:tcPr>
          <w:p>
            <w:pPr>
              <w:spacing w:after="0"/>
              <w:rPr>
                <w:sz w:val="16"/>
                <w:szCs w:val="16"/>
                <w:color w:val="auto"/>
              </w:rPr>
            </w:pPr>
          </w:p>
        </w:tc>
        <w:tc>
          <w:tcPr>
            <w:tcW w:w="240" w:type="dxa"/>
            <w:vAlign w:val="bottom"/>
            <w:tcBorders>
              <w:right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5"/>
                <w:szCs w:val="15"/>
                <w:color w:val="0000EE"/>
              </w:rPr>
              <w:t>25</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right w:val="single" w:sz="8" w:color="CCEEFF"/>
            </w:tcBorders>
            <w:shd w:val="clear" w:color="auto" w:fill="CCEEFF"/>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5"/>
                <w:szCs w:val="15"/>
                <w:color w:val="0000EE"/>
              </w:rPr>
              <w:t>LEGAL MATTERS</w:t>
            </w:r>
          </w:p>
        </w:tc>
        <w:tc>
          <w:tcPr>
            <w:tcW w:w="5080" w:type="dxa"/>
            <w:vAlign w:val="bottom"/>
            <w:gridSpan w:val="9"/>
          </w:tcPr>
          <w:p>
            <w:pPr>
              <w:spacing w:after="0"/>
              <w:rPr>
                <w:sz w:val="16"/>
                <w:szCs w:val="16"/>
                <w:color w:val="auto"/>
              </w:rPr>
            </w:pPr>
          </w:p>
        </w:tc>
        <w:tc>
          <w:tcPr>
            <w:tcW w:w="24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0000EE"/>
              </w:rPr>
              <w:t>28</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EXPERTS</w:t>
            </w:r>
          </w:p>
        </w:tc>
        <w:tc>
          <w:tcPr>
            <w:tcW w:w="6140" w:type="dxa"/>
            <w:vAlign w:val="bottom"/>
            <w:gridSpan w:val="15"/>
            <w:shd w:val="clear" w:color="auto" w:fill="CCEEFF"/>
          </w:tcPr>
          <w:p>
            <w:pPr>
              <w:spacing w:after="0"/>
              <w:rPr>
                <w:sz w:val="16"/>
                <w:szCs w:val="16"/>
                <w:color w:val="auto"/>
              </w:rPr>
            </w:pPr>
          </w:p>
        </w:tc>
        <w:tc>
          <w:tcPr>
            <w:tcW w:w="240" w:type="dxa"/>
            <w:vAlign w:val="bottom"/>
            <w:tcBorders>
              <w:right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5"/>
                <w:szCs w:val="15"/>
                <w:color w:val="0000EE"/>
              </w:rPr>
              <w:t>28</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right w:val="single" w:sz="8" w:color="CCEEFF"/>
            </w:tcBorders>
            <w:shd w:val="clear" w:color="auto" w:fill="CCEEFF"/>
          </w:tcPr>
          <w:p>
            <w:pPr>
              <w:spacing w:after="0"/>
              <w:rPr>
                <w:sz w:val="5"/>
                <w:szCs w:val="5"/>
                <w:color w:val="auto"/>
              </w:rPr>
            </w:pPr>
          </w:p>
        </w:tc>
        <w:tc>
          <w:tcPr>
            <w:tcW w:w="1080" w:type="dxa"/>
            <w:vAlign w:val="bottom"/>
          </w:tcPr>
          <w:p>
            <w:pPr>
              <w:spacing w:after="0"/>
              <w:rPr>
                <w:sz w:val="5"/>
                <w:szCs w:val="5"/>
                <w:color w:val="auto"/>
              </w:rPr>
            </w:pPr>
          </w:p>
        </w:tc>
      </w:tr>
      <w:tr>
        <w:trPr>
          <w:trHeight w:val="192"/>
        </w:trPr>
        <w:tc>
          <w:tcPr>
            <w:tcW w:w="1080" w:type="dxa"/>
            <w:vAlign w:val="bottom"/>
          </w:tcPr>
          <w:p>
            <w:pPr>
              <w:spacing w:after="0"/>
              <w:rPr>
                <w:sz w:val="16"/>
                <w:szCs w:val="16"/>
                <w:color w:val="auto"/>
              </w:rPr>
            </w:pPr>
          </w:p>
        </w:tc>
        <w:tc>
          <w:tcPr>
            <w:tcW w:w="680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WHERE YOU CAN FIND MORE INFORMATION</w:t>
            </w:r>
          </w:p>
        </w:tc>
        <w:tc>
          <w:tcPr>
            <w:tcW w:w="24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0000EE"/>
              </w:rPr>
              <w:t>28</w:t>
            </w:r>
          </w:p>
        </w:tc>
        <w:tc>
          <w:tcPr>
            <w:tcW w:w="1080" w:type="dxa"/>
            <w:vAlign w:val="bottom"/>
          </w:tcPr>
          <w:p>
            <w:pPr>
              <w:spacing w:after="0"/>
              <w:rPr>
                <w:sz w:val="16"/>
                <w:szCs w:val="16"/>
                <w:color w:val="auto"/>
              </w:rPr>
            </w:pPr>
          </w:p>
        </w:tc>
      </w:tr>
      <w:tr>
        <w:trPr>
          <w:trHeight w:val="59"/>
        </w:trPr>
        <w:tc>
          <w:tcPr>
            <w:tcW w:w="10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1080" w:type="dxa"/>
            <w:vAlign w:val="bottom"/>
          </w:tcPr>
          <w:p>
            <w:pPr>
              <w:spacing w:after="0"/>
              <w:rPr>
                <w:sz w:val="21"/>
                <w:szCs w:val="21"/>
                <w:color w:val="auto"/>
              </w:rPr>
            </w:pPr>
          </w:p>
        </w:tc>
        <w:tc>
          <w:tcPr>
            <w:tcW w:w="68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0000EE"/>
              </w:rPr>
              <w:t>INCORPORATION BY REFERENCE</w:t>
            </w:r>
          </w:p>
        </w:tc>
        <w:tc>
          <w:tcPr>
            <w:tcW w:w="240" w:type="dxa"/>
            <w:vAlign w:val="bottom"/>
            <w:tcBorders>
              <w:right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5"/>
                <w:szCs w:val="15"/>
                <w:color w:val="0000EE"/>
              </w:rPr>
              <w:t>29</w:t>
            </w:r>
          </w:p>
        </w:tc>
        <w:tc>
          <w:tcPr>
            <w:tcW w:w="1080" w:type="dxa"/>
            <w:vAlign w:val="bottom"/>
          </w:tcPr>
          <w:p>
            <w:pPr>
              <w:spacing w:after="0"/>
              <w:rPr>
                <w:sz w:val="21"/>
                <w:szCs w:val="21"/>
                <w:color w:val="auto"/>
              </w:rPr>
            </w:pPr>
          </w:p>
        </w:tc>
      </w:tr>
      <w:tr>
        <w:trPr>
          <w:trHeight w:val="149"/>
        </w:trPr>
        <w:tc>
          <w:tcPr>
            <w:tcW w:w="1080" w:type="dxa"/>
            <w:vAlign w:val="bottom"/>
            <w:tcBorders>
              <w:bottom w:val="single" w:sz="8" w:color="auto"/>
            </w:tcBorders>
          </w:tcPr>
          <w:p>
            <w:pPr>
              <w:spacing w:after="0"/>
              <w:rPr>
                <w:sz w:val="12"/>
                <w:szCs w:val="12"/>
                <w:color w:val="auto"/>
              </w:rPr>
            </w:pPr>
          </w:p>
        </w:tc>
        <w:tc>
          <w:tcPr>
            <w:tcW w:w="660" w:type="dxa"/>
            <w:vAlign w:val="bottom"/>
            <w:tcBorders>
              <w:top w:val="single" w:sz="8" w:color="0000EE"/>
              <w:bottom w:val="single" w:sz="8" w:color="auto"/>
            </w:tcBorders>
          </w:tcPr>
          <w:p>
            <w:pPr>
              <w:spacing w:after="0"/>
              <w:rPr>
                <w:sz w:val="12"/>
                <w:szCs w:val="12"/>
                <w:color w:val="auto"/>
              </w:rPr>
            </w:pPr>
          </w:p>
        </w:tc>
        <w:tc>
          <w:tcPr>
            <w:tcW w:w="40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28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CCEEFF"/>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660" w:type="dxa"/>
            <w:vAlign w:val="bottom"/>
            <w:tcBorders>
              <w:top w:val="single" w:sz="8" w:color="CCEEFF"/>
              <w:bottom w:val="single" w:sz="8" w:color="auto"/>
            </w:tcBorders>
          </w:tcPr>
          <w:p>
            <w:pPr>
              <w:spacing w:after="0"/>
              <w:rPr>
                <w:sz w:val="12"/>
                <w:szCs w:val="12"/>
                <w:color w:val="auto"/>
              </w:rPr>
            </w:pPr>
          </w:p>
        </w:tc>
        <w:tc>
          <w:tcPr>
            <w:tcW w:w="2100" w:type="dxa"/>
            <w:vAlign w:val="bottom"/>
            <w:tcBorders>
              <w:top w:val="single" w:sz="8" w:color="CCEEFF"/>
              <w:bottom w:val="single" w:sz="8" w:color="auto"/>
            </w:tcBorders>
          </w:tcPr>
          <w:p>
            <w:pPr>
              <w:spacing w:after="0"/>
              <w:rPr>
                <w:sz w:val="12"/>
                <w:szCs w:val="12"/>
                <w:color w:val="auto"/>
              </w:rPr>
            </w:pPr>
          </w:p>
        </w:tc>
        <w:tc>
          <w:tcPr>
            <w:tcW w:w="1500" w:type="dxa"/>
            <w:vAlign w:val="bottom"/>
            <w:tcBorders>
              <w:top w:val="single" w:sz="8" w:color="CCEEFF"/>
              <w:bottom w:val="single" w:sz="8" w:color="auto"/>
            </w:tcBorders>
          </w:tcPr>
          <w:p>
            <w:pPr>
              <w:spacing w:after="0"/>
              <w:rPr>
                <w:sz w:val="12"/>
                <w:szCs w:val="12"/>
                <w:color w:val="auto"/>
              </w:rPr>
            </w:pPr>
          </w:p>
        </w:tc>
        <w:tc>
          <w:tcPr>
            <w:tcW w:w="40" w:type="dxa"/>
            <w:vAlign w:val="bottom"/>
            <w:tcBorders>
              <w:top w:val="single" w:sz="8" w:color="CCEEFF"/>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-2696845</wp:posOffset>
            </wp:positionV>
            <wp:extent cx="1504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495" cy="6985"/>
                    </a:xfrm>
                    <a:prstGeom prst="rect">
                      <a:avLst/>
                    </a:prstGeom>
                    <a:noFill/>
                  </pic:spPr>
                </pic:pic>
              </a:graphicData>
            </a:graphic>
          </wp:anchor>
        </w:drawing>
      </w:r>
    </w:p>
    <w:p>
      <w:pPr>
        <w:sectPr>
          <w:pgSz w:w="11900" w:h="16838" w:orient="portrait"/>
          <w:cols w:equalWidth="0" w:num="1">
            <w:col w:w="9200"/>
          </w:cols>
          <w:pgMar w:left="1340" w:top="242" w:right="1359" w:bottom="1440" w:gutter="0" w:footer="0" w:header="0"/>
        </w:sectPr>
      </w:pPr>
    </w:p>
    <w:bookmarkStart w:id="4" w:name="page5"/>
    <w:bookmarkEnd w:id="4"/>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02" w:lineRule="exact"/>
        <w:rPr>
          <w:sz w:val="20"/>
          <w:szCs w:val="20"/>
          <w:color w:val="auto"/>
        </w:rPr>
      </w:pPr>
    </w:p>
    <w:p>
      <w:pPr>
        <w:ind w:left="980" w:right="1019"/>
        <w:spacing w:after="0" w:line="260"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initial offering price of up to $250,000,000, subject to the Baby Shelf Limitation.</w:t>
      </w:r>
    </w:p>
    <w:p>
      <w:pPr>
        <w:spacing w:after="0" w:line="64" w:lineRule="exact"/>
        <w:rPr>
          <w:sz w:val="20"/>
          <w:szCs w:val="20"/>
          <w:color w:val="auto"/>
        </w:rPr>
      </w:pPr>
    </w:p>
    <w:p>
      <w:pPr>
        <w:ind w:left="980" w:right="1059"/>
        <w:spacing w:after="0" w:line="256" w:lineRule="auto"/>
        <w:rPr>
          <w:sz w:val="20"/>
          <w:szCs w:val="20"/>
          <w:color w:val="auto"/>
        </w:rPr>
      </w:pPr>
      <w:r>
        <w:rPr>
          <w:rFonts w:ascii="Times New Roman" w:cs="Times New Roman" w:eastAsia="Times New Roman" w:hAnsi="Times New Roman"/>
          <w:sz w:val="15"/>
          <w:szCs w:val="15"/>
          <w:color w:val="auto"/>
        </w:rPr>
        <w:t xml:space="preserve">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w:t>
      </w:r>
      <w:r>
        <w:rPr>
          <w:rFonts w:ascii="Times New Roman" w:cs="Times New Roman" w:eastAsia="Times New Roman" w:hAnsi="Times New Roman"/>
          <w:sz w:val="15"/>
          <w:szCs w:val="15"/>
          <w:u w:val="single" w:color="auto"/>
          <w:color w:val="0000EE"/>
        </w:rPr>
        <w:t>28</w:t>
      </w:r>
      <w:r>
        <w:rPr>
          <w:rFonts w:ascii="Times New Roman" w:cs="Times New Roman" w:eastAsia="Times New Roman" w:hAnsi="Times New Roman"/>
          <w:sz w:val="15"/>
          <w:szCs w:val="15"/>
          <w:color w:val="auto"/>
        </w:rPr>
        <w:t xml:space="preserve"> of this prospectus.</w:t>
      </w:r>
    </w:p>
    <w:p>
      <w:pPr>
        <w:spacing w:after="0" w:line="68" w:lineRule="exact"/>
        <w:rPr>
          <w:sz w:val="20"/>
          <w:szCs w:val="20"/>
          <w:color w:val="auto"/>
        </w:rPr>
      </w:pPr>
    </w:p>
    <w:p>
      <w:pPr>
        <w:ind w:left="980" w:right="1099"/>
        <w:spacing w:after="0" w:line="254" w:lineRule="auto"/>
        <w:rPr>
          <w:sz w:val="20"/>
          <w:szCs w:val="20"/>
          <w:color w:val="auto"/>
        </w:rPr>
      </w:pPr>
      <w:r>
        <w:rPr>
          <w:rFonts w:ascii="Times New Roman" w:cs="Times New Roman" w:eastAsia="Times New Roman" w:hAnsi="Times New Roman"/>
          <w:sz w:val="15"/>
          <w:szCs w:val="15"/>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66" w:lineRule="exact"/>
        <w:rPr>
          <w:sz w:val="20"/>
          <w:szCs w:val="20"/>
          <w:color w:val="auto"/>
        </w:rPr>
      </w:pPr>
    </w:p>
    <w:p>
      <w:pPr>
        <w:ind w:left="980" w:right="1699"/>
        <w:spacing w:after="0" w:line="323" w:lineRule="auto"/>
        <w:rPr>
          <w:sz w:val="20"/>
          <w:szCs w:val="20"/>
          <w:color w:val="auto"/>
        </w:rPr>
      </w:pPr>
      <w:r>
        <w:rPr>
          <w:rFonts w:ascii="Times New Roman" w:cs="Times New Roman" w:eastAsia="Times New Roman" w:hAnsi="Times New Roman"/>
          <w:sz w:val="14"/>
          <w:szCs w:val="14"/>
          <w:b w:val="1"/>
          <w:bCs w:val="1"/>
          <w:color w:val="auto"/>
        </w:rPr>
        <w:t>THIS PROSPECTUS MAY NOT BE USED TO OFFER AND SELL SECURITIES UNLESS IT IS ACCOMPANIED BY AN ADDITIONAL PROSPECTUS OR A PROSPECTUS SUPPLEMENT.</w:t>
      </w:r>
    </w:p>
    <w:p>
      <w:pPr>
        <w:spacing w:after="0" w:line="21" w:lineRule="exact"/>
        <w:rPr>
          <w:sz w:val="20"/>
          <w:szCs w:val="20"/>
          <w:color w:val="auto"/>
        </w:rPr>
      </w:pPr>
    </w:p>
    <w:p>
      <w:pPr>
        <w:ind w:left="980" w:right="1039"/>
        <w:spacing w:after="0" w:line="280" w:lineRule="auto"/>
        <w:rPr>
          <w:sz w:val="20"/>
          <w:szCs w:val="20"/>
          <w:color w:val="auto"/>
        </w:rPr>
      </w:pPr>
      <w:r>
        <w:rPr>
          <w:rFonts w:ascii="Times New Roman" w:cs="Times New Roman" w:eastAsia="Times New Roman" w:hAnsi="Times New Roman"/>
          <w:sz w:val="15"/>
          <w:szCs w:val="15"/>
          <w:color w:val="auto"/>
        </w:rPr>
        <w:t>As used in this prospectus, unless the context otherwise requires, references to the “company,” “we,” “us” and “our” refer to AVROBIO, Inc. and, where appropriate, our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 w:name="page6"/>
    <w:bookmarkEnd w:id="5"/>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02" w:lineRule="exact"/>
        <w:rPr>
          <w:sz w:val="20"/>
          <w:szCs w:val="20"/>
          <w:color w:val="auto"/>
        </w:rPr>
      </w:pPr>
    </w:p>
    <w:p>
      <w:pPr>
        <w:ind w:left="980" w:right="1019"/>
        <w:spacing w:after="0" w:line="252"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or by other risks that are not currently known to us.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2021, which is on file with the SEC and is incorporated herein by reference, (ii) our Quarterly Reports on Form 10-Q for the quarters ended March 31, 2022, June 30, 2022 and September 30, 2022 which are on file with the SEC and are incorporated herein by reference and</w:t>
      </w:r>
    </w:p>
    <w:p>
      <w:pPr>
        <w:spacing w:after="0" w:line="3" w:lineRule="exact"/>
        <w:rPr>
          <w:sz w:val="20"/>
          <w:szCs w:val="20"/>
          <w:color w:val="auto"/>
        </w:rPr>
      </w:pPr>
    </w:p>
    <w:p>
      <w:pPr>
        <w:ind w:left="4460" w:right="1679" w:hanging="3472"/>
        <w:spacing w:after="0" w:line="512" w:lineRule="auto"/>
        <w:tabs>
          <w:tab w:leader="none" w:pos="1245"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documents we file with the SEC that are deemed incorporated by reference into this prospectus.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-22225</wp:posOffset>
            </wp:positionV>
            <wp:extent cx="583819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 w:name="page7"/>
    <w:bookmarkEnd w:id="6"/>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102" w:lineRule="exact"/>
        <w:rPr>
          <w:sz w:val="20"/>
          <w:szCs w:val="20"/>
          <w:color w:val="auto"/>
        </w:rPr>
      </w:pPr>
    </w:p>
    <w:p>
      <w:pPr>
        <w:ind w:left="980" w:right="1019"/>
        <w:spacing w:after="0" w:line="253" w:lineRule="auto"/>
        <w:rPr>
          <w:sz w:val="20"/>
          <w:szCs w:val="20"/>
          <w:color w:val="auto"/>
        </w:rPr>
      </w:pPr>
      <w:r>
        <w:rPr>
          <w:rFonts w:ascii="Times New Roman" w:cs="Times New Roman" w:eastAsia="Times New Roman" w:hAnsi="Times New Roman"/>
          <w:sz w:val="15"/>
          <w:szCs w:val="15"/>
          <w:color w:val="auto"/>
        </w:rPr>
        <w:t>This prospectus, including the documents that we incorporate by reference, contains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“aims,” “anticipates,” “believes,” “continue,” “could,” “designed to,” “estimates,” “expects,” “forecasts,” “goal,” “intends,” “may,” “plans,” “possible,” “potential,” “predicts,” “projects,” “seeks,” “strives,” “should,” “will,” and similar expressions or the negative of these terms.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the documents incorporated by reference herein, and in particular those factors referenced in the section “Risk Factors.”</w:t>
      </w:r>
    </w:p>
    <w:p>
      <w:pPr>
        <w:spacing w:after="0" w:line="72" w:lineRule="exact"/>
        <w:rPr>
          <w:sz w:val="20"/>
          <w:szCs w:val="20"/>
          <w:color w:val="auto"/>
        </w:rPr>
      </w:pPr>
    </w:p>
    <w:p>
      <w:pPr>
        <w:ind w:left="980" w:right="1059"/>
        <w:spacing w:after="0" w:line="255" w:lineRule="auto"/>
        <w:rPr>
          <w:sz w:val="20"/>
          <w:szCs w:val="20"/>
          <w:color w:val="auto"/>
        </w:rPr>
      </w:pPr>
      <w:r>
        <w:rPr>
          <w:rFonts w:ascii="Times New Roman" w:cs="Times New Roman" w:eastAsia="Times New Roman" w:hAnsi="Times New Roman"/>
          <w:sz w:val="15"/>
          <w:szCs w:val="15"/>
          <w:color w:val="auto"/>
        </w:rPr>
        <w:t>This prospectus and the information and documents incorporated by reference herein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69" w:lineRule="exact"/>
        <w:rPr>
          <w:sz w:val="20"/>
          <w:szCs w:val="20"/>
          <w:color w:val="auto"/>
        </w:rPr>
      </w:pPr>
    </w:p>
    <w:p>
      <w:pPr>
        <w:ind w:left="1580" w:right="1019" w:hanging="291"/>
        <w:spacing w:after="0" w:line="265" w:lineRule="auto"/>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ongoing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59" w:lineRule="exact"/>
        <w:rPr>
          <w:rFonts w:ascii="Times New Roman" w:cs="Times New Roman" w:eastAsia="Times New Roman" w:hAnsi="Times New Roman"/>
          <w:sz w:val="15"/>
          <w:szCs w:val="15"/>
          <w:color w:val="auto"/>
        </w:rPr>
      </w:pPr>
    </w:p>
    <w:p>
      <w:pPr>
        <w:ind w:left="1580" w:right="1139" w:hanging="291"/>
        <w:spacing w:after="0" w:line="260" w:lineRule="auto"/>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63" w:lineRule="exact"/>
        <w:rPr>
          <w:rFonts w:ascii="Times New Roman" w:cs="Times New Roman" w:eastAsia="Times New Roman" w:hAnsi="Times New Roman"/>
          <w:sz w:val="15"/>
          <w:szCs w:val="15"/>
          <w:color w:val="auto"/>
        </w:rPr>
      </w:pPr>
    </w:p>
    <w:p>
      <w:pPr>
        <w:ind w:left="1580" w:right="999" w:hanging="291"/>
        <w:spacing w:after="0" w:line="265" w:lineRule="auto"/>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59"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durability of effects from our product candidates;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scope or likelihood of regulatory filings and approvals;</w:t>
      </w:r>
    </w:p>
    <w:p>
      <w:pPr>
        <w:spacing w:after="0" w:line="97" w:lineRule="exact"/>
        <w:rPr>
          <w:rFonts w:ascii="Times New Roman" w:cs="Times New Roman" w:eastAsia="Times New Roman" w:hAnsi="Times New Roman"/>
          <w:sz w:val="15"/>
          <w:szCs w:val="15"/>
          <w:color w:val="auto"/>
        </w:rPr>
      </w:pPr>
    </w:p>
    <w:p>
      <w:pPr>
        <w:ind w:left="1580" w:right="1279" w:hanging="291"/>
        <w:spacing w:after="0" w:line="280" w:lineRule="auto"/>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regulatory pathway for our product candidates and planned interactions with regulatory agencies;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advance product candidates into, and successfully complete, clinical studies;</w:t>
      </w:r>
    </w:p>
    <w:p>
      <w:pPr>
        <w:spacing w:after="0" w:line="97" w:lineRule="exact"/>
        <w:rPr>
          <w:rFonts w:ascii="Times New Roman" w:cs="Times New Roman" w:eastAsia="Times New Roman" w:hAnsi="Times New Roman"/>
          <w:sz w:val="15"/>
          <w:szCs w:val="15"/>
          <w:color w:val="auto"/>
        </w:rPr>
      </w:pPr>
    </w:p>
    <w:p>
      <w:pPr>
        <w:ind w:left="1580" w:right="1179" w:hanging="291"/>
        <w:spacing w:after="0" w:line="280" w:lineRule="auto"/>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size of the patient populations for our product candidates, if approved for commercial use;</w:t>
      </w:r>
    </w:p>
    <w:p>
      <w:pPr>
        <w:spacing w:after="0" w:line="48" w:lineRule="exact"/>
        <w:rPr>
          <w:rFonts w:ascii="Times New Roman" w:cs="Times New Roman" w:eastAsia="Times New Roman" w:hAnsi="Times New Roman"/>
          <w:sz w:val="15"/>
          <w:szCs w:val="15"/>
          <w:color w:val="auto"/>
        </w:rPr>
      </w:pPr>
    </w:p>
    <w:p>
      <w:pPr>
        <w:ind w:left="1580" w:right="1279" w:hanging="291"/>
        <w:spacing w:after="0" w:line="280" w:lineRule="auto"/>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implementation of our business model and our strategic plans for our business, product candidates, technology and plato platform;</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commercialization, marketing and manufacturing capabilities and strategy;</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pricing and reimbursement of our product candidates, if approved;</w:t>
      </w:r>
    </w:p>
    <w:p>
      <w:pPr>
        <w:spacing w:after="0" w:line="97" w:lineRule="exact"/>
        <w:rPr>
          <w:rFonts w:ascii="Times New Roman" w:cs="Times New Roman" w:eastAsia="Times New Roman" w:hAnsi="Times New Roman"/>
          <w:sz w:val="15"/>
          <w:szCs w:val="15"/>
          <w:color w:val="auto"/>
        </w:rPr>
      </w:pPr>
    </w:p>
    <w:p>
      <w:pPr>
        <w:ind w:left="1580" w:right="1079" w:hanging="291"/>
        <w:spacing w:after="0" w:line="280" w:lineRule="auto"/>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scalability and commercial viability of our manufacturing methods and processes, including our move to a closed, automated system;</w:t>
      </w:r>
    </w:p>
    <w:p>
      <w:pPr>
        <w:spacing w:after="0" w:line="48" w:lineRule="exact"/>
        <w:rPr>
          <w:rFonts w:ascii="Times New Roman" w:cs="Times New Roman" w:eastAsia="Times New Roman" w:hAnsi="Times New Roman"/>
          <w:sz w:val="15"/>
          <w:szCs w:val="15"/>
          <w:color w:val="auto"/>
        </w:rPr>
      </w:pPr>
    </w:p>
    <w:p>
      <w:pPr>
        <w:ind w:left="1580" w:right="1199" w:hanging="291"/>
        <w:spacing w:after="0" w:line="280" w:lineRule="auto"/>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and clinical utility of our product candidates, in particular, and gene therapy, in general;</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or maintain collaborations or strategic relationships or obtain additional funding;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hanging="291"/>
        <w:spacing w:after="0"/>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competitive position;</w:t>
      </w:r>
    </w:p>
    <w:p>
      <w:pPr>
        <w:spacing w:after="0" w:line="97" w:lineRule="exact"/>
        <w:rPr>
          <w:rFonts w:ascii="Times New Roman" w:cs="Times New Roman" w:eastAsia="Times New Roman" w:hAnsi="Times New Roman"/>
          <w:sz w:val="15"/>
          <w:szCs w:val="15"/>
          <w:color w:val="auto"/>
        </w:rPr>
      </w:pPr>
    </w:p>
    <w:p>
      <w:pPr>
        <w:ind w:left="1580" w:right="1019" w:hanging="291"/>
        <w:spacing w:after="0" w:line="265" w:lineRule="auto"/>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59"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performance;</w:t>
      </w:r>
    </w:p>
    <w:p>
      <w:pPr>
        <w:spacing w:after="0" w:line="97" w:lineRule="exact"/>
        <w:rPr>
          <w:rFonts w:ascii="Times New Roman" w:cs="Times New Roman" w:eastAsia="Times New Roman" w:hAnsi="Times New Roman"/>
          <w:sz w:val="15"/>
          <w:szCs w:val="15"/>
          <w:color w:val="auto"/>
        </w:rPr>
      </w:pPr>
    </w:p>
    <w:p>
      <w:pPr>
        <w:ind w:left="1580" w:right="1639" w:hanging="291"/>
        <w:spacing w:after="0" w:line="280" w:lineRule="auto"/>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the continued service of our key professionals and to identify, hire and retain additional qualified professionals;</w:t>
      </w:r>
    </w:p>
    <w:p>
      <w:pPr>
        <w:spacing w:after="0" w:line="48" w:lineRule="exact"/>
        <w:rPr>
          <w:rFonts w:ascii="Times New Roman" w:cs="Times New Roman" w:eastAsia="Times New Roman" w:hAnsi="Times New Roman"/>
          <w:sz w:val="15"/>
          <w:szCs w:val="15"/>
          <w:color w:val="auto"/>
        </w:rPr>
      </w:pPr>
    </w:p>
    <w:p>
      <w:pPr>
        <w:ind w:left="1580" w:right="1299" w:hanging="291"/>
        <w:spacing w:after="0" w:line="280" w:lineRule="auto"/>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and projections relating to our competitors and our industry including other lentiviral or hematopoietic stem cell, or HSC, gene therapy companies;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related to the use of our cash reserves;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regarding expenses, future revenue, capital requirements and needs for additional financing;</w:t>
      </w:r>
    </w:p>
    <w:p>
      <w:pPr>
        <w:spacing w:after="0" w:line="97" w:lineRule="exact"/>
        <w:rPr>
          <w:rFonts w:ascii="Times New Roman" w:cs="Times New Roman" w:eastAsia="Times New Roman" w:hAnsi="Times New Roman"/>
          <w:sz w:val="15"/>
          <w:szCs w:val="15"/>
          <w:color w:val="auto"/>
        </w:rPr>
      </w:pPr>
    </w:p>
    <w:p>
      <w:pPr>
        <w:ind w:left="1580" w:right="1119" w:hanging="291"/>
        <w:spacing w:after="0" w:line="280" w:lineRule="auto"/>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comply with the terms of our Loan and Security Agreement, dated as of November 2, 2021, with Silicon Valley Bank;</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avoid any findings of material weaknesses or significant deficiencies in the future;</w:t>
      </w:r>
    </w:p>
    <w:p>
      <w:pPr>
        <w:spacing w:after="0" w:line="97" w:lineRule="exact"/>
        <w:rPr>
          <w:rFonts w:ascii="Times New Roman" w:cs="Times New Roman" w:eastAsia="Times New Roman" w:hAnsi="Times New Roman"/>
          <w:sz w:val="15"/>
          <w:szCs w:val="15"/>
          <w:color w:val="auto"/>
        </w:rPr>
      </w:pPr>
    </w:p>
    <w:p>
      <w:pPr>
        <w:ind w:left="1580" w:right="1119" w:hanging="291"/>
        <w:spacing w:after="0" w:line="280" w:lineRule="auto"/>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satisfy the continued listing requirements of Nasdaq, including a minimum bid price, and to maintain our common stock listing on Nasdaq or any stock exchange;</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laws and regulations, including without limitation recently enacted tax reform legislation;</w:t>
      </w:r>
    </w:p>
    <w:p>
      <w:pPr>
        <w:spacing w:after="0" w:line="97" w:lineRule="exact"/>
        <w:rPr>
          <w:rFonts w:ascii="Times New Roman" w:cs="Times New Roman" w:eastAsia="Times New Roman" w:hAnsi="Times New Roman"/>
          <w:sz w:val="15"/>
          <w:szCs w:val="15"/>
          <w:color w:val="auto"/>
        </w:rPr>
      </w:pPr>
    </w:p>
    <w:p>
      <w:pPr>
        <w:ind w:left="1580" w:right="1619" w:hanging="291"/>
        <w:spacing w:after="0" w:line="280" w:lineRule="auto"/>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time during which we are an emerging growth company under the Jumpstart Our Business Startups Act of 2012, as amended, or the JOBS Act; and</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including those listed under the caption “Risk Factors.”</w:t>
      </w:r>
    </w:p>
    <w:p>
      <w:pPr>
        <w:spacing w:after="0" w:line="98" w:lineRule="exact"/>
        <w:rPr>
          <w:sz w:val="20"/>
          <w:szCs w:val="20"/>
          <w:color w:val="auto"/>
        </w:rPr>
      </w:pPr>
    </w:p>
    <w:p>
      <w:pPr>
        <w:ind w:left="980" w:right="999"/>
        <w:spacing w:after="0" w:line="255" w:lineRule="auto"/>
        <w:rPr>
          <w:sz w:val="20"/>
          <w:szCs w:val="20"/>
          <w:color w:val="auto"/>
        </w:rPr>
      </w:pPr>
      <w:r>
        <w:rPr>
          <w:rFonts w:ascii="Times New Roman" w:cs="Times New Roman" w:eastAsia="Times New Roman" w:hAnsi="Times New Roman"/>
          <w:sz w:val="15"/>
          <w:szCs w:val="15"/>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66" w:lineRule="exact"/>
        <w:rPr>
          <w:sz w:val="20"/>
          <w:szCs w:val="20"/>
          <w:color w:val="auto"/>
        </w:rPr>
      </w:pPr>
    </w:p>
    <w:p>
      <w:pPr>
        <w:ind w:left="980" w:right="1059"/>
        <w:spacing w:after="0" w:line="255" w:lineRule="auto"/>
        <w:rPr>
          <w:sz w:val="20"/>
          <w:szCs w:val="20"/>
          <w:color w:val="auto"/>
        </w:rPr>
      </w:pPr>
      <w:r>
        <w:rPr>
          <w:rFonts w:ascii="Times New Roman" w:cs="Times New Roman" w:eastAsia="Times New Roman" w:hAnsi="Times New Roman"/>
          <w:sz w:val="15"/>
          <w:szCs w:val="15"/>
          <w:color w:val="auto"/>
        </w:rPr>
        <w:t>You should read this prospectus and the documents that we incorporate by reference in this prospectus completely and with the understanding that our actual future results may be materially different from what we expect. The forward-looking statements in this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 of this prospectus.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8" w:name="page9"/>
    <w:bookmarkEnd w:id="8"/>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102" w:lineRule="exact"/>
        <w:rPr>
          <w:sz w:val="20"/>
          <w:szCs w:val="20"/>
          <w:color w:val="auto"/>
        </w:rPr>
      </w:pPr>
    </w:p>
    <w:p>
      <w:pPr>
        <w:ind w:left="980" w:right="999"/>
        <w:spacing w:after="0" w:line="253" w:lineRule="auto"/>
        <w:rPr>
          <w:sz w:val="20"/>
          <w:szCs w:val="20"/>
          <w:color w:val="auto"/>
        </w:rPr>
      </w:pPr>
      <w:r>
        <w:rPr>
          <w:rFonts w:ascii="Times New Roman" w:cs="Times New Roman" w:eastAsia="Times New Roman" w:hAnsi="Times New Roman"/>
          <w:sz w:val="15"/>
          <w:szCs w:val="15"/>
          <w:color w:val="auto"/>
        </w:rPr>
        <w:t>We are a leading clinical-stage gene therapy company with a shared purpose to free people from a lifetime of genetic disease. Our company is focused on developing potentially curative HSC gene therapies (which we sometimes refer to as ex vivo lentiviral gene therapies) to treat patients with rare diseases following a single dose treatment regimen. Our gene therapies employ HSCs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$3.4 billion in worldwide net sales in 2021.</w:t>
      </w:r>
    </w:p>
    <w:p>
      <w:pPr>
        <w:spacing w:after="0" w:line="73" w:lineRule="exact"/>
        <w:rPr>
          <w:sz w:val="20"/>
          <w:szCs w:val="20"/>
          <w:color w:val="auto"/>
        </w:rPr>
      </w:pPr>
    </w:p>
    <w:p>
      <w:pPr>
        <w:ind w:left="980" w:right="1039"/>
        <w:spacing w:after="0" w:line="253" w:lineRule="auto"/>
        <w:rPr>
          <w:sz w:val="20"/>
          <w:szCs w:val="20"/>
          <w:color w:val="auto"/>
        </w:rPr>
      </w:pPr>
      <w:r>
        <w:rPr>
          <w:rFonts w:ascii="Times New Roman" w:cs="Times New Roman" w:eastAsia="Times New Roman" w:hAnsi="Times New Roman"/>
          <w:sz w:val="15"/>
          <w:szCs w:val="15"/>
          <w:color w:val="auto"/>
        </w:rPr>
        <w:t xml:space="preserve">Since its first clinical use in 2003, lentiviral gene therapy has been studied in several third parties’ clinical trials for rare diseases such as transfusion-dependent beta thalassemia, cerebral adrenoleukodystrophy, or CALD, metachromatic leukodystrophy, or MLD, and adenosine deaminase severe combined immunodeficiency, or ADA-SCID. To date, hundreds of patients have been treated with lentiviral gene therapies in third parties’ and our rare disease clinical trials, and we believe the technology can be developed for other serious conditions based on a rigorous risk/benefit assessment. The ablation procedure, also known as the conditioning regimen, is typically an essential step in the </w:t>
      </w:r>
      <w:r>
        <w:rPr>
          <w:rFonts w:ascii="Times New Roman" w:cs="Times New Roman" w:eastAsia="Times New Roman" w:hAnsi="Times New Roman"/>
          <w:sz w:val="15"/>
          <w:szCs w:val="15"/>
          <w:i w:val="1"/>
          <w:iCs w:val="1"/>
          <w:color w:val="auto"/>
        </w:rPr>
        <w:t>ex vivo</w:t>
      </w:r>
      <w:r>
        <w:rPr>
          <w:rFonts w:ascii="Times New Roman" w:cs="Times New Roman" w:eastAsia="Times New Roman" w:hAnsi="Times New Roman"/>
          <w:sz w:val="15"/>
          <w:szCs w:val="15"/>
          <w:color w:val="auto"/>
        </w:rPr>
        <w:t xml:space="preserve"> gene therapy treatment procedure and is administered prior to the gene therapy. We have worked to optimize the conditioning regimen through utilization of a precision busulfan dosing program, which we refer to as Target Concentration Intervention, or TCI. TCI is designed to enable careful titrating of exposure to the conditioning drug to a specific area under the curve, or AuC. The conditioning regimen utilized as part of our plato platform includes TCI to assess how rapidly the individual patient metabolizes the conditioning agent so physicians can adjust the dose as needed, with a goal of minimizing side effects from conditioning while maximizing the potential of durable engraftment. We believe our approach to conditioning has the potential to extend the reach of our gene therapies to a broad range of diseases as first-line therapies.</w:t>
      </w:r>
    </w:p>
    <w:p>
      <w:pPr>
        <w:spacing w:after="0" w:line="68" w:lineRule="exact"/>
        <w:rPr>
          <w:sz w:val="20"/>
          <w:szCs w:val="20"/>
          <w:color w:val="auto"/>
        </w:rPr>
      </w:pPr>
    </w:p>
    <w:p>
      <w:pPr>
        <w:ind w:left="980" w:right="999"/>
        <w:spacing w:after="0" w:line="252" w:lineRule="auto"/>
        <w:rPr>
          <w:sz w:val="20"/>
          <w:szCs w:val="20"/>
          <w:color w:val="auto"/>
        </w:rPr>
      </w:pPr>
      <w:r>
        <w:rPr>
          <w:rFonts w:ascii="Times New Roman" w:cs="Times New Roman" w:eastAsia="Times New Roman" w:hAnsi="Times New Roman"/>
          <w:sz w:val="15"/>
          <w:szCs w:val="15"/>
          <w:color w:val="auto"/>
        </w:rPr>
        <w:t>We are initially targeting rare lysosomal disorders in which the current standard of care provides the mechanistic proof that the enzymes or proteins produced endogenously following treatment with our gene therapies can offer benefit to patients. Typically, in lysosomal disorders, a gene mutation results in the deficiency or malfunctioning of an enzyme or other protein. This results in the inability of lysosomes to properly process cellular materials such as damaged organelles. As a result, substrates and their metabolites accumulate to toxic levels in the body’s cells and, in turn, disrupt the function of multiple tissues and organs. Gaucher disease (types 1 and 3), Hunter syndrome and Pompe disease are currently primarily managed by bi-weekly (or weekly in the case of Hunter syndrome), multi-hour infusions with ERTs that seek to exogenously replace the missing functional enzyme. However, given their pharmacokinetics, most ERTs typically remain in the plasma only for a short period of time and thus are not ideal because they are only dosed weekly or every two weeks. Cystinosis is currently treated with two oral formulations of cysteamine that must be taken orally every 12 or six hours, leading to significant pill burden and compliance challenges. Further, oral cysteamine treatment has no effect on ocular cystine crystal deposits, thus requiring patients to be treated with topical cysteamine eye drops which must be applied as frequently as each hour the patient is awake. These existing therapies manage, rather than cure, the underlying diseases and, as a result, patients continue to have disease progression. Further, the frequent, periodic and life-long dosing schedule required for ERTs and cysteamine results in significant costs for the healthcare system and is burdensome for the patient.</w:t>
      </w:r>
    </w:p>
    <w:p>
      <w:pPr>
        <w:spacing w:after="0" w:line="77" w:lineRule="exact"/>
        <w:rPr>
          <w:sz w:val="20"/>
          <w:szCs w:val="20"/>
          <w:color w:val="auto"/>
        </w:rPr>
      </w:pPr>
    </w:p>
    <w:p>
      <w:pPr>
        <w:ind w:left="980" w:right="1259"/>
        <w:spacing w:after="0" w:line="258" w:lineRule="auto"/>
        <w:rPr>
          <w:sz w:val="20"/>
          <w:szCs w:val="20"/>
          <w:color w:val="auto"/>
        </w:rPr>
      </w:pPr>
      <w:r>
        <w:rPr>
          <w:rFonts w:ascii="Times New Roman" w:cs="Times New Roman" w:eastAsia="Times New Roman" w:hAnsi="Times New Roman"/>
          <w:sz w:val="15"/>
          <w:szCs w:val="15"/>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potentially providing significant health economic advantages.</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plato: Our Commercially-Scalable Platform</w:t>
      </w:r>
    </w:p>
    <w:p>
      <w:pPr>
        <w:spacing w:after="0" w:line="102" w:lineRule="exact"/>
        <w:rPr>
          <w:sz w:val="20"/>
          <w:szCs w:val="20"/>
          <w:color w:val="auto"/>
        </w:rPr>
      </w:pPr>
    </w:p>
    <w:p>
      <w:pPr>
        <w:jc w:val="both"/>
        <w:ind w:left="980" w:right="1179"/>
        <w:spacing w:after="0" w:line="265" w:lineRule="auto"/>
        <w:rPr>
          <w:sz w:val="20"/>
          <w:szCs w:val="20"/>
          <w:color w:val="auto"/>
        </w:rPr>
      </w:pPr>
      <w:r>
        <w:rPr>
          <w:rFonts w:ascii="Times New Roman" w:cs="Times New Roman" w:eastAsia="Times New Roman" w:hAnsi="Times New Roman"/>
          <w:sz w:val="15"/>
          <w:szCs w:val="15"/>
          <w:color w:val="auto"/>
        </w:rPr>
        <w:t>In addition to developing first-line gene therapies, an important key to our strategy is to continuously improve our technology and production processes and to leverage these improvements across our gene therapies, if approved. Plato is designed to provide the foundation for the potential worldwide commercialization of our gene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9" w:name="page10"/>
    <w:bookmarkEnd w:id="9"/>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4" w:lineRule="exact"/>
        <w:rPr>
          <w:sz w:val="20"/>
          <w:szCs w:val="20"/>
          <w:color w:val="auto"/>
        </w:rPr>
      </w:pPr>
    </w:p>
    <w:p>
      <w:pPr>
        <w:ind w:left="980" w:right="1059"/>
        <w:spacing w:after="0" w:line="255" w:lineRule="auto"/>
        <w:rPr>
          <w:sz w:val="20"/>
          <w:szCs w:val="20"/>
          <w:color w:val="auto"/>
        </w:rPr>
      </w:pPr>
      <w:r>
        <w:rPr>
          <w:rFonts w:ascii="Times New Roman" w:cs="Times New Roman" w:eastAsia="Times New Roman" w:hAnsi="Times New Roman"/>
          <w:sz w:val="15"/>
          <w:szCs w:val="15"/>
          <w:color w:val="auto"/>
        </w:rPr>
        <w:t xml:space="preserve">therapies. It is an </w:t>
      </w:r>
      <w:r>
        <w:rPr>
          <w:rFonts w:ascii="Times New Roman" w:cs="Times New Roman" w:eastAsia="Times New Roman" w:hAnsi="Times New Roman"/>
          <w:sz w:val="15"/>
          <w:szCs w:val="15"/>
          <w:i w:val="1"/>
          <w:iCs w:val="1"/>
          <w:color w:val="auto"/>
        </w:rPr>
        <w:t>ex vivo</w:t>
      </w:r>
      <w:r>
        <w:rPr>
          <w:rFonts w:ascii="Times New Roman" w:cs="Times New Roman" w:eastAsia="Times New Roman" w:hAnsi="Times New Roman"/>
          <w:sz w:val="15"/>
          <w:szCs w:val="15"/>
          <w:color w:val="auto"/>
        </w:rPr>
        <w:t xml:space="preserve">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Plato has been used to dose a total of ten patients in our clinical trials, which includes six patients from our FAB-GT trial, and we intend to utilize the plato platform for all future patients enrolling in our company-sponsored clinical trials. We believe our plato platform may lead to better patient outcomes and will represent a significant advance in our industry towards achieving the quality and scale required for global commercialization of gene therapies.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Corporate History</w:t>
      </w:r>
    </w:p>
    <w:p>
      <w:pPr>
        <w:spacing w:after="0" w:line="102" w:lineRule="exact"/>
        <w:rPr>
          <w:sz w:val="20"/>
          <w:szCs w:val="20"/>
          <w:color w:val="auto"/>
        </w:rPr>
      </w:pPr>
    </w:p>
    <w:p>
      <w:pPr>
        <w:ind w:left="980" w:right="1179"/>
        <w:spacing w:after="0" w:line="256" w:lineRule="auto"/>
        <w:rPr>
          <w:sz w:val="20"/>
          <w:szCs w:val="20"/>
          <w:color w:val="auto"/>
        </w:rPr>
      </w:pPr>
      <w:r>
        <w:rPr>
          <w:rFonts w:ascii="Times New Roman" w:cs="Times New Roman" w:eastAsia="Times New Roman" w:hAnsi="Times New Roman"/>
          <w:sz w:val="15"/>
          <w:szCs w:val="15"/>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100 Technology Square, Sixth Floor, Cambridge, Massachusetts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68" w:lineRule="exact"/>
        <w:rPr>
          <w:sz w:val="20"/>
          <w:szCs w:val="20"/>
          <w:color w:val="auto"/>
        </w:rPr>
      </w:pPr>
    </w:p>
    <w:p>
      <w:pPr>
        <w:ind w:left="980" w:right="1059"/>
        <w:spacing w:after="0" w:line="258" w:lineRule="auto"/>
        <w:rPr>
          <w:sz w:val="20"/>
          <w:szCs w:val="20"/>
          <w:color w:val="auto"/>
        </w:rPr>
      </w:pPr>
      <w:r>
        <w:rPr>
          <w:rFonts w:ascii="Times New Roman" w:cs="Times New Roman" w:eastAsia="Times New Roman" w:hAnsi="Times New Roman"/>
          <w:sz w:val="15"/>
          <w:szCs w:val="15"/>
          <w:color w:val="auto"/>
        </w:rPr>
        <w:t>The trademarks, trade names and service marks appearing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 Our common stock trades on Nasdaq under the symbol “AVRO.”</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w:t>
      </w:r>
    </w:p>
    <w:p>
      <w:pPr>
        <w:spacing w:after="0" w:line="102" w:lineRule="exact"/>
        <w:rPr>
          <w:sz w:val="20"/>
          <w:szCs w:val="20"/>
          <w:color w:val="auto"/>
        </w:rPr>
      </w:pPr>
    </w:p>
    <w:p>
      <w:pPr>
        <w:ind w:left="980" w:right="999"/>
        <w:spacing w:after="0" w:line="265" w:lineRule="auto"/>
        <w:rPr>
          <w:sz w:val="20"/>
          <w:szCs w:val="20"/>
          <w:color w:val="auto"/>
        </w:rPr>
      </w:pPr>
      <w:r>
        <w:rPr>
          <w:rFonts w:ascii="Times New Roman" w:cs="Times New Roman" w:eastAsia="Times New Roman" w:hAnsi="Times New Roman"/>
          <w:sz w:val="15"/>
          <w:szCs w:val="15"/>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60" w:lineRule="exact"/>
        <w:rPr>
          <w:sz w:val="20"/>
          <w:szCs w:val="20"/>
          <w:color w:val="auto"/>
        </w:rPr>
      </w:pPr>
    </w:p>
    <w:p>
      <w:pPr>
        <w:ind w:left="1580" w:right="1079" w:hanging="291"/>
        <w:spacing w:after="0" w:line="265"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9"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about our executive compensation arrangements;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advisory votes on executive compensation or golden parachute arrangements;</w:t>
      </w:r>
    </w:p>
    <w:p>
      <w:pPr>
        <w:spacing w:after="0" w:line="97" w:lineRule="exact"/>
        <w:rPr>
          <w:rFonts w:ascii="Times New Roman" w:cs="Times New Roman" w:eastAsia="Times New Roman" w:hAnsi="Times New Roman"/>
          <w:sz w:val="15"/>
          <w:szCs w:val="15"/>
          <w:color w:val="auto"/>
        </w:rPr>
      </w:pPr>
    </w:p>
    <w:p>
      <w:pPr>
        <w:ind w:left="1580" w:right="1039" w:hanging="291"/>
        <w:spacing w:after="0" w:line="280"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 from the auditor attestation requirement in the assessment of our internal control over financial reporting; and</w:t>
      </w:r>
    </w:p>
    <w:p>
      <w:pPr>
        <w:spacing w:after="0" w:line="48" w:lineRule="exact"/>
        <w:rPr>
          <w:rFonts w:ascii="Times New Roman" w:cs="Times New Roman" w:eastAsia="Times New Roman" w:hAnsi="Times New Roman"/>
          <w:sz w:val="15"/>
          <w:szCs w:val="15"/>
          <w:color w:val="auto"/>
        </w:rPr>
      </w:pPr>
    </w:p>
    <w:p>
      <w:pPr>
        <w:ind w:left="1580" w:right="1119" w:hanging="291"/>
        <w:spacing w:after="0" w:line="265" w:lineRule="auto"/>
        <w:tabs>
          <w:tab w:leader="none" w:pos="1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60" w:lineRule="exact"/>
        <w:rPr>
          <w:sz w:val="20"/>
          <w:szCs w:val="20"/>
          <w:color w:val="auto"/>
        </w:rPr>
      </w:pPr>
    </w:p>
    <w:p>
      <w:pPr>
        <w:ind w:left="980" w:right="1259"/>
        <w:spacing w:after="0" w:line="278" w:lineRule="auto"/>
        <w:rPr>
          <w:sz w:val="20"/>
          <w:szCs w:val="20"/>
          <w:color w:val="auto"/>
        </w:rPr>
      </w:pPr>
      <w:r>
        <w:rPr>
          <w:rFonts w:ascii="Times New Roman" w:cs="Times New Roman" w:eastAsia="Times New Roman" w:hAnsi="Times New Roman"/>
          <w:sz w:val="14"/>
          <w:szCs w:val="14"/>
          <w:color w:val="auto"/>
        </w:rPr>
        <w:t>We may take advantage of these exemptions for up to five years or such earlier time that we are no longer an emerging growth company. We would cease to be an emerging growth company on the date that is the earliest of</w:t>
      </w:r>
    </w:p>
    <w:p>
      <w:pPr>
        <w:spacing w:after="0" w:line="1" w:lineRule="exact"/>
        <w:rPr>
          <w:sz w:val="20"/>
          <w:szCs w:val="20"/>
          <w:color w:val="auto"/>
        </w:rPr>
      </w:pPr>
    </w:p>
    <w:p>
      <w:pPr>
        <w:ind w:left="980" w:right="1019" w:firstLine="8"/>
        <w:spacing w:after="0" w:line="252" w:lineRule="auto"/>
        <w:tabs>
          <w:tab w:leader="none" w:pos="115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last day of the fiscal year in which we have total annual gross revenues of $1.235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69" w:lineRule="exact"/>
        <w:rPr>
          <w:sz w:val="20"/>
          <w:szCs w:val="20"/>
          <w:color w:val="auto"/>
        </w:rPr>
      </w:pPr>
    </w:p>
    <w:p>
      <w:pPr>
        <w:ind w:left="980" w:right="1099"/>
        <w:spacing w:after="0" w:line="260" w:lineRule="auto"/>
        <w:rPr>
          <w:sz w:val="20"/>
          <w:szCs w:val="20"/>
          <w:color w:val="auto"/>
        </w:rPr>
      </w:pPr>
      <w:r>
        <w:rPr>
          <w:rFonts w:ascii="Times New Roman" w:cs="Times New Roman" w:eastAsia="Times New Roman" w:hAnsi="Times New Roman"/>
          <w:sz w:val="15"/>
          <w:szCs w:val="15"/>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02" w:lineRule="exact"/>
        <w:rPr>
          <w:sz w:val="20"/>
          <w:szCs w:val="20"/>
          <w:color w:val="auto"/>
        </w:rPr>
      </w:pPr>
    </w:p>
    <w:p>
      <w:pPr>
        <w:ind w:left="980" w:right="1059"/>
        <w:spacing w:after="0" w:line="254" w:lineRule="auto"/>
        <w:rPr>
          <w:sz w:val="20"/>
          <w:szCs w:val="20"/>
          <w:color w:val="auto"/>
        </w:rPr>
      </w:pPr>
      <w:r>
        <w:rPr>
          <w:rFonts w:ascii="Times New Roman" w:cs="Times New Roman" w:eastAsia="Times New Roman" w:hAnsi="Times New Roman"/>
          <w:sz w:val="15"/>
          <w:szCs w:val="15"/>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repayment of debt,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1" w:name="page12"/>
    <w:bookmarkEnd w:id="11"/>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WE MAY OFFER</w:t>
      </w:r>
    </w:p>
    <w:p>
      <w:pPr>
        <w:spacing w:after="0" w:line="102" w:lineRule="exact"/>
        <w:rPr>
          <w:sz w:val="20"/>
          <w:szCs w:val="20"/>
          <w:color w:val="auto"/>
        </w:rPr>
      </w:pPr>
    </w:p>
    <w:p>
      <w:pPr>
        <w:ind w:left="980" w:right="1119"/>
        <w:spacing w:after="0" w:line="256" w:lineRule="auto"/>
        <w:rPr>
          <w:sz w:val="20"/>
          <w:szCs w:val="20"/>
          <w:color w:val="auto"/>
        </w:rPr>
      </w:pPr>
      <w:r>
        <w:rPr>
          <w:rFonts w:ascii="Times New Roman" w:cs="Times New Roman" w:eastAsia="Times New Roman" w:hAnsi="Times New Roman"/>
          <w:sz w:val="15"/>
          <w:szCs w:val="15"/>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68" w:lineRule="exact"/>
        <w:rPr>
          <w:sz w:val="20"/>
          <w:szCs w:val="20"/>
          <w:color w:val="auto"/>
        </w:rPr>
      </w:pPr>
    </w:p>
    <w:p>
      <w:pPr>
        <w:ind w:left="980" w:right="1019"/>
        <w:spacing w:after="0" w:line="256" w:lineRule="auto"/>
        <w:rPr>
          <w:sz w:val="20"/>
          <w:szCs w:val="20"/>
          <w:color w:val="auto"/>
        </w:rPr>
      </w:pPr>
      <w:r>
        <w:rPr>
          <w:rFonts w:ascii="Times New Roman" w:cs="Times New Roman" w:eastAsia="Times New Roman" w:hAnsi="Times New Roman"/>
          <w:sz w:val="15"/>
          <w:szCs w:val="15"/>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2" w:name="page13"/>
    <w:bookmarkEnd w:id="12"/>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00" w:lineRule="exact"/>
        <w:rPr>
          <w:sz w:val="20"/>
          <w:szCs w:val="20"/>
          <w:color w:val="auto"/>
        </w:rPr>
      </w:pPr>
    </w:p>
    <w:p>
      <w:pPr>
        <w:ind w:left="980" w:right="1019"/>
        <w:spacing w:after="0" w:line="257" w:lineRule="auto"/>
        <w:rPr>
          <w:sz w:val="20"/>
          <w:szCs w:val="20"/>
          <w:color w:val="auto"/>
        </w:rPr>
      </w:pPr>
      <w:r>
        <w:rPr>
          <w:rFonts w:ascii="Times New Roman" w:cs="Times New Roman" w:eastAsia="Times New Roman" w:hAnsi="Times New Roman"/>
          <w:sz w:val="15"/>
          <w:szCs w:val="15"/>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2" w:lineRule="exact"/>
        <w:rPr>
          <w:sz w:val="20"/>
          <w:szCs w:val="20"/>
          <w:color w:val="auto"/>
        </w:rPr>
      </w:pPr>
    </w:p>
    <w:p>
      <w:pPr>
        <w:ind w:left="980" w:right="1339"/>
        <w:spacing w:after="0" w:line="265" w:lineRule="auto"/>
        <w:rPr>
          <w:sz w:val="20"/>
          <w:szCs w:val="20"/>
          <w:color w:val="auto"/>
        </w:rPr>
      </w:pPr>
      <w:r>
        <w:rPr>
          <w:rFonts w:ascii="Times New Roman" w:cs="Times New Roman" w:eastAsia="Times New Roman" w:hAnsi="Times New Roman"/>
          <w:sz w:val="15"/>
          <w:szCs w:val="15"/>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As of November 3, 2022, 43,774,088 shares of our common stock were outstanding.</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02" w:lineRule="exact"/>
        <w:rPr>
          <w:sz w:val="20"/>
          <w:szCs w:val="20"/>
          <w:color w:val="auto"/>
        </w:rPr>
      </w:pPr>
    </w:p>
    <w:p>
      <w:pPr>
        <w:ind w:left="980" w:right="1019"/>
        <w:spacing w:after="0" w:line="256" w:lineRule="auto"/>
        <w:rPr>
          <w:sz w:val="20"/>
          <w:szCs w:val="20"/>
          <w:color w:val="auto"/>
        </w:rPr>
      </w:pPr>
      <w:r>
        <w:rPr>
          <w:rFonts w:ascii="Times New Roman" w:cs="Times New Roman" w:eastAsia="Times New Roman" w:hAnsi="Times New Roman"/>
          <w:sz w:val="15"/>
          <w:szCs w:val="15"/>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68" w:lineRule="exact"/>
        <w:rPr>
          <w:sz w:val="20"/>
          <w:szCs w:val="20"/>
          <w:color w:val="auto"/>
        </w:rPr>
      </w:pPr>
    </w:p>
    <w:p>
      <w:pPr>
        <w:ind w:left="980" w:right="1179"/>
        <w:spacing w:after="0" w:line="265" w:lineRule="auto"/>
        <w:rPr>
          <w:sz w:val="20"/>
          <w:szCs w:val="20"/>
          <w:color w:val="auto"/>
        </w:rPr>
      </w:pPr>
      <w:r>
        <w:rPr>
          <w:rFonts w:ascii="Times New Roman" w:cs="Times New Roman" w:eastAsia="Times New Roman" w:hAnsi="Times New Roman"/>
          <w:sz w:val="15"/>
          <w:szCs w:val="15"/>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60" w:lineRule="exact"/>
        <w:rPr>
          <w:sz w:val="20"/>
          <w:szCs w:val="20"/>
          <w:color w:val="auto"/>
        </w:rPr>
      </w:pPr>
    </w:p>
    <w:p>
      <w:pPr>
        <w:ind w:left="980" w:right="1139"/>
        <w:spacing w:after="0" w:line="280" w:lineRule="auto"/>
        <w:rPr>
          <w:sz w:val="20"/>
          <w:szCs w:val="20"/>
          <w:color w:val="auto"/>
        </w:rPr>
      </w:pPr>
      <w:r>
        <w:rPr>
          <w:rFonts w:ascii="Times New Roman" w:cs="Times New Roman" w:eastAsia="Times New Roman" w:hAnsi="Times New Roman"/>
          <w:sz w:val="15"/>
          <w:szCs w:val="15"/>
          <w:color w:val="auto"/>
        </w:rPr>
        <w:t>When we issue shares of common stock under this prospectus, the shares will be fully paid and non-assessable and will not have, or be subject to, any preemptive or similar rights.</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02" w:lineRule="exact"/>
        <w:rPr>
          <w:sz w:val="20"/>
          <w:szCs w:val="20"/>
          <w:color w:val="auto"/>
        </w:rPr>
      </w:pPr>
    </w:p>
    <w:p>
      <w:pPr>
        <w:ind w:left="980" w:right="1019"/>
        <w:spacing w:after="0" w:line="253" w:lineRule="auto"/>
        <w:rPr>
          <w:sz w:val="20"/>
          <w:szCs w:val="20"/>
          <w:color w:val="auto"/>
        </w:rPr>
      </w:pPr>
      <w:r>
        <w:rPr>
          <w:rFonts w:ascii="Times New Roman" w:cs="Times New Roman" w:eastAsia="Times New Roman" w:hAnsi="Times New Roman"/>
          <w:sz w:val="15"/>
          <w:szCs w:val="15"/>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 purpose of authorizing our board of directors to issue preferred stock in one or more series and determine the number of shares in the series and its rights and preferences is to eliminate delays associated with a stockholder vote on specific issuances. In addition, the issuance of preferred stock could have the effect of delaying, deferring or preventing a change in control of our company or other corporate action. When we issue shares of preferred stock under this prospectus, the shares will be fully paid and non-assessable and will not be subject to any preemptive or similar rights.</w:t>
      </w:r>
    </w:p>
    <w:p>
      <w:pPr>
        <w:spacing w:after="0" w:line="68" w:lineRule="exact"/>
        <w:rPr>
          <w:sz w:val="20"/>
          <w:szCs w:val="20"/>
          <w:color w:val="auto"/>
        </w:rPr>
      </w:pPr>
    </w:p>
    <w:p>
      <w:pPr>
        <w:ind w:left="980" w:right="1099"/>
        <w:spacing w:after="0" w:line="253" w:lineRule="auto"/>
        <w:rPr>
          <w:sz w:val="20"/>
          <w:szCs w:val="20"/>
          <w:color w:val="auto"/>
        </w:rPr>
      </w:pPr>
      <w:r>
        <w:rPr>
          <w:rFonts w:ascii="Times New Roman" w:cs="Times New Roman" w:eastAsia="Times New Roman" w:hAnsi="Times New Roman"/>
          <w:sz w:val="15"/>
          <w:szCs w:val="15"/>
          <w:color w:val="auto"/>
        </w:rPr>
        <w:t>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3" w:name="page14"/>
    <w:bookmarkEnd w:id="13"/>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Stock Options</w:t>
      </w:r>
    </w:p>
    <w:p>
      <w:pPr>
        <w:spacing w:after="0" w:line="102" w:lineRule="exact"/>
        <w:rPr>
          <w:sz w:val="20"/>
          <w:szCs w:val="20"/>
          <w:color w:val="auto"/>
        </w:rPr>
      </w:pPr>
    </w:p>
    <w:p>
      <w:pPr>
        <w:ind w:left="980" w:right="1399"/>
        <w:spacing w:after="0" w:line="280" w:lineRule="auto"/>
        <w:rPr>
          <w:sz w:val="20"/>
          <w:szCs w:val="20"/>
          <w:color w:val="auto"/>
        </w:rPr>
      </w:pPr>
      <w:r>
        <w:rPr>
          <w:rFonts w:ascii="Times New Roman" w:cs="Times New Roman" w:eastAsia="Times New Roman" w:hAnsi="Times New Roman"/>
          <w:sz w:val="15"/>
          <w:szCs w:val="15"/>
          <w:color w:val="auto"/>
        </w:rPr>
        <w:t>As of September 30, 2022, there were outstanding options to purchase an aggregate of 8,083,363 shares of our common stock.</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02" w:lineRule="exact"/>
        <w:rPr>
          <w:sz w:val="20"/>
          <w:szCs w:val="20"/>
          <w:color w:val="auto"/>
        </w:rPr>
      </w:pPr>
    </w:p>
    <w:p>
      <w:pPr>
        <w:ind w:left="980" w:right="1099"/>
        <w:spacing w:after="0" w:line="255" w:lineRule="auto"/>
        <w:rPr>
          <w:sz w:val="20"/>
          <w:szCs w:val="20"/>
          <w:color w:val="auto"/>
        </w:rPr>
      </w:pPr>
      <w:r>
        <w:rPr>
          <w:rFonts w:ascii="Times New Roman" w:cs="Times New Roman" w:eastAsia="Times New Roman" w:hAnsi="Times New Roman"/>
          <w:sz w:val="15"/>
          <w:szCs w:val="15"/>
          <w:color w:val="auto"/>
        </w:rPr>
        <w:t>As of November 1, 2022, the holders of 4,541,381 shares of our common stock are entitled to rights with respect to the registration of these securities under the Securities Act. These rights are provided under the terms of an investors’ rights agreement between us and holders of our preferred stock, which 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w:t>
      </w:r>
    </w:p>
    <w:p>
      <w:pPr>
        <w:spacing w:after="0" w:line="102" w:lineRule="exact"/>
        <w:rPr>
          <w:sz w:val="20"/>
          <w:szCs w:val="20"/>
          <w:color w:val="auto"/>
        </w:rPr>
      </w:pPr>
    </w:p>
    <w:p>
      <w:pPr>
        <w:ind w:left="980" w:right="1019"/>
        <w:spacing w:after="0" w:line="258" w:lineRule="auto"/>
        <w:rPr>
          <w:sz w:val="20"/>
          <w:szCs w:val="20"/>
          <w:color w:val="auto"/>
        </w:rPr>
      </w:pPr>
      <w:r>
        <w:rPr>
          <w:rFonts w:ascii="Times New Roman" w:cs="Times New Roman" w:eastAsia="Times New Roman" w:hAnsi="Times New Roman"/>
          <w:sz w:val="15"/>
          <w:szCs w:val="15"/>
          <w:color w:val="auto"/>
        </w:rPr>
        <w:t>The holders of 4,541,381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Short-Form Registration Rights</w:t>
      </w:r>
    </w:p>
    <w:p>
      <w:pPr>
        <w:spacing w:after="0" w:line="102" w:lineRule="exact"/>
        <w:rPr>
          <w:sz w:val="20"/>
          <w:szCs w:val="20"/>
          <w:color w:val="auto"/>
        </w:rPr>
      </w:pPr>
    </w:p>
    <w:p>
      <w:pPr>
        <w:ind w:left="980" w:right="1099"/>
        <w:spacing w:after="0" w:line="256" w:lineRule="auto"/>
        <w:rPr>
          <w:sz w:val="20"/>
          <w:szCs w:val="20"/>
          <w:color w:val="auto"/>
        </w:rPr>
      </w:pPr>
      <w:r>
        <w:rPr>
          <w:rFonts w:ascii="Times New Roman" w:cs="Times New Roman" w:eastAsia="Times New Roman" w:hAnsi="Times New Roman"/>
          <w:sz w:val="15"/>
          <w:szCs w:val="15"/>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twelve-month period pursuant to this provision of the investors’ rights agreement. The right to have such shares registered on Form S-3 is further subject to other specified conditions and limitations.</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Piggyback Registration Rights</w:t>
      </w:r>
    </w:p>
    <w:p>
      <w:pPr>
        <w:spacing w:after="0" w:line="102" w:lineRule="exact"/>
        <w:rPr>
          <w:sz w:val="20"/>
          <w:szCs w:val="20"/>
          <w:color w:val="auto"/>
        </w:rPr>
      </w:pPr>
    </w:p>
    <w:p>
      <w:pPr>
        <w:ind w:left="980" w:right="1099"/>
        <w:spacing w:after="0" w:line="258" w:lineRule="auto"/>
        <w:rPr>
          <w:sz w:val="20"/>
          <w:szCs w:val="20"/>
          <w:color w:val="auto"/>
        </w:rPr>
      </w:pPr>
      <w:r>
        <w:rPr>
          <w:rFonts w:ascii="Times New Roman" w:cs="Times New Roman" w:eastAsia="Times New Roman" w:hAnsi="Times New Roman"/>
          <w:sz w:val="15"/>
          <w:szCs w:val="15"/>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w:t>
      </w:r>
    </w:p>
    <w:p>
      <w:pPr>
        <w:spacing w:after="0" w:line="102" w:lineRule="exact"/>
        <w:rPr>
          <w:sz w:val="20"/>
          <w:szCs w:val="20"/>
          <w:color w:val="auto"/>
        </w:rPr>
      </w:pPr>
    </w:p>
    <w:p>
      <w:pPr>
        <w:ind w:left="980" w:right="1059"/>
        <w:spacing w:after="0" w:line="260" w:lineRule="auto"/>
        <w:rPr>
          <w:sz w:val="20"/>
          <w:szCs w:val="20"/>
          <w:color w:val="auto"/>
        </w:rPr>
      </w:pPr>
      <w:r>
        <w:rPr>
          <w:rFonts w:ascii="Times New Roman" w:cs="Times New Roman" w:eastAsia="Times New Roman" w:hAnsi="Times New Roman"/>
          <w:sz w:val="15"/>
          <w:szCs w:val="15"/>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Expiration of Registration Rights</w:t>
      </w:r>
    </w:p>
    <w:p>
      <w:pPr>
        <w:spacing w:after="0" w:line="102" w:lineRule="exact"/>
        <w:rPr>
          <w:sz w:val="20"/>
          <w:szCs w:val="20"/>
          <w:color w:val="auto"/>
        </w:rPr>
      </w:pPr>
    </w:p>
    <w:p>
      <w:pPr>
        <w:jc w:val="both"/>
        <w:ind w:left="980" w:right="1039"/>
        <w:spacing w:after="0" w:line="260" w:lineRule="auto"/>
        <w:rPr>
          <w:sz w:val="20"/>
          <w:szCs w:val="20"/>
          <w:color w:val="auto"/>
        </w:rPr>
      </w:pPr>
      <w:r>
        <w:rPr>
          <w:rFonts w:ascii="Times New Roman" w:cs="Times New Roman" w:eastAsia="Times New Roman" w:hAnsi="Times New Roman"/>
          <w:sz w:val="15"/>
          <w:szCs w:val="15"/>
          <w:color w:val="auto"/>
        </w:rPr>
        <w:t>The demand registration rights and short form registration rights granted under the investors’ rights agreement will terminate on the earliest of (i) a deemed liquidation event, as defined in the investors’ rights agreement, (ii) the fifth anniversary of the completion of our IPO and (iii) when the holders’ shares may be sold without restriction pursuant to Rule 144 within a three-month period.</w:t>
      </w:r>
    </w:p>
    <w:p>
      <w:pPr>
        <w:spacing w:after="0" w:line="1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Anti-Takeover Effects of our Certificate of Incorporation and Bylaws and Delaware Law</w:t>
      </w:r>
    </w:p>
    <w:p>
      <w:pPr>
        <w:spacing w:after="0" w:line="102" w:lineRule="exact"/>
        <w:rPr>
          <w:sz w:val="20"/>
          <w:szCs w:val="20"/>
          <w:color w:val="auto"/>
        </w:rPr>
      </w:pPr>
    </w:p>
    <w:p>
      <w:pPr>
        <w:ind w:left="980" w:right="1099"/>
        <w:spacing w:after="0" w:line="258" w:lineRule="auto"/>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4" w:name="page15"/>
    <w:bookmarkEnd w:id="14"/>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Board Composition and Filling Vacancies</w:t>
      </w:r>
    </w:p>
    <w:p>
      <w:pPr>
        <w:spacing w:after="0" w:line="102" w:lineRule="exact"/>
        <w:rPr>
          <w:sz w:val="20"/>
          <w:szCs w:val="20"/>
          <w:color w:val="auto"/>
        </w:rPr>
      </w:pPr>
    </w:p>
    <w:p>
      <w:pPr>
        <w:ind w:left="980" w:right="1179"/>
        <w:spacing w:after="0" w:line="254"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No Written Consent of Stockholders</w:t>
      </w:r>
    </w:p>
    <w:p>
      <w:pPr>
        <w:spacing w:after="0" w:line="102" w:lineRule="exact"/>
        <w:rPr>
          <w:sz w:val="20"/>
          <w:szCs w:val="20"/>
          <w:color w:val="auto"/>
        </w:rPr>
      </w:pPr>
    </w:p>
    <w:p>
      <w:pPr>
        <w:ind w:left="980" w:right="1039"/>
        <w:spacing w:after="0" w:line="258"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Meetings of Stockholders</w:t>
      </w:r>
    </w:p>
    <w:p>
      <w:pPr>
        <w:spacing w:after="0" w:line="102" w:lineRule="exact"/>
        <w:rPr>
          <w:sz w:val="20"/>
          <w:szCs w:val="20"/>
          <w:color w:val="auto"/>
        </w:rPr>
      </w:pPr>
    </w:p>
    <w:p>
      <w:pPr>
        <w:ind w:left="980" w:right="1039"/>
        <w:spacing w:after="0" w:line="258" w:lineRule="auto"/>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Advance Notice Requirements</w:t>
      </w:r>
    </w:p>
    <w:p>
      <w:pPr>
        <w:spacing w:after="0" w:line="102" w:lineRule="exact"/>
        <w:rPr>
          <w:sz w:val="20"/>
          <w:szCs w:val="20"/>
          <w:color w:val="auto"/>
        </w:rPr>
      </w:pPr>
    </w:p>
    <w:p>
      <w:pPr>
        <w:ind w:left="980" w:right="1019"/>
        <w:spacing w:after="0" w:line="255" w:lineRule="auto"/>
        <w:rPr>
          <w:sz w:val="20"/>
          <w:szCs w:val="20"/>
          <w:color w:val="auto"/>
        </w:rPr>
      </w:pPr>
      <w:r>
        <w:rPr>
          <w:rFonts w:ascii="Times New Roman" w:cs="Times New Roman" w:eastAsia="Times New Roman" w:hAnsi="Times New Roman"/>
          <w:sz w:val="15"/>
          <w:szCs w:val="15"/>
          <w:color w:val="auto"/>
        </w:rPr>
        <w:t>Our amended and restated bylaws establishes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Amendment to Certificate of Incorporation and Bylaws</w:t>
      </w:r>
    </w:p>
    <w:p>
      <w:pPr>
        <w:spacing w:after="0" w:line="102" w:lineRule="exact"/>
        <w:rPr>
          <w:sz w:val="20"/>
          <w:szCs w:val="20"/>
          <w:color w:val="auto"/>
        </w:rPr>
      </w:pPr>
    </w:p>
    <w:p>
      <w:pPr>
        <w:ind w:left="980" w:right="1019"/>
        <w:spacing w:after="0" w:line="253" w:lineRule="auto"/>
        <w:rPr>
          <w:sz w:val="20"/>
          <w:szCs w:val="20"/>
          <w:color w:val="auto"/>
        </w:rPr>
      </w:pPr>
      <w:r>
        <w:rPr>
          <w:rFonts w:ascii="Times New Roman" w:cs="Times New Roman" w:eastAsia="Times New Roman" w:hAnsi="Times New Roman"/>
          <w:sz w:val="15"/>
          <w:szCs w:val="15"/>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Undesignated Preferred Stock</w:t>
      </w:r>
    </w:p>
    <w:p>
      <w:pPr>
        <w:spacing w:after="0" w:line="102" w:lineRule="exact"/>
        <w:rPr>
          <w:sz w:val="20"/>
          <w:szCs w:val="20"/>
          <w:color w:val="auto"/>
        </w:rPr>
      </w:pPr>
    </w:p>
    <w:p>
      <w:pPr>
        <w:jc w:val="both"/>
        <w:ind w:left="980" w:right="1099"/>
        <w:spacing w:after="0" w:line="265"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5" w:name="page16"/>
    <w:bookmarkEnd w:id="15"/>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980" w:right="999"/>
        <w:spacing w:after="0" w:line="254" w:lineRule="auto"/>
        <w:rPr>
          <w:sz w:val="20"/>
          <w:szCs w:val="20"/>
          <w:color w:val="auto"/>
        </w:rPr>
      </w:pPr>
      <w:r>
        <w:rPr>
          <w:rFonts w:ascii="Times New Roman" w:cs="Times New Roman" w:eastAsia="Times New Roman" w:hAnsi="Times New Roman"/>
          <w:sz w:val="15"/>
          <w:szCs w:val="15"/>
          <w:color w:val="auto"/>
        </w:rPr>
        <w:t>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There are no restrictions on our repurchase or redemption of shares of preferred stock while there is any arrearage in the payment of dividends or sinking fund installments.</w:t>
      </w:r>
    </w:p>
    <w:p>
      <w:pPr>
        <w:spacing w:after="0" w:line="2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Choice of Forum</w:t>
      </w:r>
    </w:p>
    <w:p>
      <w:pPr>
        <w:spacing w:after="0" w:line="102" w:lineRule="exact"/>
        <w:rPr>
          <w:sz w:val="20"/>
          <w:szCs w:val="20"/>
          <w:color w:val="auto"/>
        </w:rPr>
      </w:pPr>
    </w:p>
    <w:p>
      <w:pPr>
        <w:ind w:left="980" w:right="1019"/>
        <w:spacing w:after="0" w:line="252" w:lineRule="auto"/>
        <w:rPr>
          <w:sz w:val="20"/>
          <w:szCs w:val="20"/>
          <w:color w:val="auto"/>
        </w:rPr>
      </w:pPr>
      <w:r>
        <w:rPr>
          <w:rFonts w:ascii="Times New Roman" w:cs="Times New Roman" w:eastAsia="Times New Roman" w:hAnsi="Times New Roman"/>
          <w:sz w:val="15"/>
          <w:szCs w:val="15"/>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76" w:lineRule="exact"/>
        <w:rPr>
          <w:sz w:val="20"/>
          <w:szCs w:val="20"/>
          <w:color w:val="auto"/>
        </w:rPr>
      </w:pPr>
    </w:p>
    <w:p>
      <w:pPr>
        <w:ind w:left="980" w:right="1019"/>
        <w:spacing w:after="0" w:line="252" w:lineRule="auto"/>
        <w:rPr>
          <w:sz w:val="20"/>
          <w:szCs w:val="20"/>
          <w:color w:val="auto"/>
        </w:rPr>
      </w:pPr>
      <w:r>
        <w:rPr>
          <w:rFonts w:ascii="Times New Roman" w:cs="Times New Roman" w:eastAsia="Times New Roman" w:hAnsi="Times New Roman"/>
          <w:sz w:val="15"/>
          <w:szCs w:val="15"/>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6" w:name="page17"/>
    <w:bookmarkEnd w:id="16"/>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Section 203 of the Delaware General Corporation Law</w:t>
      </w:r>
    </w:p>
    <w:p>
      <w:pPr>
        <w:spacing w:after="0" w:line="102" w:lineRule="exact"/>
        <w:rPr>
          <w:sz w:val="20"/>
          <w:szCs w:val="20"/>
          <w:color w:val="auto"/>
        </w:rPr>
      </w:pPr>
    </w:p>
    <w:p>
      <w:pPr>
        <w:ind w:left="980" w:right="1099"/>
        <w:spacing w:after="0" w:line="258" w:lineRule="auto"/>
        <w:rPr>
          <w:sz w:val="20"/>
          <w:szCs w:val="20"/>
          <w:color w:val="auto"/>
        </w:rPr>
      </w:pPr>
      <w:r>
        <w:rPr>
          <w:rFonts w:ascii="Times New Roman" w:cs="Times New Roman" w:eastAsia="Times New Roman" w:hAnsi="Times New Roman"/>
          <w:sz w:val="15"/>
          <w:szCs w:val="15"/>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4" w:lineRule="exact"/>
        <w:rPr>
          <w:sz w:val="20"/>
          <w:szCs w:val="20"/>
          <w:color w:val="auto"/>
        </w:rPr>
      </w:pPr>
    </w:p>
    <w:p>
      <w:pPr>
        <w:ind w:left="1580" w:right="1059" w:hanging="291"/>
        <w:spacing w:after="0" w:line="280" w:lineRule="auto"/>
        <w:tabs>
          <w:tab w:leader="none" w:pos="1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before the stockholder became interested, our board of directors approved either the business combination or the transaction which resulted in the stockholder becoming an interested stockholder;</w:t>
      </w:r>
    </w:p>
    <w:p>
      <w:pPr>
        <w:spacing w:after="0" w:line="48" w:lineRule="exact"/>
        <w:rPr>
          <w:rFonts w:ascii="Times New Roman" w:cs="Times New Roman" w:eastAsia="Times New Roman" w:hAnsi="Times New Roman"/>
          <w:sz w:val="15"/>
          <w:szCs w:val="15"/>
          <w:color w:val="auto"/>
        </w:rPr>
      </w:pPr>
    </w:p>
    <w:p>
      <w:pPr>
        <w:ind w:left="1580" w:right="1019" w:hanging="291"/>
        <w:spacing w:after="0" w:line="258" w:lineRule="auto"/>
        <w:tabs>
          <w:tab w:leader="none" w:pos="1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64" w:lineRule="exact"/>
        <w:rPr>
          <w:rFonts w:ascii="Times New Roman" w:cs="Times New Roman" w:eastAsia="Times New Roman" w:hAnsi="Times New Roman"/>
          <w:sz w:val="15"/>
          <w:szCs w:val="15"/>
          <w:color w:val="auto"/>
        </w:rPr>
      </w:pPr>
    </w:p>
    <w:p>
      <w:pPr>
        <w:ind w:left="1580" w:right="1259" w:hanging="291"/>
        <w:spacing w:after="0" w:line="260" w:lineRule="auto"/>
        <w:tabs>
          <w:tab w:leader="none" w:pos="1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Section 203 defines a business combination to include:</w:t>
      </w:r>
    </w:p>
    <w:p>
      <w:pPr>
        <w:spacing w:after="0" w:line="98" w:lineRule="exact"/>
        <w:rPr>
          <w:sz w:val="20"/>
          <w:szCs w:val="20"/>
          <w:color w:val="auto"/>
        </w:rPr>
      </w:pPr>
    </w:p>
    <w:p>
      <w:pPr>
        <w:ind w:left="1580" w:hanging="291"/>
        <w:spacing w:after="0"/>
        <w:tabs>
          <w:tab w:leader="none" w:pos="1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or consolidation involving the corporation and the interested stockholder;</w:t>
      </w:r>
    </w:p>
    <w:p>
      <w:pPr>
        <w:spacing w:after="0" w:line="97" w:lineRule="exact"/>
        <w:rPr>
          <w:rFonts w:ascii="Times New Roman" w:cs="Times New Roman" w:eastAsia="Times New Roman" w:hAnsi="Times New Roman"/>
          <w:sz w:val="15"/>
          <w:szCs w:val="15"/>
          <w:color w:val="auto"/>
        </w:rPr>
      </w:pPr>
    </w:p>
    <w:p>
      <w:pPr>
        <w:ind w:left="1580" w:right="1019" w:hanging="291"/>
        <w:spacing w:after="0" w:line="280" w:lineRule="auto"/>
        <w:tabs>
          <w:tab w:leader="none" w:pos="1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sale, transfer, lease, pledge or other disposition involving the interested stockholder of 10% or more of the assets of the corporation;</w:t>
      </w:r>
    </w:p>
    <w:p>
      <w:pPr>
        <w:spacing w:after="0" w:line="48" w:lineRule="exact"/>
        <w:rPr>
          <w:rFonts w:ascii="Times New Roman" w:cs="Times New Roman" w:eastAsia="Times New Roman" w:hAnsi="Times New Roman"/>
          <w:sz w:val="15"/>
          <w:szCs w:val="15"/>
          <w:color w:val="auto"/>
        </w:rPr>
      </w:pPr>
    </w:p>
    <w:p>
      <w:pPr>
        <w:ind w:left="1580" w:right="999" w:hanging="291"/>
        <w:spacing w:after="0" w:line="280" w:lineRule="auto"/>
        <w:tabs>
          <w:tab w:leader="none" w:pos="1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exceptions, any transaction that results in the issuance or transfer by the corporation of any stock of the corporation to the interested stockholder;</w:t>
      </w:r>
    </w:p>
    <w:p>
      <w:pPr>
        <w:spacing w:after="0" w:line="48" w:lineRule="exact"/>
        <w:rPr>
          <w:rFonts w:ascii="Times New Roman" w:cs="Times New Roman" w:eastAsia="Times New Roman" w:hAnsi="Times New Roman"/>
          <w:sz w:val="15"/>
          <w:szCs w:val="15"/>
          <w:color w:val="auto"/>
        </w:rPr>
      </w:pPr>
    </w:p>
    <w:p>
      <w:pPr>
        <w:jc w:val="both"/>
        <w:ind w:left="1580" w:right="1479" w:hanging="291"/>
        <w:spacing w:after="0" w:line="265" w:lineRule="auto"/>
        <w:tabs>
          <w:tab w:leader="none" w:pos="1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59" w:lineRule="exact"/>
        <w:rPr>
          <w:rFonts w:ascii="Times New Roman" w:cs="Times New Roman" w:eastAsia="Times New Roman" w:hAnsi="Times New Roman"/>
          <w:sz w:val="15"/>
          <w:szCs w:val="15"/>
          <w:color w:val="auto"/>
        </w:rPr>
      </w:pPr>
    </w:p>
    <w:p>
      <w:pPr>
        <w:ind w:left="1580" w:right="1039" w:hanging="291"/>
        <w:spacing w:after="0" w:line="280" w:lineRule="auto"/>
        <w:tabs>
          <w:tab w:leader="none" w:pos="1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the interested stockholder of the benefit of any loans, advances, guarantees, pledges or other financial benefits provided by or through the corporation.</w:t>
      </w:r>
    </w:p>
    <w:p>
      <w:pPr>
        <w:spacing w:after="0" w:line="48" w:lineRule="exact"/>
        <w:rPr>
          <w:sz w:val="20"/>
          <w:szCs w:val="20"/>
          <w:color w:val="auto"/>
        </w:rPr>
      </w:pPr>
    </w:p>
    <w:p>
      <w:pPr>
        <w:ind w:left="980" w:right="1019"/>
        <w:spacing w:after="0" w:line="265" w:lineRule="auto"/>
        <w:rPr>
          <w:sz w:val="20"/>
          <w:szCs w:val="20"/>
          <w:color w:val="auto"/>
        </w:rPr>
      </w:pPr>
      <w:r>
        <w:rPr>
          <w:rFonts w:ascii="Times New Roman" w:cs="Times New Roman" w:eastAsia="Times New Roman" w:hAnsi="Times New Roman"/>
          <w:sz w:val="15"/>
          <w:szCs w:val="15"/>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Nasdaq Global Select Market Listing</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Our common stock is listed on Nasdaq under the trading symbol “AVRO.”</w:t>
      </w:r>
    </w:p>
    <w:p>
      <w:pPr>
        <w:spacing w:after="0" w:line="3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02" w:lineRule="exact"/>
        <w:rPr>
          <w:sz w:val="20"/>
          <w:szCs w:val="20"/>
          <w:color w:val="auto"/>
        </w:rPr>
      </w:pPr>
    </w:p>
    <w:p>
      <w:pPr>
        <w:jc w:val="both"/>
        <w:ind w:left="980" w:right="1179"/>
        <w:spacing w:after="0" w:line="265" w:lineRule="auto"/>
        <w:rPr>
          <w:sz w:val="20"/>
          <w:szCs w:val="20"/>
          <w:color w:val="auto"/>
        </w:rPr>
      </w:pPr>
      <w:r>
        <w:rPr>
          <w:rFonts w:ascii="Times New Roman" w:cs="Times New Roman" w:eastAsia="Times New Roman" w:hAnsi="Times New Roman"/>
          <w:sz w:val="15"/>
          <w:szCs w:val="15"/>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7" w:name="page18"/>
    <w:bookmarkEnd w:id="17"/>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DEBT SECURITIES</w:t>
      </w:r>
    </w:p>
    <w:p>
      <w:pPr>
        <w:spacing w:after="0" w:line="102" w:lineRule="exact"/>
        <w:rPr>
          <w:sz w:val="20"/>
          <w:szCs w:val="20"/>
          <w:color w:val="auto"/>
        </w:rPr>
      </w:pPr>
    </w:p>
    <w:p>
      <w:pPr>
        <w:ind w:left="980" w:right="1119"/>
        <w:spacing w:after="0" w:line="256" w:lineRule="auto"/>
        <w:rPr>
          <w:sz w:val="20"/>
          <w:szCs w:val="20"/>
          <w:color w:val="auto"/>
        </w:rPr>
      </w:pPr>
      <w:r>
        <w:rPr>
          <w:rFonts w:ascii="Times New Roman" w:cs="Times New Roman" w:eastAsia="Times New Roman" w:hAnsi="Times New Roman"/>
          <w:sz w:val="15"/>
          <w:szCs w:val="15"/>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68" w:lineRule="exact"/>
        <w:rPr>
          <w:sz w:val="20"/>
          <w:szCs w:val="20"/>
          <w:color w:val="auto"/>
        </w:rPr>
      </w:pPr>
    </w:p>
    <w:p>
      <w:pPr>
        <w:ind w:left="980" w:right="999"/>
        <w:spacing w:after="0" w:line="252" w:lineRule="auto"/>
        <w:rPr>
          <w:sz w:val="20"/>
          <w:szCs w:val="20"/>
          <w:color w:val="auto"/>
        </w:rPr>
      </w:pPr>
      <w:r>
        <w:rPr>
          <w:rFonts w:ascii="Times New Roman" w:cs="Times New Roman" w:eastAsia="Times New Roman" w:hAnsi="Times New Roman"/>
          <w:sz w:val="15"/>
          <w:szCs w:val="15"/>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The indentures:</w:t>
      </w:r>
    </w:p>
    <w:p>
      <w:pPr>
        <w:spacing w:after="0" w:line="98" w:lineRule="exact"/>
        <w:rPr>
          <w:sz w:val="20"/>
          <w:szCs w:val="20"/>
          <w:color w:val="auto"/>
        </w:rPr>
      </w:pPr>
    </w:p>
    <w:p>
      <w:pPr>
        <w:ind w:left="1580" w:hanging="291"/>
        <w:spacing w:after="0"/>
        <w:tabs>
          <w:tab w:leader="none" w:pos="1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 not limit the amount of debt securities that we may issue;</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allow us to issue debt securities in one or more series;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 not require us to issue all of the debt securities of a series at the same time; and</w:t>
      </w:r>
    </w:p>
    <w:p>
      <w:pPr>
        <w:spacing w:after="0" w:line="97" w:lineRule="exact"/>
        <w:rPr>
          <w:rFonts w:ascii="Times New Roman" w:cs="Times New Roman" w:eastAsia="Times New Roman" w:hAnsi="Times New Roman"/>
          <w:sz w:val="15"/>
          <w:szCs w:val="15"/>
          <w:color w:val="auto"/>
        </w:rPr>
      </w:pPr>
    </w:p>
    <w:p>
      <w:pPr>
        <w:ind w:left="1580" w:right="1059" w:hanging="291"/>
        <w:spacing w:after="0" w:line="280" w:lineRule="auto"/>
        <w:tabs>
          <w:tab w:leader="none" w:pos="1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allow us to reopen a series to issue additional debt securities without the consent of the holders of the debt securities of such series.</w:t>
      </w:r>
    </w:p>
    <w:p>
      <w:pPr>
        <w:spacing w:after="0" w:line="48" w:lineRule="exact"/>
        <w:rPr>
          <w:sz w:val="20"/>
          <w:szCs w:val="20"/>
          <w:color w:val="auto"/>
        </w:rPr>
      </w:pPr>
    </w:p>
    <w:p>
      <w:pPr>
        <w:ind w:left="980" w:right="1019"/>
        <w:spacing w:after="0" w:line="260" w:lineRule="auto"/>
        <w:rPr>
          <w:sz w:val="20"/>
          <w:szCs w:val="20"/>
          <w:color w:val="auto"/>
        </w:rPr>
      </w:pPr>
      <w:r>
        <w:rPr>
          <w:rFonts w:ascii="Times New Roman" w:cs="Times New Roman" w:eastAsia="Times New Roman" w:hAnsi="Times New Roman"/>
          <w:sz w:val="15"/>
          <w:szCs w:val="15"/>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64" w:lineRule="exact"/>
        <w:rPr>
          <w:sz w:val="20"/>
          <w:szCs w:val="20"/>
          <w:color w:val="auto"/>
        </w:rPr>
      </w:pPr>
    </w:p>
    <w:p>
      <w:pPr>
        <w:ind w:left="980" w:right="1059"/>
        <w:spacing w:after="0" w:line="255" w:lineRule="auto"/>
        <w:rPr>
          <w:sz w:val="20"/>
          <w:szCs w:val="20"/>
          <w:color w:val="auto"/>
        </w:rPr>
      </w:pPr>
      <w:r>
        <w:rPr>
          <w:rFonts w:ascii="Times New Roman" w:cs="Times New Roman" w:eastAsia="Times New Roman" w:hAnsi="Times New Roman"/>
          <w:sz w:val="15"/>
          <w:szCs w:val="15"/>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The prospectus supplement for each offering will provide the following terms, where applicable:</w:t>
      </w:r>
    </w:p>
    <w:p>
      <w:pPr>
        <w:spacing w:after="0" w:line="98" w:lineRule="exact"/>
        <w:rPr>
          <w:sz w:val="20"/>
          <w:szCs w:val="20"/>
          <w:color w:val="auto"/>
        </w:rPr>
      </w:pPr>
    </w:p>
    <w:p>
      <w:pPr>
        <w:ind w:left="1580" w:hanging="291"/>
        <w:spacing w:after="0"/>
        <w:tabs>
          <w:tab w:leader="none" w:pos="1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debt securities and whether they are senior or subordinated;</w:t>
      </w:r>
    </w:p>
    <w:p>
      <w:pPr>
        <w:spacing w:after="0" w:line="97" w:lineRule="exact"/>
        <w:rPr>
          <w:rFonts w:ascii="Times New Roman" w:cs="Times New Roman" w:eastAsia="Times New Roman" w:hAnsi="Times New Roman"/>
          <w:sz w:val="15"/>
          <w:szCs w:val="15"/>
          <w:color w:val="auto"/>
        </w:rPr>
      </w:pPr>
    </w:p>
    <w:p>
      <w:pPr>
        <w:ind w:left="1580" w:right="1039" w:hanging="291"/>
        <w:spacing w:after="0" w:line="265" w:lineRule="auto"/>
        <w:tabs>
          <w:tab w:leader="none" w:pos="1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8" w:name="page19"/>
    <w:bookmarkEnd w:id="18"/>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039" w:hanging="291"/>
        <w:spacing w:after="0" w:line="258"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64" w:lineRule="exact"/>
        <w:rPr>
          <w:rFonts w:ascii="Times New Roman" w:cs="Times New Roman" w:eastAsia="Times New Roman" w:hAnsi="Times New Roman"/>
          <w:sz w:val="15"/>
          <w:szCs w:val="15"/>
          <w:color w:val="auto"/>
        </w:rPr>
      </w:pPr>
    </w:p>
    <w:p>
      <w:pPr>
        <w:ind w:left="1580" w:right="1159" w:hanging="291"/>
        <w:spacing w:after="0" w:line="265"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59" w:lineRule="exact"/>
        <w:rPr>
          <w:rFonts w:ascii="Times New Roman" w:cs="Times New Roman" w:eastAsia="Times New Roman" w:hAnsi="Times New Roman"/>
          <w:sz w:val="15"/>
          <w:szCs w:val="15"/>
          <w:color w:val="auto"/>
        </w:rPr>
      </w:pPr>
    </w:p>
    <w:p>
      <w:pPr>
        <w:ind w:left="1580" w:right="1459" w:hanging="291"/>
        <w:spacing w:after="0" w:line="280"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or the method for determining the date or dates, on which the principal of the debt securities will be payable;</w:t>
      </w:r>
    </w:p>
    <w:p>
      <w:pPr>
        <w:spacing w:after="0" w:line="48" w:lineRule="exact"/>
        <w:rPr>
          <w:rFonts w:ascii="Times New Roman" w:cs="Times New Roman" w:eastAsia="Times New Roman" w:hAnsi="Times New Roman"/>
          <w:sz w:val="15"/>
          <w:szCs w:val="15"/>
          <w:color w:val="auto"/>
        </w:rPr>
      </w:pPr>
    </w:p>
    <w:p>
      <w:pPr>
        <w:ind w:left="1580" w:right="1079" w:hanging="291"/>
        <w:spacing w:after="0" w:line="280"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fixed or variable interest rate or rates of the debt securities, or the method by which the interest rate or rates is determined;</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or the method for determining the date or dates, from which interest will accrue;</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interest will be payable;</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record dates for interest payment dates, or the method by which such dates will be determined;</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persons to whom interest will be payable;</w:t>
      </w:r>
    </w:p>
    <w:p>
      <w:pPr>
        <w:spacing w:after="0" w:line="97" w:lineRule="exact"/>
        <w:rPr>
          <w:rFonts w:ascii="Times New Roman" w:cs="Times New Roman" w:eastAsia="Times New Roman" w:hAnsi="Times New Roman"/>
          <w:sz w:val="15"/>
          <w:szCs w:val="15"/>
          <w:color w:val="auto"/>
        </w:rPr>
      </w:pPr>
    </w:p>
    <w:p>
      <w:pPr>
        <w:ind w:left="1580" w:right="1199" w:hanging="291"/>
        <w:spacing w:after="0" w:line="280"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or places where the principal of, and any premium or make-whole amount, and interest on, the debt securities will be payable;</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debt securities may be surrendered for registration of transfer or conversion or exchange;</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times, prices and other terms and conditions upon which we may redeem the debt securities;</w:t>
      </w:r>
    </w:p>
    <w:p>
      <w:pPr>
        <w:spacing w:after="0" w:line="97" w:lineRule="exact"/>
        <w:rPr>
          <w:rFonts w:ascii="Times New Roman" w:cs="Times New Roman" w:eastAsia="Times New Roman" w:hAnsi="Times New Roman"/>
          <w:sz w:val="15"/>
          <w:szCs w:val="15"/>
          <w:color w:val="auto"/>
        </w:rPr>
      </w:pPr>
    </w:p>
    <w:p>
      <w:pPr>
        <w:jc w:val="both"/>
        <w:ind w:left="1580" w:right="1059" w:hanging="291"/>
        <w:spacing w:after="0" w:line="265"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59" w:lineRule="exact"/>
        <w:rPr>
          <w:rFonts w:ascii="Times New Roman" w:cs="Times New Roman" w:eastAsia="Times New Roman" w:hAnsi="Times New Roman"/>
          <w:sz w:val="15"/>
          <w:szCs w:val="15"/>
          <w:color w:val="auto"/>
        </w:rPr>
      </w:pPr>
    </w:p>
    <w:p>
      <w:pPr>
        <w:ind w:left="1580" w:right="1099" w:hanging="291"/>
        <w:spacing w:after="0" w:line="260"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63" w:lineRule="exact"/>
        <w:rPr>
          <w:rFonts w:ascii="Times New Roman" w:cs="Times New Roman" w:eastAsia="Times New Roman" w:hAnsi="Times New Roman"/>
          <w:sz w:val="15"/>
          <w:szCs w:val="15"/>
          <w:color w:val="auto"/>
        </w:rPr>
      </w:pPr>
    </w:p>
    <w:p>
      <w:pPr>
        <w:ind w:left="1580" w:right="1039" w:hanging="291"/>
        <w:spacing w:after="0" w:line="260"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63" w:lineRule="exact"/>
        <w:rPr>
          <w:rFonts w:ascii="Times New Roman" w:cs="Times New Roman" w:eastAsia="Times New Roman" w:hAnsi="Times New Roman"/>
          <w:sz w:val="15"/>
          <w:szCs w:val="15"/>
          <w:color w:val="auto"/>
        </w:rPr>
      </w:pPr>
    </w:p>
    <w:p>
      <w:pPr>
        <w:ind w:left="1580" w:right="1019" w:hanging="291"/>
        <w:spacing w:after="0" w:line="258"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64" w:lineRule="exact"/>
        <w:rPr>
          <w:rFonts w:ascii="Times New Roman" w:cs="Times New Roman" w:eastAsia="Times New Roman" w:hAnsi="Times New Roman"/>
          <w:sz w:val="15"/>
          <w:szCs w:val="15"/>
          <w:color w:val="auto"/>
        </w:rPr>
      </w:pPr>
    </w:p>
    <w:p>
      <w:pPr>
        <w:jc w:val="both"/>
        <w:ind w:left="1580" w:right="1319" w:hanging="291"/>
        <w:spacing w:after="0" w:line="265"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59" w:lineRule="exact"/>
        <w:rPr>
          <w:rFonts w:ascii="Times New Roman" w:cs="Times New Roman" w:eastAsia="Times New Roman" w:hAnsi="Times New Roman"/>
          <w:sz w:val="15"/>
          <w:szCs w:val="15"/>
          <w:color w:val="auto"/>
        </w:rPr>
      </w:pPr>
    </w:p>
    <w:p>
      <w:pPr>
        <w:ind w:left="1580" w:right="1019" w:hanging="291"/>
        <w:spacing w:after="0" w:line="258"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64" w:lineRule="exact"/>
        <w:rPr>
          <w:rFonts w:ascii="Times New Roman" w:cs="Times New Roman" w:eastAsia="Times New Roman" w:hAnsi="Times New Roman"/>
          <w:sz w:val="15"/>
          <w:szCs w:val="15"/>
          <w:color w:val="auto"/>
        </w:rPr>
      </w:pPr>
    </w:p>
    <w:p>
      <w:pPr>
        <w:ind w:left="1580" w:right="1159" w:hanging="291"/>
        <w:spacing w:after="0" w:line="280" w:lineRule="auto"/>
        <w:tabs>
          <w:tab w:leader="none" w:pos="1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of the depositary for securities in registered form, if such series are to be issuable as a global security;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9" w:name="page20"/>
    <w:bookmarkEnd w:id="19"/>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059" w:hanging="291"/>
        <w:spacing w:after="0" w:line="280" w:lineRule="auto"/>
        <w:tabs>
          <w:tab w:leader="none" w:pos="1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applicability, if any, of the defeasance and covenant defeasance provisions described in this prospectus or in the applicable indenture;</w:t>
      </w:r>
    </w:p>
    <w:p>
      <w:pPr>
        <w:spacing w:after="0" w:line="48" w:lineRule="exact"/>
        <w:rPr>
          <w:rFonts w:ascii="Times New Roman" w:cs="Times New Roman" w:eastAsia="Times New Roman" w:hAnsi="Times New Roman"/>
          <w:sz w:val="15"/>
          <w:szCs w:val="15"/>
          <w:color w:val="auto"/>
        </w:rPr>
      </w:pPr>
    </w:p>
    <w:p>
      <w:pPr>
        <w:ind w:left="1580" w:right="1459" w:hanging="291"/>
        <w:spacing w:after="0" w:line="280" w:lineRule="auto"/>
        <w:tabs>
          <w:tab w:leader="none" w:pos="1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and under what circumstances we will pay any additional amounts on the debt securities in respect of any tax, assessment or governmental charge;</w:t>
      </w:r>
    </w:p>
    <w:p>
      <w:pPr>
        <w:spacing w:after="0" w:line="48" w:lineRule="exact"/>
        <w:rPr>
          <w:rFonts w:ascii="Times New Roman" w:cs="Times New Roman" w:eastAsia="Times New Roman" w:hAnsi="Times New Roman"/>
          <w:sz w:val="15"/>
          <w:szCs w:val="15"/>
          <w:color w:val="auto"/>
        </w:rPr>
      </w:pPr>
    </w:p>
    <w:p>
      <w:pPr>
        <w:ind w:left="1580" w:right="1019" w:hanging="291"/>
        <w:spacing w:after="0" w:line="265" w:lineRule="auto"/>
        <w:tabs>
          <w:tab w:leader="none" w:pos="1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59" w:lineRule="exact"/>
        <w:rPr>
          <w:rFonts w:ascii="Times New Roman" w:cs="Times New Roman" w:eastAsia="Times New Roman" w:hAnsi="Times New Roman"/>
          <w:sz w:val="15"/>
          <w:szCs w:val="15"/>
          <w:color w:val="auto"/>
        </w:rPr>
      </w:pPr>
    </w:p>
    <w:p>
      <w:pPr>
        <w:ind w:left="1580" w:right="1159" w:hanging="291"/>
        <w:spacing w:after="0" w:line="265" w:lineRule="auto"/>
        <w:tabs>
          <w:tab w:leader="none" w:pos="1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applicable trustee and the nature of any material relationship with us or any of our affiliates, and the percentage of debt securities of the class necessary to require the trustee to take action; and</w:t>
      </w:r>
    </w:p>
    <w:p>
      <w:pPr>
        <w:spacing w:after="0" w:line="59"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such debt securities not inconsistent with the provisions of the applicable indenture.</w:t>
      </w:r>
    </w:p>
    <w:p>
      <w:pPr>
        <w:spacing w:after="0" w:line="98" w:lineRule="exact"/>
        <w:rPr>
          <w:sz w:val="20"/>
          <w:szCs w:val="20"/>
          <w:color w:val="auto"/>
        </w:rPr>
      </w:pPr>
    </w:p>
    <w:p>
      <w:pPr>
        <w:ind w:left="980" w:right="1059"/>
        <w:spacing w:after="0" w:line="258" w:lineRule="auto"/>
        <w:rPr>
          <w:sz w:val="20"/>
          <w:szCs w:val="20"/>
          <w:color w:val="auto"/>
        </w:rPr>
      </w:pPr>
      <w:r>
        <w:rPr>
          <w:rFonts w:ascii="Times New Roman" w:cs="Times New Roman" w:eastAsia="Times New Roman" w:hAnsi="Times New Roman"/>
          <w:sz w:val="15"/>
          <w:szCs w:val="15"/>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64" w:lineRule="exact"/>
        <w:rPr>
          <w:sz w:val="20"/>
          <w:szCs w:val="20"/>
          <w:color w:val="auto"/>
        </w:rPr>
      </w:pPr>
    </w:p>
    <w:p>
      <w:pPr>
        <w:ind w:left="980" w:right="1079"/>
        <w:spacing w:after="0" w:line="255" w:lineRule="auto"/>
        <w:rPr>
          <w:sz w:val="20"/>
          <w:szCs w:val="20"/>
          <w:color w:val="auto"/>
        </w:rPr>
      </w:pPr>
      <w:r>
        <w:rPr>
          <w:rFonts w:ascii="Times New Roman" w:cs="Times New Roman" w:eastAsia="Times New Roman" w:hAnsi="Times New Roman"/>
          <w:sz w:val="15"/>
          <w:szCs w:val="15"/>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66" w:lineRule="exact"/>
        <w:rPr>
          <w:sz w:val="20"/>
          <w:szCs w:val="20"/>
          <w:color w:val="auto"/>
        </w:rPr>
      </w:pPr>
    </w:p>
    <w:p>
      <w:pPr>
        <w:ind w:left="980" w:right="1159"/>
        <w:spacing w:after="0" w:line="260" w:lineRule="auto"/>
        <w:rPr>
          <w:sz w:val="20"/>
          <w:szCs w:val="20"/>
          <w:color w:val="auto"/>
        </w:rPr>
      </w:pPr>
      <w:r>
        <w:rPr>
          <w:rFonts w:ascii="Times New Roman" w:cs="Times New Roman" w:eastAsia="Times New Roman" w:hAnsi="Times New Roman"/>
          <w:sz w:val="15"/>
          <w:szCs w:val="15"/>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64" w:lineRule="exact"/>
        <w:rPr>
          <w:sz w:val="20"/>
          <w:szCs w:val="20"/>
          <w:color w:val="auto"/>
        </w:rPr>
      </w:pPr>
    </w:p>
    <w:p>
      <w:pPr>
        <w:ind w:left="980" w:right="1019"/>
        <w:spacing w:after="0" w:line="265" w:lineRule="auto"/>
        <w:rPr>
          <w:sz w:val="20"/>
          <w:szCs w:val="20"/>
          <w:color w:val="auto"/>
        </w:rPr>
      </w:pPr>
      <w:r>
        <w:rPr>
          <w:rFonts w:ascii="Times New Roman" w:cs="Times New Roman" w:eastAsia="Times New Roman" w:hAnsi="Times New Roman"/>
          <w:sz w:val="15"/>
          <w:szCs w:val="15"/>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Payment</w:t>
      </w:r>
    </w:p>
    <w:p>
      <w:pPr>
        <w:spacing w:after="0" w:line="102" w:lineRule="exact"/>
        <w:rPr>
          <w:sz w:val="20"/>
          <w:szCs w:val="20"/>
          <w:color w:val="auto"/>
        </w:rPr>
      </w:pPr>
    </w:p>
    <w:p>
      <w:pPr>
        <w:ind w:left="980" w:right="1099"/>
        <w:spacing w:after="0" w:line="260" w:lineRule="auto"/>
        <w:rPr>
          <w:sz w:val="20"/>
          <w:szCs w:val="20"/>
          <w:color w:val="auto"/>
        </w:rPr>
      </w:pPr>
      <w:r>
        <w:rPr>
          <w:rFonts w:ascii="Times New Roman" w:cs="Times New Roman" w:eastAsia="Times New Roman" w:hAnsi="Times New Roman"/>
          <w:sz w:val="15"/>
          <w:szCs w:val="15"/>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64" w:lineRule="exact"/>
        <w:rPr>
          <w:sz w:val="20"/>
          <w:szCs w:val="20"/>
          <w:color w:val="auto"/>
        </w:rPr>
      </w:pPr>
    </w:p>
    <w:p>
      <w:pPr>
        <w:ind w:left="980" w:right="1059"/>
        <w:spacing w:after="0" w:line="260" w:lineRule="auto"/>
        <w:rPr>
          <w:sz w:val="20"/>
          <w:szCs w:val="20"/>
          <w:color w:val="auto"/>
        </w:rPr>
      </w:pPr>
      <w:r>
        <w:rPr>
          <w:rFonts w:ascii="Times New Roman" w:cs="Times New Roman" w:eastAsia="Times New Roman" w:hAnsi="Times New Roman"/>
          <w:sz w:val="15"/>
          <w:szCs w:val="15"/>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Denomination, Interest, Registration and Transfer</w:t>
      </w:r>
    </w:p>
    <w:p>
      <w:pPr>
        <w:spacing w:after="0" w:line="102" w:lineRule="exact"/>
        <w:rPr>
          <w:sz w:val="20"/>
          <w:szCs w:val="20"/>
          <w:color w:val="auto"/>
        </w:rPr>
      </w:pPr>
    </w:p>
    <w:p>
      <w:pPr>
        <w:ind w:left="980" w:right="1059"/>
        <w:spacing w:after="0" w:line="280" w:lineRule="auto"/>
        <w:rPr>
          <w:sz w:val="20"/>
          <w:szCs w:val="20"/>
          <w:color w:val="auto"/>
        </w:rPr>
      </w:pPr>
      <w:r>
        <w:rPr>
          <w:rFonts w:ascii="Times New Roman" w:cs="Times New Roman" w:eastAsia="Times New Roman" w:hAnsi="Times New Roman"/>
          <w:sz w:val="15"/>
          <w:szCs w:val="15"/>
          <w:color w:val="auto"/>
        </w:rPr>
        <w:t>Unless otherwise provided in the applicable prospectus supplement, the debt securities of any series will be issuable in denominations of $1,000 and integral multiples of $1,000.</w:t>
      </w:r>
    </w:p>
    <w:p>
      <w:pPr>
        <w:spacing w:after="0" w:line="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Interest on the debt securities shall be computed on the basis of a 360-day year composed of twelve 30-day months.</w:t>
      </w:r>
    </w:p>
    <w:p>
      <w:pPr>
        <w:spacing w:after="0" w:line="98" w:lineRule="exact"/>
        <w:rPr>
          <w:sz w:val="20"/>
          <w:szCs w:val="20"/>
          <w:color w:val="auto"/>
        </w:rPr>
      </w:pPr>
    </w:p>
    <w:p>
      <w:pPr>
        <w:ind w:left="980" w:right="1099"/>
        <w:spacing w:after="0" w:line="280" w:lineRule="auto"/>
        <w:rPr>
          <w:sz w:val="20"/>
          <w:szCs w:val="20"/>
          <w:color w:val="auto"/>
        </w:rPr>
      </w:pPr>
      <w:r>
        <w:rPr>
          <w:rFonts w:ascii="Times New Roman" w:cs="Times New Roman" w:eastAsia="Times New Roman" w:hAnsi="Times New Roman"/>
          <w:sz w:val="15"/>
          <w:szCs w:val="15"/>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099" w:hanging="291"/>
        <w:spacing w:after="0" w:line="265"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59" w:lineRule="exact"/>
        <w:rPr>
          <w:rFonts w:ascii="Times New Roman" w:cs="Times New Roman" w:eastAsia="Times New Roman" w:hAnsi="Times New Roman"/>
          <w:sz w:val="15"/>
          <w:szCs w:val="15"/>
          <w:color w:val="auto"/>
        </w:rPr>
      </w:pPr>
    </w:p>
    <w:p>
      <w:pPr>
        <w:ind w:left="1580" w:right="1039" w:hanging="291"/>
        <w:spacing w:after="0" w:line="280"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surrender them for registration of transfer or exchange at the corporate trust office of the applicable trustee or at the office of any transfer agent that we designate for such purpose.</w:t>
      </w:r>
    </w:p>
    <w:p>
      <w:pPr>
        <w:spacing w:after="0" w:line="48" w:lineRule="exact"/>
        <w:rPr>
          <w:sz w:val="20"/>
          <w:szCs w:val="20"/>
          <w:color w:val="auto"/>
        </w:rPr>
      </w:pPr>
    </w:p>
    <w:p>
      <w:pPr>
        <w:ind w:left="980" w:right="1019"/>
        <w:spacing w:after="0" w:line="258" w:lineRule="auto"/>
        <w:rPr>
          <w:sz w:val="20"/>
          <w:szCs w:val="20"/>
          <w:color w:val="auto"/>
        </w:rPr>
      </w:pPr>
      <w:r>
        <w:rPr>
          <w:rFonts w:ascii="Times New Roman" w:cs="Times New Roman" w:eastAsia="Times New Roman" w:hAnsi="Times New Roman"/>
          <w:sz w:val="15"/>
          <w:szCs w:val="15"/>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Neither we, nor any trustee, will be required to:</w:t>
      </w:r>
    </w:p>
    <w:p>
      <w:pPr>
        <w:spacing w:after="0" w:line="98" w:lineRule="exact"/>
        <w:rPr>
          <w:sz w:val="20"/>
          <w:szCs w:val="20"/>
          <w:color w:val="auto"/>
        </w:rPr>
      </w:pPr>
    </w:p>
    <w:p>
      <w:pPr>
        <w:ind w:left="1580" w:right="1019" w:hanging="291"/>
        <w:spacing w:after="0" w:line="265" w:lineRule="auto"/>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59" w:lineRule="exact"/>
        <w:rPr>
          <w:rFonts w:ascii="Times New Roman" w:cs="Times New Roman" w:eastAsia="Times New Roman" w:hAnsi="Times New Roman"/>
          <w:sz w:val="15"/>
          <w:szCs w:val="15"/>
          <w:color w:val="auto"/>
        </w:rPr>
      </w:pPr>
    </w:p>
    <w:p>
      <w:pPr>
        <w:ind w:left="1580" w:right="1299" w:hanging="291"/>
        <w:spacing w:after="0" w:line="280" w:lineRule="auto"/>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register the transfer of or exchange any debt security, or portion thereof, so selected for redemption, in whole or in part, except the unredeemed portion of any debt security being redeemed in part; and</w:t>
      </w:r>
    </w:p>
    <w:p>
      <w:pPr>
        <w:spacing w:after="0" w:line="48" w:lineRule="exact"/>
        <w:rPr>
          <w:rFonts w:ascii="Times New Roman" w:cs="Times New Roman" w:eastAsia="Times New Roman" w:hAnsi="Times New Roman"/>
          <w:sz w:val="15"/>
          <w:szCs w:val="15"/>
          <w:color w:val="auto"/>
        </w:rPr>
      </w:pPr>
    </w:p>
    <w:p>
      <w:pPr>
        <w:ind w:left="1580" w:right="1079" w:hanging="291"/>
        <w:spacing w:after="0" w:line="280" w:lineRule="auto"/>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register the transfer of or exchange any debt security that has been surrendered for repayment at the option of the holder, except the portion, if any, of such debt security not to be so repaid.</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Merger, Consolidation or Sale of Assets</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The indentures provide that we may, without the consent of the holders of any outstanding debt securities,</w:t>
      </w:r>
    </w:p>
    <w:p>
      <w:pPr>
        <w:spacing w:after="0" w:line="21" w:lineRule="exact"/>
        <w:rPr>
          <w:sz w:val="20"/>
          <w:szCs w:val="20"/>
          <w:color w:val="auto"/>
        </w:rPr>
      </w:pPr>
    </w:p>
    <w:p>
      <w:pPr>
        <w:ind w:left="980" w:right="1159" w:firstLine="8"/>
        <w:spacing w:after="0" w:line="261" w:lineRule="auto"/>
        <w:tabs>
          <w:tab w:leader="none" w:pos="1159"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 with, (ii) sell, lease or convey all or substantially all of our assets to, or (iii) merge with or into, any other entity provided that:</w:t>
      </w:r>
    </w:p>
    <w:p>
      <w:pPr>
        <w:spacing w:after="0" w:line="61" w:lineRule="exact"/>
        <w:rPr>
          <w:rFonts w:ascii="Times New Roman" w:cs="Times New Roman" w:eastAsia="Times New Roman" w:hAnsi="Times New Roman"/>
          <w:sz w:val="15"/>
          <w:szCs w:val="15"/>
          <w:color w:val="auto"/>
        </w:rPr>
      </w:pPr>
    </w:p>
    <w:p>
      <w:pPr>
        <w:ind w:left="1580" w:right="1139" w:hanging="291"/>
        <w:spacing w:after="0" w:line="260" w:lineRule="auto"/>
        <w:tabs>
          <w:tab w:leader="none" w:pos="1580" w:val="left"/>
        </w:tabs>
        <w:numPr>
          <w:ilvl w:val="1"/>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the applicable indenture;</w:t>
      </w:r>
    </w:p>
    <w:p>
      <w:pPr>
        <w:spacing w:after="0" w:line="63" w:lineRule="exact"/>
        <w:rPr>
          <w:rFonts w:ascii="Times New Roman" w:cs="Times New Roman" w:eastAsia="Times New Roman" w:hAnsi="Times New Roman"/>
          <w:sz w:val="15"/>
          <w:szCs w:val="15"/>
          <w:color w:val="auto"/>
        </w:rPr>
      </w:pPr>
    </w:p>
    <w:p>
      <w:pPr>
        <w:ind w:left="1580" w:right="1099" w:hanging="291"/>
        <w:spacing w:after="0" w:line="265" w:lineRule="auto"/>
        <w:tabs>
          <w:tab w:leader="none" w:pos="1580" w:val="left"/>
        </w:tabs>
        <w:numPr>
          <w:ilvl w:val="1"/>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59"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1"/>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officers’ certificate and legal opinion covering such conditions are delivered to each applicable trustee.</w:t>
      </w:r>
    </w:p>
    <w:p>
      <w:pPr>
        <w:spacing w:after="0" w:line="2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Events of Default, Notice and Waiver</w:t>
      </w:r>
    </w:p>
    <w:p>
      <w:pPr>
        <w:spacing w:after="0" w:line="102" w:lineRule="exact"/>
        <w:rPr>
          <w:sz w:val="20"/>
          <w:szCs w:val="20"/>
          <w:color w:val="auto"/>
        </w:rPr>
      </w:pPr>
    </w:p>
    <w:p>
      <w:pPr>
        <w:ind w:left="980" w:right="1059"/>
        <w:spacing w:after="0" w:line="280" w:lineRule="auto"/>
        <w:rPr>
          <w:sz w:val="20"/>
          <w:szCs w:val="20"/>
          <w:color w:val="auto"/>
        </w:rPr>
      </w:pPr>
      <w:r>
        <w:rPr>
          <w:rFonts w:ascii="Times New Roman" w:cs="Times New Roman" w:eastAsia="Times New Roman" w:hAnsi="Times New Roman"/>
          <w:sz w:val="15"/>
          <w:szCs w:val="15"/>
          <w:color w:val="auto"/>
        </w:rPr>
        <w:t>Unless the applicable prospectus supplement states otherwise, when we refer to “events of default” as defined in the indentures with respect to any series of debt securities, we mean:</w:t>
      </w:r>
    </w:p>
    <w:p>
      <w:pPr>
        <w:spacing w:after="0" w:line="48" w:lineRule="exact"/>
        <w:rPr>
          <w:sz w:val="20"/>
          <w:szCs w:val="20"/>
          <w:color w:val="auto"/>
        </w:rPr>
      </w:pPr>
    </w:p>
    <w:p>
      <w:pPr>
        <w:ind w:left="1580" w:right="1139" w:hanging="291"/>
        <w:spacing w:after="0" w:line="280"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installment of interest on any debt security of such series continuing for 90 days unless such date has been extended or deferred;</w:t>
      </w:r>
    </w:p>
    <w:p>
      <w:pPr>
        <w:spacing w:after="0" w:line="48" w:lineRule="exact"/>
        <w:rPr>
          <w:rFonts w:ascii="Times New Roman" w:cs="Times New Roman" w:eastAsia="Times New Roman" w:hAnsi="Times New Roman"/>
          <w:sz w:val="15"/>
          <w:szCs w:val="15"/>
          <w:color w:val="auto"/>
        </w:rPr>
      </w:pPr>
    </w:p>
    <w:p>
      <w:pPr>
        <w:ind w:left="1580" w:right="1279" w:hanging="291"/>
        <w:spacing w:after="0" w:line="280"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principal of, or any premium or make-whole amount on, any debt security of such series when due and payable unless such date has been extended or deferred;</w:t>
      </w:r>
    </w:p>
    <w:p>
      <w:pPr>
        <w:spacing w:after="0" w:line="48" w:lineRule="exact"/>
        <w:rPr>
          <w:rFonts w:ascii="Times New Roman" w:cs="Times New Roman" w:eastAsia="Times New Roman" w:hAnsi="Times New Roman"/>
          <w:sz w:val="15"/>
          <w:szCs w:val="15"/>
          <w:color w:val="auto"/>
        </w:rPr>
      </w:pPr>
    </w:p>
    <w:p>
      <w:pPr>
        <w:ind w:left="1580" w:right="1099" w:hanging="291"/>
        <w:spacing w:after="0" w:line="280"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performance or breach of any covenant or warranty in the debt securities or in the indenture by us continuing for 90 days after written notice described below;</w:t>
      </w:r>
    </w:p>
    <w:p>
      <w:pPr>
        <w:spacing w:after="0" w:line="48" w:lineRule="exact"/>
        <w:rPr>
          <w:rFonts w:ascii="Times New Roman" w:cs="Times New Roman" w:eastAsia="Times New Roman" w:hAnsi="Times New Roman"/>
          <w:sz w:val="15"/>
          <w:szCs w:val="15"/>
          <w:color w:val="auto"/>
        </w:rPr>
      </w:pPr>
    </w:p>
    <w:p>
      <w:pPr>
        <w:ind w:left="1580" w:right="1239" w:hanging="291"/>
        <w:spacing w:after="0" w:line="280"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bankruptcy, insolvency or reorganization, or court appointment of a receiver, liquidator or trustee of us; and</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provided with respect to a particular series of debt securities.</w:t>
      </w:r>
    </w:p>
    <w:p>
      <w:pPr>
        <w:spacing w:after="0" w:line="98" w:lineRule="exact"/>
        <w:rPr>
          <w:sz w:val="20"/>
          <w:szCs w:val="20"/>
          <w:color w:val="auto"/>
        </w:rPr>
      </w:pPr>
    </w:p>
    <w:p>
      <w:pPr>
        <w:ind w:left="980" w:right="1359"/>
        <w:spacing w:after="0" w:line="280" w:lineRule="auto"/>
        <w:rPr>
          <w:sz w:val="20"/>
          <w:szCs w:val="20"/>
          <w:color w:val="auto"/>
        </w:rPr>
      </w:pPr>
      <w:r>
        <w:rPr>
          <w:rFonts w:ascii="Times New Roman" w:cs="Times New Roman" w:eastAsia="Times New Roman" w:hAnsi="Times New Roman"/>
          <w:sz w:val="15"/>
          <w:szCs w:val="15"/>
          <w:color w:val="auto"/>
        </w:rPr>
        <w:t>If an event of default occurs and is continuing with respect to debt securities of any series outstanding, then the applicable trustee or the holders of 25% or more in principal amount of the debt securities of that series will</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1" w:name="page22"/>
    <w:bookmarkEnd w:id="21"/>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980" w:right="1019"/>
        <w:spacing w:after="0" w:line="255" w:lineRule="auto"/>
        <w:rPr>
          <w:sz w:val="20"/>
          <w:szCs w:val="20"/>
          <w:color w:val="auto"/>
        </w:rPr>
      </w:pPr>
      <w:r>
        <w:rPr>
          <w:rFonts w:ascii="Times New Roman" w:cs="Times New Roman" w:eastAsia="Times New Roman" w:hAnsi="Times New Roman"/>
          <w:sz w:val="15"/>
          <w:szCs w:val="15"/>
          <w:color w:val="auto"/>
        </w:rPr>
        <w:t>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66" w:lineRule="exact"/>
        <w:rPr>
          <w:sz w:val="20"/>
          <w:szCs w:val="20"/>
          <w:color w:val="auto"/>
        </w:rPr>
      </w:pPr>
    </w:p>
    <w:p>
      <w:pPr>
        <w:ind w:left="1580" w:right="1379" w:hanging="291"/>
        <w:spacing w:after="0" w:line="265" w:lineRule="auto"/>
        <w:tabs>
          <w:tab w:leader="none" w:pos="1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59" w:lineRule="exact"/>
        <w:rPr>
          <w:rFonts w:ascii="Times New Roman" w:cs="Times New Roman" w:eastAsia="Times New Roman" w:hAnsi="Times New Roman"/>
          <w:sz w:val="15"/>
          <w:szCs w:val="15"/>
          <w:color w:val="auto"/>
        </w:rPr>
      </w:pPr>
    </w:p>
    <w:p>
      <w:pPr>
        <w:ind w:left="1580" w:right="1219" w:hanging="291"/>
        <w:spacing w:after="0" w:line="280" w:lineRule="auto"/>
        <w:tabs>
          <w:tab w:leader="none" w:pos="1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events of default, other than the non-payment of accelerated principal, or a specified portion thereof, and any premium or make-whole amount, have been cured or waived.</w:t>
      </w:r>
    </w:p>
    <w:p>
      <w:pPr>
        <w:spacing w:after="0" w:line="48" w:lineRule="exact"/>
        <w:rPr>
          <w:sz w:val="20"/>
          <w:szCs w:val="20"/>
          <w:color w:val="auto"/>
        </w:rPr>
      </w:pPr>
    </w:p>
    <w:p>
      <w:pPr>
        <w:ind w:left="980" w:right="1039"/>
        <w:spacing w:after="0" w:line="260" w:lineRule="auto"/>
        <w:rPr>
          <w:sz w:val="20"/>
          <w:szCs w:val="20"/>
          <w:color w:val="auto"/>
        </w:rPr>
      </w:pPr>
      <w:r>
        <w:rPr>
          <w:rFonts w:ascii="Times New Roman" w:cs="Times New Roman" w:eastAsia="Times New Roman" w:hAnsi="Times New Roman"/>
          <w:sz w:val="15"/>
          <w:szCs w:val="15"/>
          <w:color w:val="auto"/>
        </w:rPr>
        <w:t>The indentures require each trustee to give notice to the holders of debt securities within the later of 90 days after an event of default and 30 days after the event of default is actually known to a responsible officer of such trustee, unless such default has been cured or waived. However, the trustee may withhold notice if specified persons of such trustee consider such withholding to be in the interest of the holders of debt securities.</w:t>
      </w:r>
    </w:p>
    <w:p>
      <w:pPr>
        <w:spacing w:after="0" w:line="64" w:lineRule="exact"/>
        <w:rPr>
          <w:sz w:val="20"/>
          <w:szCs w:val="20"/>
          <w:color w:val="auto"/>
        </w:rPr>
      </w:pPr>
    </w:p>
    <w:p>
      <w:pPr>
        <w:ind w:left="980" w:right="1019"/>
        <w:spacing w:after="0" w:line="255" w:lineRule="auto"/>
        <w:rPr>
          <w:sz w:val="20"/>
          <w:szCs w:val="20"/>
          <w:color w:val="auto"/>
        </w:rPr>
      </w:pPr>
      <w:r>
        <w:rPr>
          <w:rFonts w:ascii="Times New Roman" w:cs="Times New Roman" w:eastAsia="Times New Roman" w:hAnsi="Times New Roman"/>
          <w:sz w:val="15"/>
          <w:szCs w:val="15"/>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69" w:lineRule="exact"/>
        <w:rPr>
          <w:sz w:val="20"/>
          <w:szCs w:val="20"/>
          <w:color w:val="auto"/>
        </w:rPr>
      </w:pPr>
    </w:p>
    <w:p>
      <w:pPr>
        <w:ind w:left="980" w:right="999"/>
        <w:spacing w:after="0" w:line="255" w:lineRule="auto"/>
        <w:rPr>
          <w:sz w:val="20"/>
          <w:szCs w:val="20"/>
          <w:color w:val="auto"/>
        </w:rPr>
      </w:pPr>
      <w:r>
        <w:rPr>
          <w:rFonts w:ascii="Times New Roman" w:cs="Times New Roman" w:eastAsia="Times New Roman" w:hAnsi="Times New Roman"/>
          <w:sz w:val="15"/>
          <w:szCs w:val="15"/>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69" w:lineRule="exact"/>
        <w:rPr>
          <w:sz w:val="20"/>
          <w:szCs w:val="20"/>
          <w:color w:val="auto"/>
        </w:rPr>
      </w:pPr>
    </w:p>
    <w:p>
      <w:pPr>
        <w:ind w:left="1580" w:hanging="291"/>
        <w:spacing w:after="0"/>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in conflict with any law or the applicable indenture;</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involve the trustee in personal liability; or</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unduly prejudicial to the holders of debt securities of the series not joining the proceeding.</w:t>
      </w:r>
    </w:p>
    <w:p>
      <w:pPr>
        <w:spacing w:after="0" w:line="98" w:lineRule="exact"/>
        <w:rPr>
          <w:sz w:val="20"/>
          <w:szCs w:val="20"/>
          <w:color w:val="auto"/>
        </w:rPr>
      </w:pPr>
    </w:p>
    <w:p>
      <w:pPr>
        <w:ind w:left="980" w:right="1059"/>
        <w:spacing w:after="0" w:line="260" w:lineRule="auto"/>
        <w:rPr>
          <w:sz w:val="20"/>
          <w:szCs w:val="20"/>
          <w:color w:val="auto"/>
        </w:rPr>
      </w:pPr>
      <w:r>
        <w:rPr>
          <w:rFonts w:ascii="Times New Roman" w:cs="Times New Roman" w:eastAsia="Times New Roman" w:hAnsi="Times New Roman"/>
          <w:sz w:val="15"/>
          <w:szCs w:val="15"/>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Modification of the Indentures</w:t>
      </w:r>
    </w:p>
    <w:p>
      <w:pPr>
        <w:spacing w:after="0" w:line="102" w:lineRule="exact"/>
        <w:rPr>
          <w:sz w:val="20"/>
          <w:szCs w:val="20"/>
          <w:color w:val="auto"/>
        </w:rPr>
      </w:pPr>
    </w:p>
    <w:p>
      <w:pPr>
        <w:ind w:left="980" w:right="1399"/>
        <w:spacing w:after="0" w:line="280" w:lineRule="auto"/>
        <w:rPr>
          <w:sz w:val="20"/>
          <w:szCs w:val="20"/>
          <w:color w:val="auto"/>
        </w:rPr>
      </w:pPr>
      <w:r>
        <w:rPr>
          <w:rFonts w:ascii="Times New Roman" w:cs="Times New Roman" w:eastAsia="Times New Roman" w:hAnsi="Times New Roman"/>
          <w:sz w:val="15"/>
          <w:szCs w:val="15"/>
          <w:color w:val="auto"/>
        </w:rPr>
        <w:t>The indentures provide that modifications and amendments may be made only with the consent of the affected holders of a majority in principal amount of all outstanding debt securities issued under that indenture:</w:t>
      </w:r>
    </w:p>
    <w:p>
      <w:pPr>
        <w:spacing w:after="0" w:line="48" w:lineRule="exact"/>
        <w:rPr>
          <w:sz w:val="20"/>
          <w:szCs w:val="20"/>
          <w:color w:val="auto"/>
        </w:rPr>
      </w:pPr>
    </w:p>
    <w:p>
      <w:pPr>
        <w:ind w:left="980" w:right="1099"/>
        <w:spacing w:after="0" w:line="280" w:lineRule="auto"/>
        <w:rPr>
          <w:sz w:val="20"/>
          <w:szCs w:val="20"/>
          <w:color w:val="auto"/>
        </w:rPr>
      </w:pPr>
      <w:r>
        <w:rPr>
          <w:rFonts w:ascii="Times New Roman" w:cs="Times New Roman" w:eastAsia="Times New Roman" w:hAnsi="Times New Roman"/>
          <w:sz w:val="15"/>
          <w:szCs w:val="15"/>
          <w:color w:val="auto"/>
        </w:rPr>
        <w:t>We and our respective trustee may make modifications and amendments of an indenture without the consent of any holder of debt securities for any of the following purposes:</w:t>
      </w:r>
    </w:p>
    <w:p>
      <w:pPr>
        <w:spacing w:after="0" w:line="48" w:lineRule="exact"/>
        <w:rPr>
          <w:sz w:val="20"/>
          <w:szCs w:val="20"/>
          <w:color w:val="auto"/>
        </w:rPr>
      </w:pPr>
    </w:p>
    <w:p>
      <w:pPr>
        <w:ind w:left="1580" w:hanging="291"/>
        <w:spacing w:after="0"/>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the succession of another person to us as obligor under such indenture;</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debt securities in addition to or in place of certificated debt securities;</w:t>
      </w:r>
    </w:p>
    <w:p>
      <w:pPr>
        <w:spacing w:after="0" w:line="97" w:lineRule="exact"/>
        <w:rPr>
          <w:rFonts w:ascii="Times New Roman" w:cs="Times New Roman" w:eastAsia="Times New Roman" w:hAnsi="Times New Roman"/>
          <w:sz w:val="15"/>
          <w:szCs w:val="15"/>
          <w:color w:val="auto"/>
        </w:rPr>
      </w:pPr>
    </w:p>
    <w:p>
      <w:pPr>
        <w:ind w:left="1580" w:right="1159" w:hanging="291"/>
        <w:spacing w:after="0" w:line="280"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our covenants for the benefit of the holders of all or any series of debt securities or to surrender any right or power conferred upon us in such indenture;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2" w:name="page23"/>
    <w:bookmarkEnd w:id="22"/>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hanging="291"/>
        <w:spacing w:after="0"/>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events of default for the benefit of the holders of all or any series of debt securities;</w:t>
      </w:r>
    </w:p>
    <w:p>
      <w:pPr>
        <w:spacing w:after="0" w:line="97" w:lineRule="exact"/>
        <w:rPr>
          <w:rFonts w:ascii="Times New Roman" w:cs="Times New Roman" w:eastAsia="Times New Roman" w:hAnsi="Times New Roman"/>
          <w:sz w:val="15"/>
          <w:szCs w:val="15"/>
          <w:color w:val="auto"/>
        </w:rPr>
      </w:pPr>
    </w:p>
    <w:p>
      <w:pPr>
        <w:ind w:left="1580" w:right="1339" w:hanging="291"/>
        <w:spacing w:after="0" w:line="280"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delete from, or revise the conditions, limitations, and restrictions on the authorized amount, terms, or purposes of issue, authentication, and delivery of debt securities;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securityholder in any material respect;</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establish the form or terms of debt securities of any series;</w:t>
      </w:r>
    </w:p>
    <w:p>
      <w:pPr>
        <w:spacing w:after="0" w:line="97" w:lineRule="exact"/>
        <w:rPr>
          <w:rFonts w:ascii="Times New Roman" w:cs="Times New Roman" w:eastAsia="Times New Roman" w:hAnsi="Times New Roman"/>
          <w:sz w:val="15"/>
          <w:szCs w:val="15"/>
          <w:color w:val="auto"/>
        </w:rPr>
      </w:pPr>
    </w:p>
    <w:p>
      <w:pPr>
        <w:ind w:left="1580" w:right="1159" w:hanging="291"/>
        <w:spacing w:after="0" w:line="280"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acceptance of appointment by a successor trustee or facilitate the administration of the trusts under an indenture by more than one trustee; or</w:t>
      </w:r>
    </w:p>
    <w:p>
      <w:pPr>
        <w:spacing w:after="0" w:line="48" w:lineRule="exact"/>
        <w:rPr>
          <w:rFonts w:ascii="Times New Roman" w:cs="Times New Roman" w:eastAsia="Times New Roman" w:hAnsi="Times New Roman"/>
          <w:sz w:val="15"/>
          <w:szCs w:val="15"/>
          <w:color w:val="auto"/>
        </w:rPr>
      </w:pPr>
    </w:p>
    <w:p>
      <w:pPr>
        <w:ind w:left="1580" w:right="1479" w:hanging="291"/>
        <w:spacing w:after="0" w:line="280"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 in an indenture, provided that such action shall not adversely affect the interests of holders of debt securities of any series issued under such indenture.</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Voting</w:t>
      </w:r>
    </w:p>
    <w:p>
      <w:pPr>
        <w:spacing w:after="0" w:line="102" w:lineRule="exact"/>
        <w:rPr>
          <w:sz w:val="20"/>
          <w:szCs w:val="20"/>
          <w:color w:val="auto"/>
        </w:rPr>
      </w:pPr>
    </w:p>
    <w:p>
      <w:pPr>
        <w:ind w:left="980" w:right="1039"/>
        <w:spacing w:after="0" w:line="256" w:lineRule="auto"/>
        <w:rPr>
          <w:sz w:val="20"/>
          <w:szCs w:val="20"/>
          <w:color w:val="auto"/>
        </w:rPr>
      </w:pPr>
      <w:r>
        <w:rPr>
          <w:rFonts w:ascii="Times New Roman" w:cs="Times New Roman" w:eastAsia="Times New Roman" w:hAnsi="Times New Roman"/>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Subordination</w:t>
      </w:r>
    </w:p>
    <w:p>
      <w:pPr>
        <w:spacing w:after="0" w:line="102" w:lineRule="exact"/>
        <w:rPr>
          <w:sz w:val="20"/>
          <w:szCs w:val="20"/>
          <w:color w:val="auto"/>
        </w:rPr>
      </w:pPr>
    </w:p>
    <w:p>
      <w:pPr>
        <w:ind w:left="980" w:right="1179"/>
        <w:spacing w:after="0" w:line="280" w:lineRule="auto"/>
        <w:rPr>
          <w:sz w:val="20"/>
          <w:szCs w:val="20"/>
          <w:color w:val="auto"/>
        </w:rPr>
      </w:pPr>
      <w:r>
        <w:rPr>
          <w:rFonts w:ascii="Times New Roman" w:cs="Times New Roman" w:eastAsia="Times New Roman" w:hAnsi="Times New Roman"/>
          <w:sz w:val="15"/>
          <w:szCs w:val="15"/>
          <w:color w:val="auto"/>
        </w:rPr>
        <w:t>Unless otherwise provided in the applicable prospectus supplement, subordinated debt securities will be subject to the following subordination provisions.</w:t>
      </w:r>
    </w:p>
    <w:p>
      <w:pPr>
        <w:spacing w:after="0" w:line="48" w:lineRule="exact"/>
        <w:rPr>
          <w:sz w:val="20"/>
          <w:szCs w:val="20"/>
          <w:color w:val="auto"/>
        </w:rPr>
      </w:pPr>
    </w:p>
    <w:p>
      <w:pPr>
        <w:ind w:left="980" w:right="1079"/>
        <w:spacing w:after="0" w:line="253" w:lineRule="auto"/>
        <w:rPr>
          <w:sz w:val="20"/>
          <w:szCs w:val="20"/>
          <w:color w:val="auto"/>
        </w:rPr>
      </w:pPr>
      <w:r>
        <w:rPr>
          <w:rFonts w:ascii="Times New Roman" w:cs="Times New Roman" w:eastAsia="Times New Roman" w:hAnsi="Times New Roman"/>
          <w:sz w:val="15"/>
          <w:szCs w:val="15"/>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72" w:lineRule="exact"/>
        <w:rPr>
          <w:sz w:val="20"/>
          <w:szCs w:val="20"/>
          <w:color w:val="auto"/>
        </w:rPr>
      </w:pPr>
    </w:p>
    <w:p>
      <w:pPr>
        <w:ind w:left="980" w:right="1519"/>
        <w:spacing w:after="0" w:line="280" w:lineRule="auto"/>
        <w:rPr>
          <w:sz w:val="20"/>
          <w:szCs w:val="20"/>
          <w:color w:val="auto"/>
        </w:rPr>
      </w:pPr>
      <w:r>
        <w:rPr>
          <w:rFonts w:ascii="Times New Roman" w:cs="Times New Roman" w:eastAsia="Times New Roman" w:hAnsi="Times New Roman"/>
          <w:sz w:val="15"/>
          <w:szCs w:val="15"/>
          <w:color w:val="auto"/>
        </w:rPr>
        <w:t>No restrictions will be included in any indenture relating to subordinated debt securities upon the creation of additional senior debt.</w:t>
      </w:r>
    </w:p>
    <w:p>
      <w:pPr>
        <w:spacing w:after="0" w:line="48" w:lineRule="exact"/>
        <w:rPr>
          <w:sz w:val="20"/>
          <w:szCs w:val="20"/>
          <w:color w:val="auto"/>
        </w:rPr>
      </w:pPr>
    </w:p>
    <w:p>
      <w:pPr>
        <w:jc w:val="both"/>
        <w:ind w:left="980" w:right="1139"/>
        <w:spacing w:after="0" w:line="265" w:lineRule="auto"/>
        <w:rPr>
          <w:sz w:val="20"/>
          <w:szCs w:val="20"/>
          <w:color w:val="auto"/>
        </w:rPr>
      </w:pPr>
      <w:r>
        <w:rPr>
          <w:rFonts w:ascii="Times New Roman" w:cs="Times New Roman" w:eastAsia="Times New Roman" w:hAnsi="Times New Roman"/>
          <w:sz w:val="15"/>
          <w:szCs w:val="15"/>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Discharge, Defeasance and Covenant Defeasance</w:t>
      </w:r>
    </w:p>
    <w:p>
      <w:pPr>
        <w:spacing w:after="0" w:line="102" w:lineRule="exact"/>
        <w:rPr>
          <w:sz w:val="20"/>
          <w:szCs w:val="20"/>
          <w:color w:val="auto"/>
        </w:rPr>
      </w:pPr>
    </w:p>
    <w:p>
      <w:pPr>
        <w:ind w:left="980" w:right="1519"/>
        <w:spacing w:after="0" w:line="280" w:lineRule="auto"/>
        <w:rPr>
          <w:sz w:val="20"/>
          <w:szCs w:val="20"/>
          <w:color w:val="auto"/>
        </w:rPr>
      </w:pPr>
      <w:r>
        <w:rPr>
          <w:rFonts w:ascii="Times New Roman" w:cs="Times New Roman" w:eastAsia="Times New Roman" w:hAnsi="Times New Roman"/>
          <w:sz w:val="15"/>
          <w:szCs w:val="15"/>
          <w:color w:val="auto"/>
        </w:rPr>
        <w:t>Unless otherwise provided in the applicable prospectus supplement, the indentures allow us to discharge our obligations to holders of any series of debt securities issued under any indenture when:</w:t>
      </w:r>
    </w:p>
    <w:p>
      <w:pPr>
        <w:spacing w:after="0" w:line="48" w:lineRule="exact"/>
        <w:rPr>
          <w:sz w:val="20"/>
          <w:szCs w:val="20"/>
          <w:color w:val="auto"/>
        </w:rPr>
      </w:pPr>
    </w:p>
    <w:p>
      <w:pPr>
        <w:ind w:left="1580" w:right="1059" w:hanging="291"/>
        <w:spacing w:after="0" w:line="256" w:lineRule="auto"/>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039"/>
        <w:spacing w:after="0" w:line="265" w:lineRule="auto"/>
        <w:rPr>
          <w:sz w:val="20"/>
          <w:szCs w:val="20"/>
          <w:color w:val="auto"/>
        </w:rPr>
      </w:pPr>
      <w:r>
        <w:rPr>
          <w:rFonts w:ascii="Times New Roman" w:cs="Times New Roman" w:eastAsia="Times New Roman" w:hAnsi="Times New Roman"/>
          <w:sz w:val="15"/>
          <w:szCs w:val="15"/>
          <w:color w:val="auto"/>
        </w:rPr>
        <w:t>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60" w:lineRule="exact"/>
        <w:rPr>
          <w:sz w:val="20"/>
          <w:szCs w:val="20"/>
          <w:color w:val="auto"/>
        </w:rPr>
      </w:pPr>
    </w:p>
    <w:p>
      <w:pPr>
        <w:ind w:left="1580" w:hanging="291"/>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paid or caused to be paid all other sums payable; and</w:t>
      </w:r>
    </w:p>
    <w:p>
      <w:pPr>
        <w:spacing w:after="0" w:line="97" w:lineRule="exact"/>
        <w:rPr>
          <w:rFonts w:ascii="Times New Roman" w:cs="Times New Roman" w:eastAsia="Times New Roman" w:hAnsi="Times New Roman"/>
          <w:sz w:val="15"/>
          <w:szCs w:val="15"/>
          <w:color w:val="auto"/>
        </w:rPr>
      </w:pPr>
    </w:p>
    <w:p>
      <w:pPr>
        <w:ind w:left="1580" w:right="1199" w:hanging="291"/>
        <w:spacing w:after="0" w:line="280" w:lineRule="auto"/>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officers’ certificate and an opinion of counsel stating the conditions to discharging the debt securities have been satisfied has been delivered to the trustee.</w:t>
      </w:r>
    </w:p>
    <w:p>
      <w:pPr>
        <w:spacing w:after="0" w:line="48" w:lineRule="exact"/>
        <w:rPr>
          <w:sz w:val="20"/>
          <w:szCs w:val="20"/>
          <w:color w:val="auto"/>
        </w:rPr>
      </w:pPr>
    </w:p>
    <w:p>
      <w:pPr>
        <w:ind w:left="980" w:right="1059"/>
        <w:spacing w:after="0" w:line="254" w:lineRule="auto"/>
        <w:rPr>
          <w:sz w:val="20"/>
          <w:szCs w:val="20"/>
          <w:color w:val="auto"/>
        </w:rPr>
      </w:pPr>
      <w:r>
        <w:rPr>
          <w:rFonts w:ascii="Times New Roman" w:cs="Times New Roman" w:eastAsia="Times New Roman" w:hAnsi="Times New Roman"/>
          <w:sz w:val="15"/>
          <w:szCs w:val="15"/>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67" w:lineRule="exact"/>
        <w:rPr>
          <w:sz w:val="20"/>
          <w:szCs w:val="20"/>
          <w:color w:val="auto"/>
        </w:rPr>
      </w:pPr>
    </w:p>
    <w:p>
      <w:pPr>
        <w:ind w:left="980" w:right="1039"/>
        <w:spacing w:after="0" w:line="258" w:lineRule="auto"/>
        <w:rPr>
          <w:sz w:val="20"/>
          <w:szCs w:val="20"/>
          <w:color w:val="auto"/>
        </w:rPr>
      </w:pPr>
      <w:r>
        <w:rPr>
          <w:rFonts w:ascii="Times New Roman" w:cs="Times New Roman" w:eastAsia="Times New Roman" w:hAnsi="Times New Roman"/>
          <w:sz w:val="15"/>
          <w:szCs w:val="15"/>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64" w:lineRule="exact"/>
        <w:rPr>
          <w:sz w:val="20"/>
          <w:szCs w:val="20"/>
          <w:color w:val="auto"/>
        </w:rPr>
      </w:pPr>
    </w:p>
    <w:p>
      <w:pPr>
        <w:ind w:left="980" w:right="1279"/>
        <w:spacing w:after="0" w:line="265" w:lineRule="auto"/>
        <w:rPr>
          <w:sz w:val="20"/>
          <w:szCs w:val="20"/>
          <w:color w:val="auto"/>
        </w:rPr>
      </w:pPr>
      <w:r>
        <w:rPr>
          <w:rFonts w:ascii="Times New Roman" w:cs="Times New Roman" w:eastAsia="Times New Roman" w:hAnsi="Times New Roman"/>
          <w:sz w:val="15"/>
          <w:szCs w:val="15"/>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Conversion Rights</w:t>
      </w:r>
    </w:p>
    <w:p>
      <w:pPr>
        <w:spacing w:after="0" w:line="102" w:lineRule="exact"/>
        <w:rPr>
          <w:sz w:val="20"/>
          <w:szCs w:val="20"/>
          <w:color w:val="auto"/>
        </w:rPr>
      </w:pPr>
    </w:p>
    <w:p>
      <w:pPr>
        <w:ind w:left="980" w:right="1059"/>
        <w:spacing w:after="0" w:line="256" w:lineRule="auto"/>
        <w:rPr>
          <w:sz w:val="20"/>
          <w:szCs w:val="20"/>
          <w:color w:val="auto"/>
        </w:rPr>
      </w:pPr>
      <w:r>
        <w:rPr>
          <w:rFonts w:ascii="Times New Roman" w:cs="Times New Roman" w:eastAsia="Times New Roman" w:hAnsi="Times New Roman"/>
          <w:sz w:val="15"/>
          <w:szCs w:val="15"/>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No Recourse</w:t>
      </w:r>
    </w:p>
    <w:p>
      <w:pPr>
        <w:spacing w:after="0" w:line="102" w:lineRule="exact"/>
        <w:rPr>
          <w:sz w:val="20"/>
          <w:szCs w:val="20"/>
          <w:color w:val="auto"/>
        </w:rPr>
      </w:pPr>
    </w:p>
    <w:p>
      <w:pPr>
        <w:ind w:left="980" w:right="1139"/>
        <w:spacing w:after="0" w:line="256" w:lineRule="auto"/>
        <w:rPr>
          <w:sz w:val="20"/>
          <w:szCs w:val="20"/>
          <w:color w:val="auto"/>
        </w:rPr>
      </w:pPr>
      <w:r>
        <w:rPr>
          <w:rFonts w:ascii="Times New Roman" w:cs="Times New Roman" w:eastAsia="Times New Roman" w:hAnsi="Times New Roman"/>
          <w:sz w:val="15"/>
          <w:szCs w:val="15"/>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2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02" w:lineRule="exact"/>
        <w:rPr>
          <w:sz w:val="20"/>
          <w:szCs w:val="20"/>
          <w:color w:val="auto"/>
        </w:rPr>
      </w:pPr>
    </w:p>
    <w:p>
      <w:pPr>
        <w:ind w:left="980" w:right="1059"/>
        <w:spacing w:after="0" w:line="280" w:lineRule="auto"/>
        <w:rPr>
          <w:sz w:val="20"/>
          <w:szCs w:val="20"/>
          <w:color w:val="auto"/>
        </w:rPr>
      </w:pPr>
      <w:r>
        <w:rPr>
          <w:rFonts w:ascii="Times New Roman" w:cs="Times New Roman" w:eastAsia="Times New Roman" w:hAnsi="Times New Roman"/>
          <w:sz w:val="15"/>
          <w:szCs w:val="15"/>
          <w:color w:val="auto"/>
        </w:rPr>
        <w:t>The indentures and the debt securities will be governed by and construed in accordance with the laws of the State of New York, except to the extent that the Trust Indenture Act is applicable.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4" w:name="page25"/>
    <w:bookmarkEnd w:id="24"/>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02" w:lineRule="exact"/>
        <w:rPr>
          <w:sz w:val="20"/>
          <w:szCs w:val="20"/>
          <w:color w:val="auto"/>
        </w:rPr>
      </w:pPr>
    </w:p>
    <w:p>
      <w:pPr>
        <w:ind w:left="980" w:right="1019"/>
        <w:spacing w:after="0" w:line="255"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2" w:lineRule="exact"/>
        <w:rPr>
          <w:sz w:val="20"/>
          <w:szCs w:val="20"/>
          <w:color w:val="auto"/>
        </w:rPr>
      </w:pPr>
    </w:p>
    <w:p>
      <w:pPr>
        <w:ind w:left="980" w:right="1079"/>
        <w:spacing w:after="0" w:line="265" w:lineRule="auto"/>
        <w:rPr>
          <w:sz w:val="20"/>
          <w:szCs w:val="20"/>
          <w:color w:val="auto"/>
        </w:rPr>
      </w:pPr>
      <w:r>
        <w:rPr>
          <w:rFonts w:ascii="Times New Roman" w:cs="Times New Roman" w:eastAsia="Times New Roman" w:hAnsi="Times New Roman"/>
          <w:sz w:val="15"/>
          <w:szCs w:val="15"/>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60" w:lineRule="exact"/>
        <w:rPr>
          <w:sz w:val="20"/>
          <w:szCs w:val="20"/>
          <w:color w:val="auto"/>
        </w:rPr>
      </w:pPr>
    </w:p>
    <w:p>
      <w:pPr>
        <w:ind w:left="980" w:right="1059"/>
        <w:spacing w:after="0" w:line="265" w:lineRule="auto"/>
        <w:rPr>
          <w:sz w:val="20"/>
          <w:szCs w:val="20"/>
          <w:color w:val="auto"/>
        </w:rPr>
      </w:pPr>
      <w:r>
        <w:rPr>
          <w:rFonts w:ascii="Times New Roman" w:cs="Times New Roman" w:eastAsia="Times New Roman" w:hAnsi="Times New Roman"/>
          <w:sz w:val="15"/>
          <w:szCs w:val="15"/>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warrants, including:</w:t>
      </w:r>
    </w:p>
    <w:p>
      <w:pPr>
        <w:spacing w:after="0" w:line="98" w:lineRule="exact"/>
        <w:rPr>
          <w:sz w:val="20"/>
          <w:szCs w:val="20"/>
          <w:color w:val="auto"/>
        </w:rPr>
      </w:pPr>
    </w:p>
    <w:p>
      <w:pPr>
        <w:ind w:left="1580" w:hanging="291"/>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offering price and aggregate number of warrants offered;</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for which the warrants may be purchased;</w:t>
      </w:r>
    </w:p>
    <w:p>
      <w:pPr>
        <w:spacing w:after="0" w:line="97" w:lineRule="exact"/>
        <w:rPr>
          <w:rFonts w:ascii="Times New Roman" w:cs="Times New Roman" w:eastAsia="Times New Roman" w:hAnsi="Times New Roman"/>
          <w:sz w:val="15"/>
          <w:szCs w:val="15"/>
          <w:color w:val="auto"/>
        </w:rPr>
      </w:pPr>
    </w:p>
    <w:p>
      <w:pPr>
        <w:ind w:left="1580" w:right="1499" w:hanging="291"/>
        <w:spacing w:after="0" w:line="280" w:lineRule="auto"/>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designation and terms of the securities with which the warrants are issued and the number of warrants issued with each such security or each principal amount of such security;</w:t>
      </w:r>
    </w:p>
    <w:p>
      <w:pPr>
        <w:spacing w:after="0" w:line="48" w:lineRule="exact"/>
        <w:rPr>
          <w:rFonts w:ascii="Times New Roman" w:cs="Times New Roman" w:eastAsia="Times New Roman" w:hAnsi="Times New Roman"/>
          <w:sz w:val="15"/>
          <w:szCs w:val="15"/>
          <w:color w:val="auto"/>
        </w:rPr>
      </w:pPr>
    </w:p>
    <w:p>
      <w:pPr>
        <w:ind w:left="1580" w:right="1579" w:hanging="291"/>
        <w:spacing w:after="0" w:line="280" w:lineRule="auto"/>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on and after which the warrants and the related securities will be separately transferable;</w:t>
      </w:r>
    </w:p>
    <w:p>
      <w:pPr>
        <w:spacing w:after="0" w:line="48" w:lineRule="exact"/>
        <w:rPr>
          <w:rFonts w:ascii="Times New Roman" w:cs="Times New Roman" w:eastAsia="Times New Roman" w:hAnsi="Times New Roman"/>
          <w:sz w:val="15"/>
          <w:szCs w:val="15"/>
          <w:color w:val="auto"/>
        </w:rPr>
      </w:pPr>
    </w:p>
    <w:p>
      <w:pPr>
        <w:ind w:left="1580" w:right="1319" w:hanging="291"/>
        <w:spacing w:after="0" w:line="265" w:lineRule="auto"/>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9" w:lineRule="exact"/>
        <w:rPr>
          <w:rFonts w:ascii="Times New Roman" w:cs="Times New Roman" w:eastAsia="Times New Roman" w:hAnsi="Times New Roman"/>
          <w:sz w:val="15"/>
          <w:szCs w:val="15"/>
          <w:color w:val="auto"/>
        </w:rPr>
      </w:pPr>
    </w:p>
    <w:p>
      <w:pPr>
        <w:ind w:left="1580" w:right="1079" w:hanging="291"/>
        <w:spacing w:after="0" w:line="265" w:lineRule="auto"/>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9" w:lineRule="exact"/>
        <w:rPr>
          <w:rFonts w:ascii="Times New Roman" w:cs="Times New Roman" w:eastAsia="Times New Roman" w:hAnsi="Times New Roman"/>
          <w:sz w:val="15"/>
          <w:szCs w:val="15"/>
          <w:color w:val="auto"/>
        </w:rPr>
      </w:pPr>
    </w:p>
    <w:p>
      <w:pPr>
        <w:ind w:left="1580" w:right="1099" w:hanging="291"/>
        <w:spacing w:after="0" w:line="280" w:lineRule="auto"/>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any merger, consolidation, sale or other disposition of our business on the warrant agreement and the warrants;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any rights to redeem or call the warrants;</w:t>
      </w:r>
    </w:p>
    <w:p>
      <w:pPr>
        <w:spacing w:after="0" w:line="97" w:lineRule="exact"/>
        <w:rPr>
          <w:rFonts w:ascii="Times New Roman" w:cs="Times New Roman" w:eastAsia="Times New Roman" w:hAnsi="Times New Roman"/>
          <w:sz w:val="15"/>
          <w:szCs w:val="15"/>
          <w:color w:val="auto"/>
        </w:rPr>
      </w:pPr>
    </w:p>
    <w:p>
      <w:pPr>
        <w:ind w:left="1580" w:right="1219" w:hanging="291"/>
        <w:spacing w:after="0" w:line="280" w:lineRule="auto"/>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changes to or adjustments in the exercise price or number of securities issuable upon exercise of the warrants;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periods during which, and places at which, the warrants are exercisable;</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of exercise;</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the right to exercise the warrants will commence and expire;</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in which the warrant agreement and warrants may be modified;</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income tax consequences of holding or exercising the warrants;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securities issuable upon exercise of the warrants; and</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preferences, rights or limitations of or restrictions on the warrants.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5" w:name="page26"/>
    <w:bookmarkEnd w:id="25"/>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UNITS</w:t>
      </w:r>
    </w:p>
    <w:p>
      <w:pPr>
        <w:spacing w:after="0" w:line="102" w:lineRule="exact"/>
        <w:rPr>
          <w:sz w:val="20"/>
          <w:szCs w:val="20"/>
          <w:color w:val="auto"/>
        </w:rPr>
      </w:pPr>
    </w:p>
    <w:p>
      <w:pPr>
        <w:ind w:left="980" w:right="1019"/>
        <w:spacing w:after="0" w:line="253" w:lineRule="auto"/>
        <w:rPr>
          <w:sz w:val="20"/>
          <w:szCs w:val="20"/>
          <w:color w:val="auto"/>
        </w:rPr>
      </w:pPr>
      <w:r>
        <w:rPr>
          <w:rFonts w:ascii="Times New Roman" w:cs="Times New Roman" w:eastAsia="Times New Roman" w:hAnsi="Times New Roman"/>
          <w:sz w:val="15"/>
          <w:szCs w:val="15"/>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72" w:lineRule="exact"/>
        <w:rPr>
          <w:sz w:val="20"/>
          <w:szCs w:val="20"/>
          <w:color w:val="auto"/>
        </w:rPr>
      </w:pPr>
    </w:p>
    <w:p>
      <w:pPr>
        <w:ind w:left="980" w:right="1079"/>
        <w:spacing w:after="0" w:line="258" w:lineRule="auto"/>
        <w:rPr>
          <w:sz w:val="20"/>
          <w:szCs w:val="20"/>
          <w:color w:val="auto"/>
        </w:rPr>
      </w:pPr>
      <w:r>
        <w:rPr>
          <w:rFonts w:ascii="Times New Roman" w:cs="Times New Roman" w:eastAsia="Times New Roman" w:hAnsi="Times New Roman"/>
          <w:sz w:val="15"/>
          <w:szCs w:val="15"/>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64" w:lineRule="exact"/>
        <w:rPr>
          <w:sz w:val="20"/>
          <w:szCs w:val="20"/>
          <w:color w:val="auto"/>
        </w:rPr>
      </w:pPr>
    </w:p>
    <w:p>
      <w:pPr>
        <w:ind w:left="1580" w:right="1259" w:hanging="291"/>
        <w:spacing w:after="0" w:line="280" w:lineRule="auto"/>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units and of the securities comprising the units, including whether and under what circumstances those securities may be held or transferred separately;</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of the governing unit agreement;</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at which such units will be issued;</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applicable United States federal income tax considerations relating to the units;</w:t>
      </w:r>
    </w:p>
    <w:p>
      <w:pPr>
        <w:spacing w:after="0" w:line="97" w:lineRule="exact"/>
        <w:rPr>
          <w:rFonts w:ascii="Times New Roman" w:cs="Times New Roman" w:eastAsia="Times New Roman" w:hAnsi="Times New Roman"/>
          <w:sz w:val="15"/>
          <w:szCs w:val="15"/>
          <w:color w:val="auto"/>
        </w:rPr>
      </w:pPr>
    </w:p>
    <w:p>
      <w:pPr>
        <w:ind w:left="1580" w:right="1119" w:hanging="291"/>
        <w:spacing w:after="0" w:line="280" w:lineRule="auto"/>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the issuance, payment, settlement, transfer or exchange of the units or of the securities comprising the units; and</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units and of the securities comprising the units.</w:t>
      </w:r>
    </w:p>
    <w:p>
      <w:pPr>
        <w:spacing w:after="0" w:line="98" w:lineRule="exact"/>
        <w:rPr>
          <w:sz w:val="20"/>
          <w:szCs w:val="20"/>
          <w:color w:val="auto"/>
        </w:rPr>
      </w:pPr>
    </w:p>
    <w:p>
      <w:pPr>
        <w:ind w:left="980" w:right="1099"/>
        <w:spacing w:after="0" w:line="265" w:lineRule="auto"/>
        <w:rPr>
          <w:sz w:val="20"/>
          <w:szCs w:val="20"/>
          <w:color w:val="auto"/>
        </w:rPr>
      </w:pPr>
      <w:r>
        <w:rPr>
          <w:rFonts w:ascii="Times New Roman" w:cs="Times New Roman" w:eastAsia="Times New Roman" w:hAnsi="Times New Roman"/>
          <w:sz w:val="15"/>
          <w:szCs w:val="15"/>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Issuance in Series</w:t>
      </w:r>
    </w:p>
    <w:p>
      <w:pPr>
        <w:spacing w:after="0" w:line="102" w:lineRule="exact"/>
        <w:rPr>
          <w:sz w:val="20"/>
          <w:szCs w:val="20"/>
          <w:color w:val="auto"/>
        </w:rPr>
      </w:pPr>
    </w:p>
    <w:p>
      <w:pPr>
        <w:ind w:left="980" w:right="1039"/>
        <w:spacing w:after="0" w:line="265" w:lineRule="auto"/>
        <w:rPr>
          <w:sz w:val="20"/>
          <w:szCs w:val="20"/>
          <w:color w:val="auto"/>
        </w:rPr>
      </w:pPr>
      <w:r>
        <w:rPr>
          <w:rFonts w:ascii="Times New Roman" w:cs="Times New Roman" w:eastAsia="Times New Roman" w:hAnsi="Times New Roman"/>
          <w:sz w:val="15"/>
          <w:szCs w:val="15"/>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Unit Agreements</w:t>
      </w:r>
    </w:p>
    <w:p>
      <w:pPr>
        <w:spacing w:after="0" w:line="102" w:lineRule="exact"/>
        <w:rPr>
          <w:sz w:val="20"/>
          <w:szCs w:val="20"/>
          <w:color w:val="auto"/>
        </w:rPr>
      </w:pPr>
    </w:p>
    <w:p>
      <w:pPr>
        <w:ind w:left="980" w:right="1099"/>
        <w:spacing w:after="0" w:line="260" w:lineRule="auto"/>
        <w:rPr>
          <w:sz w:val="20"/>
          <w:szCs w:val="20"/>
          <w:color w:val="auto"/>
        </w:rPr>
      </w:pPr>
      <w:r>
        <w:rPr>
          <w:rFonts w:ascii="Times New Roman" w:cs="Times New Roman" w:eastAsia="Times New Roman" w:hAnsi="Times New Roman"/>
          <w:sz w:val="15"/>
          <w:szCs w:val="15"/>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64" w:lineRule="exact"/>
        <w:rPr>
          <w:sz w:val="20"/>
          <w:szCs w:val="20"/>
          <w:color w:val="auto"/>
        </w:rPr>
      </w:pPr>
    </w:p>
    <w:p>
      <w:pPr>
        <w:ind w:left="980" w:right="1479"/>
        <w:spacing w:after="0" w:line="280" w:lineRule="auto"/>
        <w:rPr>
          <w:sz w:val="20"/>
          <w:szCs w:val="20"/>
          <w:color w:val="auto"/>
        </w:rPr>
      </w:pPr>
      <w:r>
        <w:rPr>
          <w:rFonts w:ascii="Times New Roman" w:cs="Times New Roman" w:eastAsia="Times New Roman" w:hAnsi="Times New Roman"/>
          <w:sz w:val="15"/>
          <w:szCs w:val="15"/>
          <w:color w:val="auto"/>
        </w:rPr>
        <w:t>The following provisions will generally apply to all unit agreements unless otherwise stated in the applicable prospectus supplement:</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Modification without Consent</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We and the applicable unit agent may amend any unit or unit agreement without the consent of any holder:</w:t>
      </w:r>
    </w:p>
    <w:p>
      <w:pPr>
        <w:spacing w:after="0" w:line="98" w:lineRule="exact"/>
        <w:rPr>
          <w:sz w:val="20"/>
          <w:szCs w:val="20"/>
          <w:color w:val="auto"/>
        </w:rPr>
      </w:pPr>
    </w:p>
    <w:p>
      <w:pPr>
        <w:ind w:left="1580" w:right="1319" w:hanging="291"/>
        <w:spacing w:after="0" w:line="280"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including modifying any provisions of the governing unit agreement that differ from those described below;</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correct or supplement any defective or inconsistent provision;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6" w:name="page27"/>
    <w:bookmarkEnd w:id="26"/>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479" w:hanging="291"/>
        <w:spacing w:after="0" w:line="280" w:lineRule="auto"/>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other change that we believe is necessary or desirable and will not adversely affect the interests of the affected holders in any material respect.</w:t>
      </w:r>
    </w:p>
    <w:p>
      <w:pPr>
        <w:spacing w:after="0" w:line="48" w:lineRule="exact"/>
        <w:rPr>
          <w:sz w:val="20"/>
          <w:szCs w:val="20"/>
          <w:color w:val="auto"/>
        </w:rPr>
      </w:pPr>
    </w:p>
    <w:p>
      <w:pPr>
        <w:ind w:left="980" w:right="1159"/>
        <w:spacing w:after="0" w:line="260" w:lineRule="auto"/>
        <w:rPr>
          <w:sz w:val="20"/>
          <w:szCs w:val="20"/>
          <w:color w:val="auto"/>
        </w:rPr>
      </w:pPr>
      <w:r>
        <w:rPr>
          <w:rFonts w:ascii="Times New Roman" w:cs="Times New Roman" w:eastAsia="Times New Roman" w:hAnsi="Times New Roman"/>
          <w:sz w:val="15"/>
          <w:szCs w:val="15"/>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Modification with Consent</w:t>
      </w:r>
    </w:p>
    <w:p>
      <w:pPr>
        <w:spacing w:after="0" w:line="102" w:lineRule="exact"/>
        <w:rPr>
          <w:sz w:val="20"/>
          <w:szCs w:val="20"/>
          <w:color w:val="auto"/>
        </w:rPr>
      </w:pPr>
    </w:p>
    <w:p>
      <w:pPr>
        <w:ind w:left="980" w:right="1219"/>
        <w:spacing w:after="0" w:line="280" w:lineRule="auto"/>
        <w:rPr>
          <w:sz w:val="20"/>
          <w:szCs w:val="20"/>
          <w:color w:val="auto"/>
        </w:rPr>
      </w:pPr>
      <w:r>
        <w:rPr>
          <w:rFonts w:ascii="Times New Roman" w:cs="Times New Roman" w:eastAsia="Times New Roman" w:hAnsi="Times New Roman"/>
          <w:sz w:val="15"/>
          <w:szCs w:val="15"/>
          <w:color w:val="auto"/>
        </w:rPr>
        <w:t>We may not amend any particular unit or a unit agreement with respect to any particular unit unless we obtain the consent of the holder of that unit, if the amendment would:</w:t>
      </w:r>
    </w:p>
    <w:p>
      <w:pPr>
        <w:spacing w:after="0" w:line="48" w:lineRule="exact"/>
        <w:rPr>
          <w:sz w:val="20"/>
          <w:szCs w:val="20"/>
          <w:color w:val="auto"/>
        </w:rPr>
      </w:pPr>
    </w:p>
    <w:p>
      <w:pPr>
        <w:jc w:val="both"/>
        <w:ind w:left="1580" w:right="1199" w:hanging="291"/>
        <w:spacing w:after="0" w:line="265" w:lineRule="auto"/>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59" w:lineRule="exact"/>
        <w:rPr>
          <w:rFonts w:ascii="Times New Roman" w:cs="Times New Roman" w:eastAsia="Times New Roman" w:hAnsi="Times New Roman"/>
          <w:sz w:val="15"/>
          <w:szCs w:val="15"/>
          <w:color w:val="auto"/>
        </w:rPr>
      </w:pPr>
    </w:p>
    <w:p>
      <w:pPr>
        <w:ind w:left="1580" w:right="1159" w:hanging="291"/>
        <w:spacing w:after="0" w:line="265" w:lineRule="auto"/>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60" w:lineRule="exact"/>
        <w:rPr>
          <w:sz w:val="20"/>
          <w:szCs w:val="20"/>
          <w:color w:val="auto"/>
        </w:rPr>
      </w:pPr>
    </w:p>
    <w:p>
      <w:pPr>
        <w:ind w:left="980" w:right="1539"/>
        <w:spacing w:after="0" w:line="280" w:lineRule="auto"/>
        <w:rPr>
          <w:sz w:val="20"/>
          <w:szCs w:val="20"/>
          <w:color w:val="auto"/>
        </w:rPr>
      </w:pPr>
      <w:r>
        <w:rPr>
          <w:rFonts w:ascii="Times New Roman" w:cs="Times New Roman" w:eastAsia="Times New Roman" w:hAnsi="Times New Roman"/>
          <w:sz w:val="15"/>
          <w:szCs w:val="15"/>
          <w:color w:val="auto"/>
        </w:rPr>
        <w:t>Any other change to a particular unit agreement and the units issued under that agreement would require the following approval:</w:t>
      </w:r>
    </w:p>
    <w:p>
      <w:pPr>
        <w:spacing w:after="0" w:line="48" w:lineRule="exact"/>
        <w:rPr>
          <w:sz w:val="20"/>
          <w:szCs w:val="20"/>
          <w:color w:val="auto"/>
        </w:rPr>
      </w:pPr>
    </w:p>
    <w:p>
      <w:pPr>
        <w:ind w:left="1580" w:right="1159" w:hanging="291"/>
        <w:spacing w:after="0" w:line="280"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change affects only the units of a particular series issued under that agreement, the change must be approved by the holders of a majority of the outstanding units of that series; or</w:t>
      </w:r>
    </w:p>
    <w:p>
      <w:pPr>
        <w:spacing w:after="0" w:line="48" w:lineRule="exact"/>
        <w:rPr>
          <w:rFonts w:ascii="Times New Roman" w:cs="Times New Roman" w:eastAsia="Times New Roman" w:hAnsi="Times New Roman"/>
          <w:sz w:val="15"/>
          <w:szCs w:val="15"/>
          <w:color w:val="auto"/>
        </w:rPr>
      </w:pPr>
    </w:p>
    <w:p>
      <w:pPr>
        <w:ind w:left="1580" w:right="1059" w:hanging="291"/>
        <w:spacing w:after="0" w:line="265"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60" w:lineRule="exact"/>
        <w:rPr>
          <w:sz w:val="20"/>
          <w:szCs w:val="20"/>
          <w:color w:val="auto"/>
        </w:rPr>
      </w:pPr>
    </w:p>
    <w:p>
      <w:pPr>
        <w:ind w:left="980" w:right="1299"/>
        <w:spacing w:after="0" w:line="280" w:lineRule="auto"/>
        <w:rPr>
          <w:sz w:val="20"/>
          <w:szCs w:val="20"/>
          <w:color w:val="auto"/>
        </w:rPr>
      </w:pPr>
      <w:r>
        <w:rPr>
          <w:rFonts w:ascii="Times New Roman" w:cs="Times New Roman" w:eastAsia="Times New Roman" w:hAnsi="Times New Roman"/>
          <w:sz w:val="15"/>
          <w:szCs w:val="15"/>
          <w:color w:val="auto"/>
        </w:rPr>
        <w:t>These provisions regarding changes with majority approval also apply to changes affecting any securities issued under a unit agreement, as the governing document.</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In each case, the required approval must be given by written consent.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Unit Agreements Will Not Be Qualified under Trust Indenture Act</w:t>
      </w:r>
    </w:p>
    <w:p>
      <w:pPr>
        <w:spacing w:after="0" w:line="102" w:lineRule="exact"/>
        <w:rPr>
          <w:sz w:val="20"/>
          <w:szCs w:val="20"/>
          <w:color w:val="auto"/>
        </w:rPr>
      </w:pPr>
    </w:p>
    <w:p>
      <w:pPr>
        <w:jc w:val="both"/>
        <w:ind w:left="980" w:right="1039"/>
        <w:spacing w:after="0" w:line="265" w:lineRule="auto"/>
        <w:rPr>
          <w:sz w:val="20"/>
          <w:szCs w:val="20"/>
          <w:color w:val="auto"/>
        </w:rPr>
      </w:pPr>
      <w:r>
        <w:rPr>
          <w:rFonts w:ascii="Times New Roman" w:cs="Times New Roman" w:eastAsia="Times New Roman" w:hAnsi="Times New Roman"/>
          <w:sz w:val="15"/>
          <w:szCs w:val="15"/>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Mergers and Similar Transactions Permitted; No Restrictive Covenants or Events of Default</w:t>
      </w:r>
    </w:p>
    <w:p>
      <w:pPr>
        <w:spacing w:after="0" w:line="102" w:lineRule="exact"/>
        <w:rPr>
          <w:sz w:val="20"/>
          <w:szCs w:val="20"/>
          <w:color w:val="auto"/>
        </w:rPr>
      </w:pPr>
    </w:p>
    <w:p>
      <w:pPr>
        <w:ind w:left="980" w:right="1019"/>
        <w:spacing w:after="0" w:line="258" w:lineRule="auto"/>
        <w:rPr>
          <w:sz w:val="20"/>
          <w:szCs w:val="20"/>
          <w:color w:val="auto"/>
        </w:rPr>
      </w:pPr>
      <w:r>
        <w:rPr>
          <w:rFonts w:ascii="Times New Roman" w:cs="Times New Roman" w:eastAsia="Times New Roman" w:hAnsi="Times New Roman"/>
          <w:sz w:val="15"/>
          <w:szCs w:val="15"/>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64" w:lineRule="exact"/>
        <w:rPr>
          <w:sz w:val="20"/>
          <w:szCs w:val="20"/>
          <w:color w:val="auto"/>
        </w:rPr>
      </w:pPr>
    </w:p>
    <w:p>
      <w:pPr>
        <w:jc w:val="both"/>
        <w:ind w:left="980" w:right="1199"/>
        <w:spacing w:after="0" w:line="265" w:lineRule="auto"/>
        <w:rPr>
          <w:sz w:val="20"/>
          <w:szCs w:val="20"/>
          <w:color w:val="auto"/>
        </w:rPr>
      </w:pPr>
      <w:r>
        <w:rPr>
          <w:rFonts w:ascii="Times New Roman" w:cs="Times New Roman" w:eastAsia="Times New Roman" w:hAnsi="Times New Roman"/>
          <w:sz w:val="15"/>
          <w:szCs w:val="15"/>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Governing Law</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The unit agreements and the units will be governed by Delaware law.</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Form, Exchange and Transfer</w:t>
      </w:r>
    </w:p>
    <w:p>
      <w:pPr>
        <w:spacing w:after="0" w:line="102" w:lineRule="exact"/>
        <w:rPr>
          <w:sz w:val="20"/>
          <w:szCs w:val="20"/>
          <w:color w:val="auto"/>
        </w:rPr>
      </w:pPr>
    </w:p>
    <w:p>
      <w:pPr>
        <w:jc w:val="both"/>
        <w:ind w:left="980" w:right="1219"/>
        <w:spacing w:after="0" w:line="293" w:lineRule="auto"/>
        <w:rPr>
          <w:sz w:val="20"/>
          <w:szCs w:val="20"/>
          <w:color w:val="auto"/>
        </w:rPr>
      </w:pPr>
      <w:r>
        <w:rPr>
          <w:rFonts w:ascii="Times New Roman" w:cs="Times New Roman" w:eastAsia="Times New Roman" w:hAnsi="Times New Roman"/>
          <w:sz w:val="14"/>
          <w:szCs w:val="14"/>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7" w:name="page28"/>
    <w:bookmarkEnd w:id="27"/>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980" w:right="1199"/>
        <w:spacing w:after="0" w:line="265" w:lineRule="auto"/>
        <w:rPr>
          <w:sz w:val="20"/>
          <w:szCs w:val="20"/>
          <w:color w:val="auto"/>
        </w:rPr>
      </w:pPr>
      <w:r>
        <w:rPr>
          <w:rFonts w:ascii="Times New Roman" w:cs="Times New Roman" w:eastAsia="Times New Roman" w:hAnsi="Times New Roman"/>
          <w:sz w:val="15"/>
          <w:szCs w:val="15"/>
          <w:color w:val="auto"/>
        </w:rPr>
        <w:t>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Each unit and all securities comprising the unit will be issued in the same form.</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If we issue any units in registered, non-global form, the following will apply to them.</w:t>
      </w:r>
    </w:p>
    <w:p>
      <w:pPr>
        <w:spacing w:after="0" w:line="98" w:lineRule="exact"/>
        <w:rPr>
          <w:sz w:val="20"/>
          <w:szCs w:val="20"/>
          <w:color w:val="auto"/>
        </w:rPr>
      </w:pPr>
    </w:p>
    <w:p>
      <w:pPr>
        <w:ind w:left="980" w:right="1019"/>
        <w:spacing w:after="0" w:line="265" w:lineRule="auto"/>
        <w:rPr>
          <w:sz w:val="20"/>
          <w:szCs w:val="20"/>
          <w:color w:val="auto"/>
        </w:rPr>
      </w:pPr>
      <w:r>
        <w:rPr>
          <w:rFonts w:ascii="Times New Roman" w:cs="Times New Roman" w:eastAsia="Times New Roman" w:hAnsi="Times New Roman"/>
          <w:sz w:val="15"/>
          <w:szCs w:val="15"/>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0" w:lineRule="exact"/>
        <w:rPr>
          <w:sz w:val="20"/>
          <w:szCs w:val="20"/>
          <w:color w:val="auto"/>
        </w:rPr>
      </w:pPr>
    </w:p>
    <w:p>
      <w:pPr>
        <w:ind w:left="1580" w:right="1099" w:hanging="291"/>
        <w:spacing w:after="0" w:line="265"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9" w:lineRule="exact"/>
        <w:rPr>
          <w:rFonts w:ascii="Times New Roman" w:cs="Times New Roman" w:eastAsia="Times New Roman" w:hAnsi="Times New Roman"/>
          <w:sz w:val="15"/>
          <w:szCs w:val="15"/>
          <w:color w:val="auto"/>
        </w:rPr>
      </w:pPr>
    </w:p>
    <w:p>
      <w:pPr>
        <w:ind w:left="1580" w:right="1119" w:hanging="291"/>
        <w:spacing w:after="0" w:line="258"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64" w:lineRule="exact"/>
        <w:rPr>
          <w:rFonts w:ascii="Times New Roman" w:cs="Times New Roman" w:eastAsia="Times New Roman" w:hAnsi="Times New Roman"/>
          <w:sz w:val="15"/>
          <w:szCs w:val="15"/>
          <w:color w:val="auto"/>
        </w:rPr>
      </w:pPr>
    </w:p>
    <w:p>
      <w:pPr>
        <w:ind w:left="1580" w:right="999" w:hanging="291"/>
        <w:spacing w:after="0" w:line="255"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66" w:lineRule="exact"/>
        <w:rPr>
          <w:sz w:val="20"/>
          <w:szCs w:val="20"/>
          <w:color w:val="auto"/>
        </w:rPr>
      </w:pPr>
    </w:p>
    <w:p>
      <w:pPr>
        <w:ind w:left="980" w:right="1179"/>
        <w:spacing w:after="0" w:line="280" w:lineRule="auto"/>
        <w:rPr>
          <w:sz w:val="20"/>
          <w:szCs w:val="20"/>
          <w:color w:val="auto"/>
        </w:rPr>
      </w:pPr>
      <w:r>
        <w:rPr>
          <w:rFonts w:ascii="Times New Roman" w:cs="Times New Roman" w:eastAsia="Times New Roman" w:hAnsi="Times New Roman"/>
          <w:sz w:val="15"/>
          <w:szCs w:val="15"/>
          <w:color w:val="auto"/>
        </w:rPr>
        <w:t>Only the depositary will be entitled to transfer or exchange a unit in global form, since it will be the sole holder of the unit.</w:t>
      </w:r>
    </w:p>
    <w:p>
      <w:pPr>
        <w:spacing w:after="0" w:line="2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Payments and Notices</w:t>
      </w:r>
    </w:p>
    <w:p>
      <w:pPr>
        <w:spacing w:after="0" w:line="102" w:lineRule="exact"/>
        <w:rPr>
          <w:sz w:val="20"/>
          <w:szCs w:val="20"/>
          <w:color w:val="auto"/>
        </w:rPr>
      </w:pPr>
    </w:p>
    <w:p>
      <w:pPr>
        <w:ind w:left="980" w:right="1159"/>
        <w:spacing w:after="0" w:line="280" w:lineRule="auto"/>
        <w:rPr>
          <w:sz w:val="20"/>
          <w:szCs w:val="20"/>
          <w:color w:val="auto"/>
        </w:rPr>
      </w:pPr>
      <w:r>
        <w:rPr>
          <w:rFonts w:ascii="Times New Roman" w:cs="Times New Roman" w:eastAsia="Times New Roman" w:hAnsi="Times New Roman"/>
          <w:sz w:val="15"/>
          <w:szCs w:val="15"/>
          <w:color w:val="auto"/>
        </w:rPr>
        <w:t>In making payments and giving notices with respect to our units, we will follow the procedures as described in the applicable prospectus supplement.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8" w:name="page29"/>
    <w:bookmarkEnd w:id="28"/>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02" w:lineRule="exact"/>
        <w:rPr>
          <w:sz w:val="20"/>
          <w:szCs w:val="20"/>
          <w:color w:val="auto"/>
        </w:rPr>
      </w:pPr>
    </w:p>
    <w:p>
      <w:pPr>
        <w:ind w:left="980" w:right="1019"/>
        <w:spacing w:after="0" w:line="258" w:lineRule="auto"/>
        <w:rPr>
          <w:sz w:val="20"/>
          <w:szCs w:val="20"/>
          <w:color w:val="auto"/>
        </w:rPr>
      </w:pPr>
      <w:r>
        <w:rPr>
          <w:rFonts w:ascii="Times New Roman" w:cs="Times New Roman" w:eastAsia="Times New Roman" w:hAnsi="Times New Roman"/>
          <w:sz w:val="15"/>
          <w:szCs w:val="15"/>
          <w:color w:val="auto"/>
        </w:rPr>
        <w:t>We may sell the securities offered through this prospectus and any accompanying prospectus supplement, if required, in any of the following ways: (1) to or through underwriters or dealers, (2) directly to purchasers, including our affiliates, or to a single purchaser, (3) through agents, or (4) through a combination of any these methods. The securities may be distributed at a fixed price or prices, which may be changed, market prices prevailing at the time of sale, prices related to the prevailing market prices, or negotiated prices, either:</w:t>
      </w:r>
    </w:p>
    <w:p>
      <w:pPr>
        <w:spacing w:after="0" w:line="64" w:lineRule="exact"/>
        <w:rPr>
          <w:sz w:val="20"/>
          <w:szCs w:val="20"/>
          <w:color w:val="auto"/>
        </w:rPr>
      </w:pPr>
    </w:p>
    <w:p>
      <w:pPr>
        <w:ind w:left="1580" w:right="1179" w:hanging="291"/>
        <w:spacing w:after="0" w:line="280" w:lineRule="auto"/>
        <w:tabs>
          <w:tab w:leader="none" w:pos="1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through the facilities of Nasdaq or any other securities exchange or quotation or trading service on which such securities may be listed, quoted or traded at the time of sale; and/or</w:t>
      </w:r>
    </w:p>
    <w:p>
      <w:pPr>
        <w:spacing w:after="0" w:line="48" w:lineRule="exact"/>
        <w:rPr>
          <w:rFonts w:ascii="Times New Roman" w:cs="Times New Roman" w:eastAsia="Times New Roman" w:hAnsi="Times New Roman"/>
          <w:sz w:val="15"/>
          <w:szCs w:val="15"/>
          <w:color w:val="auto"/>
        </w:rPr>
      </w:pPr>
    </w:p>
    <w:p>
      <w:pPr>
        <w:ind w:left="1580" w:right="1079" w:hanging="291"/>
        <w:spacing w:after="0" w:line="280" w:lineRule="auto"/>
        <w:tabs>
          <w:tab w:leader="none" w:pos="1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or through a market maker otherwise than on Nasdaq or such other securities exchanges or quotation or trading services.</w:t>
      </w:r>
    </w:p>
    <w:p>
      <w:pPr>
        <w:spacing w:after="0" w:line="48" w:lineRule="exact"/>
        <w:rPr>
          <w:sz w:val="20"/>
          <w:szCs w:val="20"/>
          <w:color w:val="auto"/>
        </w:rPr>
      </w:pPr>
    </w:p>
    <w:p>
      <w:pPr>
        <w:ind w:left="980" w:right="1459"/>
        <w:spacing w:after="0" w:line="280" w:lineRule="auto"/>
        <w:rPr>
          <w:sz w:val="20"/>
          <w:szCs w:val="20"/>
          <w:color w:val="auto"/>
        </w:rPr>
      </w:pPr>
      <w:r>
        <w:rPr>
          <w:rFonts w:ascii="Times New Roman" w:cs="Times New Roman" w:eastAsia="Times New Roman" w:hAnsi="Times New Roman"/>
          <w:sz w:val="15"/>
          <w:szCs w:val="15"/>
          <w:color w:val="auto"/>
        </w:rPr>
        <w:t>In addition, we may issue the securities as a dividend or distribution or in a subscription rights offering to our existing security holders.</w:t>
      </w:r>
    </w:p>
    <w:p>
      <w:pPr>
        <w:spacing w:after="0" w:line="48" w:lineRule="exact"/>
        <w:rPr>
          <w:sz w:val="20"/>
          <w:szCs w:val="20"/>
          <w:color w:val="auto"/>
        </w:rPr>
      </w:pPr>
    </w:p>
    <w:p>
      <w:pPr>
        <w:ind w:left="980" w:right="1119"/>
        <w:spacing w:after="0" w:line="256" w:lineRule="auto"/>
        <w:rPr>
          <w:sz w:val="20"/>
          <w:szCs w:val="20"/>
          <w:color w:val="auto"/>
        </w:rPr>
      </w:pPr>
      <w:r>
        <w:rPr>
          <w:rFonts w:ascii="Times New Roman" w:cs="Times New Roman" w:eastAsia="Times New Roman" w:hAnsi="Times New Roman"/>
          <w:sz w:val="15"/>
          <w:szCs w:val="15"/>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Each prospectus supplement will describe the method of distribution of the securities and any applicable restrictions.</w:t>
      </w:r>
    </w:p>
    <w:p>
      <w:pPr>
        <w:spacing w:after="0" w:line="98" w:lineRule="exact"/>
        <w:rPr>
          <w:sz w:val="20"/>
          <w:szCs w:val="20"/>
          <w:color w:val="auto"/>
        </w:rPr>
      </w:pPr>
    </w:p>
    <w:p>
      <w:pPr>
        <w:ind w:left="980" w:right="1079"/>
        <w:spacing w:after="0" w:line="280" w:lineRule="auto"/>
        <w:rPr>
          <w:sz w:val="20"/>
          <w:szCs w:val="20"/>
          <w:color w:val="auto"/>
        </w:rPr>
      </w:pPr>
      <w:r>
        <w:rPr>
          <w:rFonts w:ascii="Times New Roman" w:cs="Times New Roman" w:eastAsia="Times New Roman" w:hAnsi="Times New Roman"/>
          <w:sz w:val="15"/>
          <w:szCs w:val="15"/>
          <w:color w:val="auto"/>
        </w:rPr>
        <w:t>The prospectus supplement with respect to the securities of a particular series will describe the terms of the offering of the securities, including the following:</w:t>
      </w:r>
    </w:p>
    <w:p>
      <w:pPr>
        <w:spacing w:after="0" w:line="48" w:lineRule="exact"/>
        <w:rPr>
          <w:sz w:val="20"/>
          <w:szCs w:val="20"/>
          <w:color w:val="auto"/>
        </w:rPr>
      </w:pPr>
    </w:p>
    <w:p>
      <w:pPr>
        <w:ind w:left="1580" w:hanging="291"/>
        <w:spacing w:after="0"/>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type and amount of securities we are offering;</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agent or any underwriters;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public offering or purchase price;</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paid to the agent or underwriters;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items constituting underwriting compensation;</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paid to dealers; and</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exchanges on which the securities will be listed.</w:t>
      </w:r>
    </w:p>
    <w:p>
      <w:pPr>
        <w:spacing w:after="0" w:line="98" w:lineRule="exact"/>
        <w:rPr>
          <w:sz w:val="20"/>
          <w:szCs w:val="20"/>
          <w:color w:val="auto"/>
        </w:rPr>
      </w:pPr>
    </w:p>
    <w:p>
      <w:pPr>
        <w:ind w:left="980" w:right="1019"/>
        <w:spacing w:after="0" w:line="260" w:lineRule="auto"/>
        <w:rPr>
          <w:sz w:val="20"/>
          <w:szCs w:val="20"/>
          <w:color w:val="auto"/>
        </w:rPr>
      </w:pPr>
      <w:r>
        <w:rPr>
          <w:rFonts w:ascii="Times New Roman" w:cs="Times New Roman" w:eastAsia="Times New Roman" w:hAnsi="Times New Roman"/>
          <w:sz w:val="15"/>
          <w:szCs w:val="15"/>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64" w:lineRule="exact"/>
        <w:rPr>
          <w:sz w:val="20"/>
          <w:szCs w:val="20"/>
          <w:color w:val="auto"/>
        </w:rPr>
      </w:pPr>
    </w:p>
    <w:p>
      <w:pPr>
        <w:ind w:left="980" w:right="1099"/>
        <w:spacing w:after="0" w:line="260" w:lineRule="auto"/>
        <w:rPr>
          <w:sz w:val="20"/>
          <w:szCs w:val="20"/>
          <w:color w:val="auto"/>
        </w:rPr>
      </w:pPr>
      <w:r>
        <w:rPr>
          <w:rFonts w:ascii="Times New Roman" w:cs="Times New Roman" w:eastAsia="Times New Roman" w:hAnsi="Times New Roman"/>
          <w:sz w:val="15"/>
          <w:szCs w:val="15"/>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64" w:lineRule="exact"/>
        <w:rPr>
          <w:sz w:val="20"/>
          <w:szCs w:val="20"/>
          <w:color w:val="auto"/>
        </w:rPr>
      </w:pPr>
    </w:p>
    <w:p>
      <w:pPr>
        <w:ind w:left="980" w:right="1119"/>
        <w:spacing w:after="0" w:line="260" w:lineRule="auto"/>
        <w:rPr>
          <w:sz w:val="20"/>
          <w:szCs w:val="20"/>
          <w:color w:val="auto"/>
        </w:rPr>
      </w:pPr>
      <w:r>
        <w:rPr>
          <w:rFonts w:ascii="Times New Roman" w:cs="Times New Roman" w:eastAsia="Times New Roman" w:hAnsi="Times New Roman"/>
          <w:sz w:val="15"/>
          <w:szCs w:val="15"/>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64" w:lineRule="exact"/>
        <w:rPr>
          <w:sz w:val="20"/>
          <w:szCs w:val="20"/>
          <w:color w:val="auto"/>
        </w:rPr>
      </w:pPr>
    </w:p>
    <w:p>
      <w:pPr>
        <w:ind w:left="980" w:right="1199"/>
        <w:spacing w:after="0" w:line="260" w:lineRule="auto"/>
        <w:rPr>
          <w:sz w:val="20"/>
          <w:szCs w:val="20"/>
          <w:color w:val="auto"/>
        </w:rPr>
      </w:pPr>
      <w:r>
        <w:rPr>
          <w:rFonts w:ascii="Times New Roman" w:cs="Times New Roman" w:eastAsia="Times New Roman" w:hAnsi="Times New Roman"/>
          <w:sz w:val="15"/>
          <w:szCs w:val="15"/>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29" w:name="page30"/>
    <w:bookmarkEnd w:id="29"/>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980" w:right="1019"/>
        <w:spacing w:after="0" w:line="265" w:lineRule="auto"/>
        <w:rPr>
          <w:sz w:val="20"/>
          <w:szCs w:val="20"/>
          <w:color w:val="auto"/>
        </w:rPr>
      </w:pPr>
      <w:r>
        <w:rPr>
          <w:rFonts w:ascii="Times New Roman" w:cs="Times New Roman" w:eastAsia="Times New Roman" w:hAnsi="Times New Roman"/>
          <w:sz w:val="15"/>
          <w:szCs w:val="15"/>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60" w:lineRule="exact"/>
        <w:rPr>
          <w:sz w:val="20"/>
          <w:szCs w:val="20"/>
          <w:color w:val="auto"/>
        </w:rPr>
      </w:pPr>
    </w:p>
    <w:p>
      <w:pPr>
        <w:ind w:left="980" w:right="999"/>
        <w:spacing w:after="0" w:line="255" w:lineRule="auto"/>
        <w:rPr>
          <w:sz w:val="20"/>
          <w:szCs w:val="20"/>
          <w:color w:val="auto"/>
        </w:rPr>
      </w:pPr>
      <w:r>
        <w:rPr>
          <w:rFonts w:ascii="Times New Roman" w:cs="Times New Roman" w:eastAsia="Times New Roman" w:hAnsi="Times New Roman"/>
          <w:sz w:val="15"/>
          <w:szCs w:val="15"/>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66" w:lineRule="exact"/>
        <w:rPr>
          <w:sz w:val="20"/>
          <w:szCs w:val="20"/>
          <w:color w:val="auto"/>
        </w:rPr>
      </w:pPr>
    </w:p>
    <w:p>
      <w:pPr>
        <w:ind w:left="1580" w:right="1099" w:hanging="291"/>
        <w:spacing w:after="0" w:line="280" w:lineRule="auto"/>
        <w:tabs>
          <w:tab w:leader="none" w:pos="15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by an institution of the securities covered under that contract shall not at the time of delivery be prohibited under the laws of the jurisdiction to which that institution is subject; and</w:t>
      </w:r>
    </w:p>
    <w:p>
      <w:pPr>
        <w:spacing w:after="0" w:line="48" w:lineRule="exact"/>
        <w:rPr>
          <w:rFonts w:ascii="Times New Roman" w:cs="Times New Roman" w:eastAsia="Times New Roman" w:hAnsi="Times New Roman"/>
          <w:sz w:val="15"/>
          <w:szCs w:val="15"/>
          <w:color w:val="auto"/>
        </w:rPr>
      </w:pPr>
    </w:p>
    <w:p>
      <w:pPr>
        <w:ind w:left="1580" w:right="1019" w:hanging="291"/>
        <w:spacing w:after="0" w:line="260" w:lineRule="auto"/>
        <w:tabs>
          <w:tab w:leader="none" w:pos="15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64" w:lineRule="exact"/>
        <w:rPr>
          <w:sz w:val="20"/>
          <w:szCs w:val="20"/>
          <w:color w:val="auto"/>
        </w:rPr>
      </w:pPr>
    </w:p>
    <w:p>
      <w:pPr>
        <w:ind w:left="980" w:right="1179"/>
        <w:spacing w:after="0" w:line="256" w:lineRule="auto"/>
        <w:rPr>
          <w:sz w:val="20"/>
          <w:szCs w:val="20"/>
          <w:color w:val="auto"/>
        </w:rPr>
      </w:pPr>
      <w:r>
        <w:rPr>
          <w:rFonts w:ascii="Times New Roman" w:cs="Times New Roman" w:eastAsia="Times New Roman" w:hAnsi="Times New Roman"/>
          <w:sz w:val="15"/>
          <w:szCs w:val="15"/>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68" w:lineRule="exact"/>
        <w:rPr>
          <w:sz w:val="20"/>
          <w:szCs w:val="20"/>
          <w:color w:val="auto"/>
        </w:rPr>
      </w:pPr>
    </w:p>
    <w:p>
      <w:pPr>
        <w:ind w:left="980" w:right="1019"/>
        <w:spacing w:after="0" w:line="265" w:lineRule="auto"/>
        <w:rPr>
          <w:sz w:val="20"/>
          <w:szCs w:val="20"/>
          <w:color w:val="auto"/>
        </w:rPr>
      </w:pPr>
      <w:r>
        <w:rPr>
          <w:rFonts w:ascii="Times New Roman" w:cs="Times New Roman" w:eastAsia="Times New Roman" w:hAnsi="Times New Roman"/>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60" w:lineRule="exact"/>
        <w:rPr>
          <w:sz w:val="20"/>
          <w:szCs w:val="20"/>
          <w:color w:val="auto"/>
        </w:rPr>
      </w:pPr>
    </w:p>
    <w:p>
      <w:pPr>
        <w:ind w:left="980" w:right="999"/>
        <w:spacing w:after="0" w:line="253" w:lineRule="auto"/>
        <w:rPr>
          <w:sz w:val="20"/>
          <w:szCs w:val="20"/>
          <w:color w:val="auto"/>
        </w:rPr>
      </w:pPr>
      <w:r>
        <w:rPr>
          <w:rFonts w:ascii="Times New Roman" w:cs="Times New Roman" w:eastAsia="Times New Roman" w:hAnsi="Times New Roman"/>
          <w:sz w:val="15"/>
          <w:szCs w:val="15"/>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73" w:lineRule="exact"/>
        <w:rPr>
          <w:sz w:val="20"/>
          <w:szCs w:val="20"/>
          <w:color w:val="auto"/>
        </w:rPr>
      </w:pPr>
    </w:p>
    <w:p>
      <w:pPr>
        <w:ind w:left="980" w:right="1119"/>
        <w:spacing w:after="0" w:line="253" w:lineRule="auto"/>
        <w:rPr>
          <w:sz w:val="20"/>
          <w:szCs w:val="20"/>
          <w:color w:val="auto"/>
        </w:rPr>
      </w:pPr>
      <w:r>
        <w:rPr>
          <w:rFonts w:ascii="Times New Roman" w:cs="Times New Roman" w:eastAsia="Times New Roman" w:hAnsi="Times New Roman"/>
          <w:sz w:val="15"/>
          <w:szCs w:val="15"/>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980" w:right="1079"/>
        <w:spacing w:after="0" w:line="255" w:lineRule="auto"/>
        <w:rPr>
          <w:sz w:val="20"/>
          <w:szCs w:val="20"/>
          <w:color w:val="auto"/>
        </w:rPr>
      </w:pPr>
      <w:r>
        <w:rPr>
          <w:rFonts w:ascii="Times New Roman" w:cs="Times New Roman" w:eastAsia="Times New Roman" w:hAnsi="Times New Roman"/>
          <w:sz w:val="15"/>
          <w:szCs w:val="15"/>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69" w:lineRule="exact"/>
        <w:rPr>
          <w:sz w:val="20"/>
          <w:szCs w:val="20"/>
          <w:color w:val="auto"/>
        </w:rPr>
      </w:pPr>
    </w:p>
    <w:p>
      <w:pPr>
        <w:ind w:left="980" w:right="1059"/>
        <w:spacing w:after="0" w:line="265" w:lineRule="auto"/>
        <w:rPr>
          <w:sz w:val="20"/>
          <w:szCs w:val="20"/>
          <w:color w:val="auto"/>
        </w:rPr>
      </w:pPr>
      <w:r>
        <w:rPr>
          <w:rFonts w:ascii="Times New Roman" w:cs="Times New Roman" w:eastAsia="Times New Roman" w:hAnsi="Times New Roman"/>
          <w:sz w:val="15"/>
          <w:szCs w:val="15"/>
          <w:color w:val="auto"/>
        </w:rPr>
        <w:t>The securities may be new issues of securities and may have no established trading market. The securities may or may not be listed on a national securities exchange. We can make no assurance as to the liquidity of or the existence of trading market for any of the securities.</w:t>
      </w:r>
    </w:p>
    <w:p>
      <w:pPr>
        <w:spacing w:after="0" w:line="60" w:lineRule="exact"/>
        <w:rPr>
          <w:sz w:val="20"/>
          <w:szCs w:val="20"/>
          <w:color w:val="auto"/>
        </w:rPr>
      </w:pPr>
    </w:p>
    <w:p>
      <w:pPr>
        <w:ind w:left="980" w:right="1319"/>
        <w:spacing w:after="0" w:line="280" w:lineRule="auto"/>
        <w:rPr>
          <w:sz w:val="20"/>
          <w:szCs w:val="20"/>
          <w:color w:val="auto"/>
        </w:rPr>
      </w:pPr>
      <w:r>
        <w:rPr>
          <w:rFonts w:ascii="Times New Roman" w:cs="Times New Roman" w:eastAsia="Times New Roman" w:hAnsi="Times New Roman"/>
          <w:sz w:val="15"/>
          <w:szCs w:val="15"/>
          <w:color w:val="auto"/>
        </w:rPr>
        <w:t>The specific terms of any lock-up provisions in respect of any given offering will be described in the applicable prospectus supplement.</w:t>
      </w:r>
    </w:p>
    <w:p>
      <w:pPr>
        <w:spacing w:after="0" w:line="48" w:lineRule="exact"/>
        <w:rPr>
          <w:sz w:val="20"/>
          <w:szCs w:val="20"/>
          <w:color w:val="auto"/>
        </w:rPr>
      </w:pPr>
    </w:p>
    <w:p>
      <w:pPr>
        <w:ind w:left="980" w:right="1099"/>
        <w:spacing w:after="0" w:line="280" w:lineRule="auto"/>
        <w:rPr>
          <w:sz w:val="20"/>
          <w:szCs w:val="20"/>
          <w:color w:val="auto"/>
        </w:rPr>
      </w:pPr>
      <w:r>
        <w:rPr>
          <w:rFonts w:ascii="Times New Roman" w:cs="Times New Roman" w:eastAsia="Times New Roman" w:hAnsi="Times New Roman"/>
          <w:sz w:val="15"/>
          <w:szCs w:val="15"/>
          <w:color w:val="auto"/>
        </w:rPr>
        <w:t>The underwriters, dealers and agents may engage in transactions with us, or perform services for us, in the ordinary course of business for which they receive compensation.</w:t>
      </w:r>
    </w:p>
    <w:p>
      <w:pPr>
        <w:spacing w:after="0" w:line="48" w:lineRule="exact"/>
        <w:rPr>
          <w:sz w:val="20"/>
          <w:szCs w:val="20"/>
          <w:color w:val="auto"/>
        </w:rPr>
      </w:pPr>
    </w:p>
    <w:p>
      <w:pPr>
        <w:ind w:left="980" w:right="1459"/>
        <w:spacing w:after="0" w:line="280" w:lineRule="auto"/>
        <w:rPr>
          <w:sz w:val="20"/>
          <w:szCs w:val="20"/>
          <w:color w:val="auto"/>
        </w:rPr>
      </w:pPr>
      <w:r>
        <w:rPr>
          <w:rFonts w:ascii="Times New Roman" w:cs="Times New Roman" w:eastAsia="Times New Roman" w:hAnsi="Times New Roman"/>
          <w:sz w:val="15"/>
          <w:szCs w:val="15"/>
          <w:color w:val="auto"/>
        </w:rPr>
        <w:t>The anticipated date of delivery of offered securities will be set forth in the applicable prospectus supplement relating to each offer.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02" w:lineRule="exact"/>
        <w:rPr>
          <w:sz w:val="20"/>
          <w:szCs w:val="20"/>
          <w:color w:val="auto"/>
        </w:rPr>
      </w:pPr>
    </w:p>
    <w:p>
      <w:pPr>
        <w:jc w:val="both"/>
        <w:ind w:left="980" w:right="1139"/>
        <w:spacing w:after="0" w:line="265" w:lineRule="auto"/>
        <w:rPr>
          <w:sz w:val="20"/>
          <w:szCs w:val="20"/>
          <w:color w:val="auto"/>
        </w:rPr>
      </w:pPr>
      <w:r>
        <w:rPr>
          <w:rFonts w:ascii="Times New Roman" w:cs="Times New Roman" w:eastAsia="Times New Roman" w:hAnsi="Times New Roman"/>
          <w:sz w:val="15"/>
          <w:szCs w:val="15"/>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The consolidated financial statements of AVROBIO, Inc. appearing in AVROBIO, Inc.’s Annual Report (Form 10-</w:t>
      </w:r>
    </w:p>
    <w:p>
      <w:pPr>
        <w:spacing w:after="0" w:line="33" w:lineRule="exact"/>
        <w:rPr>
          <w:sz w:val="20"/>
          <w:szCs w:val="20"/>
          <w:color w:val="auto"/>
        </w:rPr>
      </w:pPr>
    </w:p>
    <w:p>
      <w:pPr>
        <w:ind w:left="980" w:right="1059" w:firstLine="8"/>
        <w:spacing w:after="0" w:line="253" w:lineRule="auto"/>
        <w:tabs>
          <w:tab w:leader="none" w:pos="1176"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02" w:lineRule="exact"/>
        <w:rPr>
          <w:sz w:val="20"/>
          <w:szCs w:val="20"/>
          <w:color w:val="auto"/>
        </w:rPr>
      </w:pPr>
    </w:p>
    <w:p>
      <w:pPr>
        <w:ind w:left="980" w:right="1039"/>
        <w:spacing w:after="0" w:line="256" w:lineRule="auto"/>
        <w:rPr>
          <w:sz w:val="20"/>
          <w:szCs w:val="20"/>
          <w:color w:val="auto"/>
        </w:rPr>
      </w:pPr>
      <w:r>
        <w:rPr>
          <w:rFonts w:ascii="Times New Roman" w:cs="Times New Roman" w:eastAsia="Times New Roman" w:hAnsi="Times New Roman"/>
          <w:sz w:val="15"/>
          <w:szCs w:val="15"/>
          <w:color w:val="auto"/>
        </w:rPr>
        <w:t>This prospectus is part of a registration statement on Form S-3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(www.sec.gov).</w:t>
      </w:r>
    </w:p>
    <w:p>
      <w:pPr>
        <w:spacing w:after="0" w:line="68" w:lineRule="exact"/>
        <w:rPr>
          <w:sz w:val="20"/>
          <w:szCs w:val="20"/>
          <w:color w:val="auto"/>
        </w:rPr>
      </w:pPr>
    </w:p>
    <w:p>
      <w:pPr>
        <w:ind w:left="980" w:right="1119"/>
        <w:spacing w:after="0" w:line="254" w:lineRule="auto"/>
        <w:rPr>
          <w:sz w:val="20"/>
          <w:szCs w:val="20"/>
          <w:color w:val="auto"/>
        </w:rPr>
      </w:pPr>
      <w:r>
        <w:rPr>
          <w:rFonts w:ascii="Times New Roman" w:cs="Times New Roman" w:eastAsia="Times New Roman" w:hAnsi="Times New Roman"/>
          <w:sz w:val="15"/>
          <w:szCs w:val="15"/>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100 Technology Square, Sixth Floor, Cambridge, Massachusetts 02139, and our website is located at </w:t>
      </w:r>
      <w:r>
        <w:rPr>
          <w:rFonts w:ascii="Times New Roman" w:cs="Times New Roman" w:eastAsia="Times New Roman" w:hAnsi="Times New Roman"/>
          <w:sz w:val="15"/>
          <w:szCs w:val="15"/>
          <w:i w:val="1"/>
          <w:iCs w:val="1"/>
          <w:color w:val="auto"/>
        </w:rPr>
        <w:t>www.avrobio.com.</w:t>
      </w:r>
      <w:r>
        <w:rPr>
          <w:rFonts w:ascii="Times New Roman" w:cs="Times New Roman" w:eastAsia="Times New Roman" w:hAnsi="Times New Roman"/>
          <w:sz w:val="15"/>
          <w:szCs w:val="15"/>
          <w:color w:val="auto"/>
        </w:rPr>
        <w:t xml:space="preserve"> Information contained on our website is not incorporated by reference into this prospectus and, therefore, is not part of this prospectus or any accompanying prospectus supplement.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2" w:name="page33"/>
    <w:bookmarkEnd w:id="32"/>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102" w:lineRule="exact"/>
        <w:rPr>
          <w:sz w:val="20"/>
          <w:szCs w:val="20"/>
          <w:color w:val="auto"/>
        </w:rPr>
      </w:pPr>
    </w:p>
    <w:p>
      <w:pPr>
        <w:ind w:left="980" w:right="1019"/>
        <w:spacing w:after="0" w:line="255" w:lineRule="auto"/>
        <w:rPr>
          <w:sz w:val="20"/>
          <w:szCs w:val="20"/>
          <w:color w:val="auto"/>
        </w:rPr>
      </w:pPr>
      <w:r>
        <w:rPr>
          <w:rFonts w:ascii="Times New Roman" w:cs="Times New Roman" w:eastAsia="Times New Roman" w:hAnsi="Times New Roman"/>
          <w:sz w:val="15"/>
          <w:szCs w:val="15"/>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66" w:lineRule="exact"/>
        <w:rPr>
          <w:sz w:val="20"/>
          <w:szCs w:val="20"/>
          <w:color w:val="auto"/>
        </w:rPr>
      </w:pPr>
    </w:p>
    <w:p>
      <w:pPr>
        <w:ind w:left="1580" w:right="1039" w:hanging="291"/>
        <w:spacing w:after="0" w:line="280" w:lineRule="auto"/>
        <w:tabs>
          <w:tab w:leader="none" w:pos="1580" w:val="left"/>
        </w:tabs>
        <w:numPr>
          <w:ilvl w:val="0"/>
          <w:numId w:val="34"/>
        </w:numPr>
        <w:rPr>
          <w:rFonts w:ascii="Times New Roman" w:cs="Times New Roman" w:eastAsia="Times New Roman" w:hAnsi="Times New Roman"/>
          <w:sz w:val="15"/>
          <w:szCs w:val="15"/>
          <w:color w:val="0000EE"/>
        </w:rPr>
      </w:pPr>
      <w:hyperlink r:id="rId45">
        <w:r>
          <w:rPr>
            <w:rFonts w:ascii="Times New Roman" w:cs="Times New Roman" w:eastAsia="Times New Roman" w:hAnsi="Times New Roman"/>
            <w:sz w:val="15"/>
            <w:szCs w:val="15"/>
            <w:color w:val="auto"/>
          </w:rPr>
          <w:t xml:space="preserve">our Annual Report on Form 10-K for the year ended December 31, 2021, filed with the SEC on </w:t>
        </w:r>
        <w:r>
          <w:rPr>
            <w:rFonts w:ascii="Times New Roman" w:cs="Times New Roman" w:eastAsia="Times New Roman" w:hAnsi="Times New Roman"/>
            <w:sz w:val="15"/>
            <w:szCs w:val="15"/>
            <w:u w:val="single" w:color="auto"/>
            <w:color w:val="0000EE"/>
          </w:rPr>
          <w:t>March 17,</w:t>
        </w:r>
      </w:hyperlink>
      <w:r>
        <w:rPr>
          <w:rFonts w:ascii="Times New Roman" w:cs="Times New Roman" w:eastAsia="Times New Roman" w:hAnsi="Times New Roman"/>
          <w:sz w:val="15"/>
          <w:szCs w:val="15"/>
          <w:color w:val="auto"/>
        </w:rPr>
        <w:t xml:space="preserve"> </w:t>
      </w:r>
      <w:hyperlink r:id="rId45">
        <w:r>
          <w:rPr>
            <w:rFonts w:ascii="Times New Roman" w:cs="Times New Roman" w:eastAsia="Times New Roman" w:hAnsi="Times New Roman"/>
            <w:sz w:val="15"/>
            <w:szCs w:val="15"/>
            <w:u w:val="single" w:color="auto"/>
            <w:color w:val="0000EE"/>
          </w:rPr>
          <w:t>2022</w:t>
        </w:r>
        <w:r>
          <w:rPr>
            <w:rFonts w:ascii="Times New Roman" w:cs="Times New Roman" w:eastAsia="Times New Roman" w:hAnsi="Times New Roman"/>
            <w:sz w:val="15"/>
            <w:szCs w:val="15"/>
            <w:color w:val="000000"/>
          </w:rPr>
          <w:t>;</w:t>
        </w:r>
      </w:hyperlink>
    </w:p>
    <w:p>
      <w:pPr>
        <w:spacing w:after="0" w:line="48" w:lineRule="exact"/>
        <w:rPr>
          <w:rFonts w:ascii="Times New Roman" w:cs="Times New Roman" w:eastAsia="Times New Roman" w:hAnsi="Times New Roman"/>
          <w:sz w:val="15"/>
          <w:szCs w:val="15"/>
          <w:color w:val="0000EE"/>
        </w:rPr>
      </w:pPr>
    </w:p>
    <w:p>
      <w:pPr>
        <w:jc w:val="both"/>
        <w:ind w:left="1580" w:right="1139" w:hanging="291"/>
        <w:spacing w:after="0" w:line="265"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specifically incorporated by reference into our Annual Report on Form 10-K for the year ended December 31, 2021 from our definitive proxy statement on Schedule 14A (other than information furnished rather than filed), which was filed with the SEC on </w:t>
      </w:r>
      <w:hyperlink r:id="rId46">
        <w:r>
          <w:rPr>
            <w:rFonts w:ascii="Times New Roman" w:cs="Times New Roman" w:eastAsia="Times New Roman" w:hAnsi="Times New Roman"/>
            <w:sz w:val="15"/>
            <w:szCs w:val="15"/>
            <w:u w:val="single" w:color="auto"/>
            <w:color w:val="0000EE"/>
          </w:rPr>
          <w:t>April 27, 2022</w:t>
        </w:r>
      </w:hyperlink>
      <w:r>
        <w:rPr>
          <w:rFonts w:ascii="Times New Roman" w:cs="Times New Roman" w:eastAsia="Times New Roman" w:hAnsi="Times New Roman"/>
          <w:sz w:val="15"/>
          <w:szCs w:val="15"/>
          <w:color w:val="auto"/>
        </w:rPr>
        <w:t>;</w:t>
      </w:r>
    </w:p>
    <w:p>
      <w:pPr>
        <w:spacing w:after="0" w:line="59"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Quarterly Reports on Form 10-Q for the quarters ended March 31, 2022, filed with the SEC on</w:t>
      </w:r>
    </w:p>
    <w:p>
      <w:pPr>
        <w:spacing w:after="0" w:line="21" w:lineRule="exact"/>
        <w:rPr>
          <w:rFonts w:ascii="Times New Roman" w:cs="Times New Roman" w:eastAsia="Times New Roman" w:hAnsi="Times New Roman"/>
          <w:sz w:val="15"/>
          <w:szCs w:val="15"/>
          <w:color w:val="auto"/>
        </w:rPr>
      </w:pPr>
    </w:p>
    <w:p>
      <w:pPr>
        <w:ind w:left="1580" w:right="1119"/>
        <w:spacing w:after="0" w:line="261" w:lineRule="auto"/>
        <w:rPr>
          <w:rFonts w:ascii="Times New Roman" w:cs="Times New Roman" w:eastAsia="Times New Roman" w:hAnsi="Times New Roman"/>
          <w:sz w:val="15"/>
          <w:szCs w:val="15"/>
          <w:color w:val="000000"/>
        </w:rPr>
      </w:pPr>
      <w:hyperlink r:id="rId47">
        <w:r>
          <w:rPr>
            <w:rFonts w:ascii="Times New Roman" w:cs="Times New Roman" w:eastAsia="Times New Roman" w:hAnsi="Times New Roman"/>
            <w:sz w:val="15"/>
            <w:szCs w:val="15"/>
            <w:u w:val="single" w:color="auto"/>
            <w:color w:val="0000EE"/>
          </w:rPr>
          <w:t>May 10, 2022</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June 30, 2022, filed with the SEC on</w:t>
      </w:r>
      <w:r>
        <w:rPr>
          <w:rFonts w:ascii="Times New Roman" w:cs="Times New Roman" w:eastAsia="Times New Roman" w:hAnsi="Times New Roman"/>
          <w:sz w:val="15"/>
          <w:szCs w:val="15"/>
          <w:color w:val="0000EE"/>
        </w:rPr>
        <w:t xml:space="preserve"> </w:t>
      </w:r>
      <w:hyperlink r:id="rId48">
        <w:r>
          <w:rPr>
            <w:rFonts w:ascii="Times New Roman" w:cs="Times New Roman" w:eastAsia="Times New Roman" w:hAnsi="Times New Roman"/>
            <w:sz w:val="15"/>
            <w:szCs w:val="15"/>
            <w:u w:val="single" w:color="auto"/>
            <w:color w:val="0000EE"/>
          </w:rPr>
          <w:t>August, 9, 2022</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 September 30, 2022, filed with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 xml:space="preserve">the SEC on </w:t>
      </w:r>
      <w:hyperlink r:id="rId49">
        <w:r>
          <w:rPr>
            <w:rFonts w:ascii="Times New Roman" w:cs="Times New Roman" w:eastAsia="Times New Roman" w:hAnsi="Times New Roman"/>
            <w:sz w:val="15"/>
            <w:szCs w:val="15"/>
            <w:u w:val="single" w:color="auto"/>
            <w:color w:val="0000EE"/>
          </w:rPr>
          <w:t>November 8, 2022</w:t>
        </w:r>
      </w:hyperlink>
      <w:r>
        <w:rPr>
          <w:rFonts w:ascii="Times New Roman" w:cs="Times New Roman" w:eastAsia="Times New Roman" w:hAnsi="Times New Roman"/>
          <w:sz w:val="15"/>
          <w:szCs w:val="15"/>
          <w:color w:val="000000"/>
        </w:rPr>
        <w:t>;</w:t>
      </w:r>
    </w:p>
    <w:p>
      <w:pPr>
        <w:spacing w:after="0" w:line="61" w:lineRule="exact"/>
        <w:rPr>
          <w:rFonts w:ascii="Times New Roman" w:cs="Times New Roman" w:eastAsia="Times New Roman" w:hAnsi="Times New Roman"/>
          <w:sz w:val="15"/>
          <w:szCs w:val="15"/>
          <w:color w:val="000000"/>
        </w:rPr>
      </w:pPr>
    </w:p>
    <w:p>
      <w:pPr>
        <w:ind w:left="1580" w:right="999" w:hanging="291"/>
        <w:spacing w:after="0" w:line="260"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Current Report on Form 8-K filed with the SEC on </w:t>
      </w:r>
      <w:hyperlink r:id="rId50">
        <w:r>
          <w:rPr>
            <w:rFonts w:ascii="Times New Roman" w:cs="Times New Roman" w:eastAsia="Times New Roman" w:hAnsi="Times New Roman"/>
            <w:sz w:val="15"/>
            <w:szCs w:val="15"/>
            <w:u w:val="single" w:color="auto"/>
            <w:color w:val="0000EE"/>
          </w:rPr>
          <w:t>January 7, 2022</w:t>
        </w:r>
      </w:hyperlink>
      <w:r>
        <w:rPr>
          <w:rFonts w:ascii="Times New Roman" w:cs="Times New Roman" w:eastAsia="Times New Roman" w:hAnsi="Times New Roman"/>
          <w:sz w:val="15"/>
          <w:szCs w:val="15"/>
          <w:color w:val="auto"/>
        </w:rPr>
        <w:t xml:space="preserve">, our Current Report on Form 8-K filed with the SEC on </w:t>
      </w:r>
      <w:hyperlink r:id="rId51">
        <w:r>
          <w:rPr>
            <w:rFonts w:ascii="Times New Roman" w:cs="Times New Roman" w:eastAsia="Times New Roman" w:hAnsi="Times New Roman"/>
            <w:sz w:val="15"/>
            <w:szCs w:val="15"/>
            <w:u w:val="single" w:color="auto"/>
            <w:color w:val="0000EE"/>
          </w:rPr>
          <w:t>June 10, 2022</w:t>
        </w:r>
      </w:hyperlink>
      <w:r>
        <w:rPr>
          <w:rFonts w:ascii="Times New Roman" w:cs="Times New Roman" w:eastAsia="Times New Roman" w:hAnsi="Times New Roman"/>
          <w:sz w:val="15"/>
          <w:szCs w:val="15"/>
          <w:color w:val="auto"/>
        </w:rPr>
        <w:t xml:space="preserve">, our Current Report on Form 8-K filed with the SEC on </w:t>
      </w:r>
      <w:hyperlink r:id="rId52">
        <w:r>
          <w:rPr>
            <w:rFonts w:ascii="Times New Roman" w:cs="Times New Roman" w:eastAsia="Times New Roman" w:hAnsi="Times New Roman"/>
            <w:sz w:val="15"/>
            <w:szCs w:val="15"/>
            <w:u w:val="single" w:color="auto"/>
            <w:color w:val="0000EE"/>
          </w:rPr>
          <w:t>June 29, 2022</w:t>
        </w:r>
      </w:hyperlink>
      <w:r>
        <w:rPr>
          <w:rFonts w:ascii="Times New Roman" w:cs="Times New Roman" w:eastAsia="Times New Roman" w:hAnsi="Times New Roman"/>
          <w:sz w:val="15"/>
          <w:szCs w:val="15"/>
          <w:color w:val="auto"/>
        </w:rPr>
        <w:t xml:space="preserve"> (except for information contained therein which is furnished rather than filed) and our Current Report on Form 8-K filed with the SEC on </w:t>
      </w:r>
      <w:hyperlink r:id="rId53">
        <w:r>
          <w:rPr>
            <w:rFonts w:ascii="Times New Roman" w:cs="Times New Roman" w:eastAsia="Times New Roman" w:hAnsi="Times New Roman"/>
            <w:sz w:val="15"/>
            <w:szCs w:val="15"/>
            <w:u w:val="single" w:color="auto"/>
            <w:color w:val="0000EE"/>
          </w:rPr>
          <w:t>October 7, 2022</w:t>
        </w:r>
      </w:hyperlink>
      <w:r>
        <w:rPr>
          <w:rFonts w:ascii="Times New Roman" w:cs="Times New Roman" w:eastAsia="Times New Roman" w:hAnsi="Times New Roman"/>
          <w:sz w:val="15"/>
          <w:szCs w:val="15"/>
          <w:color w:val="auto"/>
        </w:rPr>
        <w:t>; and</w:t>
      </w:r>
    </w:p>
    <w:p>
      <w:pPr>
        <w:spacing w:after="0" w:line="63" w:lineRule="exact"/>
        <w:rPr>
          <w:rFonts w:ascii="Times New Roman" w:cs="Times New Roman" w:eastAsia="Times New Roman" w:hAnsi="Times New Roman"/>
          <w:sz w:val="15"/>
          <w:szCs w:val="15"/>
          <w:color w:val="auto"/>
        </w:rPr>
      </w:pPr>
    </w:p>
    <w:p>
      <w:pPr>
        <w:ind w:left="1580" w:right="1199" w:hanging="291"/>
        <w:spacing w:after="0" w:line="260"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contained in our registration statement on Form 8-A filed with the SEC on </w:t>
      </w:r>
      <w:hyperlink r:id="rId54">
        <w:r>
          <w:rPr>
            <w:rFonts w:ascii="Times New Roman" w:cs="Times New Roman" w:eastAsia="Times New Roman" w:hAnsi="Times New Roman"/>
            <w:sz w:val="15"/>
            <w:szCs w:val="15"/>
            <w:u w:val="single" w:color="auto"/>
            <w:color w:val="0000EE"/>
          </w:rPr>
          <w:t>June 18, 2018</w:t>
        </w:r>
      </w:hyperlink>
      <w:r>
        <w:rPr>
          <w:rFonts w:ascii="Times New Roman" w:cs="Times New Roman" w:eastAsia="Times New Roman" w:hAnsi="Times New Roman"/>
          <w:sz w:val="15"/>
          <w:szCs w:val="15"/>
          <w:color w:val="auto"/>
        </w:rPr>
        <w:t xml:space="preserve">, including any amendments or reports filed for the purposes of updating this description, including </w:t>
      </w:r>
      <w:hyperlink r:id="rId55">
        <w:r>
          <w:rPr>
            <w:rFonts w:ascii="Times New Roman" w:cs="Times New Roman" w:eastAsia="Times New Roman" w:hAnsi="Times New Roman"/>
            <w:sz w:val="15"/>
            <w:szCs w:val="15"/>
            <w:u w:val="single" w:color="auto"/>
            <w:color w:val="0000EE"/>
          </w:rPr>
          <w:t>Exhibit 4.3</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to our Annual Report on Form 10-K for the year ended December 31, 2019, filed with the SEC on March 16, 2020.</w:t>
      </w:r>
    </w:p>
    <w:p>
      <w:pPr>
        <w:spacing w:after="0" w:line="64" w:lineRule="exact"/>
        <w:rPr>
          <w:rFonts w:ascii="Times New Roman" w:cs="Times New Roman" w:eastAsia="Times New Roman" w:hAnsi="Times New Roman"/>
          <w:sz w:val="15"/>
          <w:szCs w:val="15"/>
          <w:color w:val="auto"/>
        </w:rPr>
      </w:pPr>
    </w:p>
    <w:p>
      <w:pPr>
        <w:ind w:left="980" w:right="1079"/>
        <w:spacing w:after="0" w:line="256" w:lineRule="auto"/>
        <w:rPr>
          <w:sz w:val="20"/>
          <w:szCs w:val="20"/>
          <w:color w:val="auto"/>
        </w:rPr>
      </w:pPr>
      <w:r>
        <w:rPr>
          <w:rFonts w:ascii="Times New Roman" w:cs="Times New Roman" w:eastAsia="Times New Roman" w:hAnsi="Times New Roman"/>
          <w:sz w:val="15"/>
          <w:szCs w:val="15"/>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100 Technology Square, Sixth Floor, Cambridge, Massachusetts 02139, or via telephone at (617) 914-8420.</w:t>
      </w:r>
    </w:p>
    <w:p>
      <w:pPr>
        <w:spacing w:after="0" w:line="68" w:lineRule="exact"/>
        <w:rPr>
          <w:rFonts w:ascii="Times New Roman" w:cs="Times New Roman" w:eastAsia="Times New Roman" w:hAnsi="Times New Roman"/>
          <w:sz w:val="15"/>
          <w:szCs w:val="15"/>
          <w:color w:val="auto"/>
        </w:rPr>
      </w:pPr>
    </w:p>
    <w:p>
      <w:pPr>
        <w:ind w:left="980" w:right="1279"/>
        <w:spacing w:after="0" w:line="280" w:lineRule="auto"/>
        <w:rPr>
          <w:sz w:val="20"/>
          <w:szCs w:val="20"/>
          <w:color w:val="auto"/>
        </w:rPr>
      </w:pPr>
      <w:r>
        <w:rPr>
          <w:rFonts w:ascii="Times New Roman" w:cs="Times New Roman" w:eastAsia="Times New Roman" w:hAnsi="Times New Roman"/>
          <w:sz w:val="15"/>
          <w:szCs w:val="15"/>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48" w:lineRule="exact"/>
        <w:rPr>
          <w:rFonts w:ascii="Times New Roman" w:cs="Times New Roman" w:eastAsia="Times New Roman" w:hAnsi="Times New Roman"/>
          <w:sz w:val="15"/>
          <w:szCs w:val="15"/>
          <w:color w:val="auto"/>
        </w:rPr>
      </w:pPr>
    </w:p>
    <w:p>
      <w:pPr>
        <w:jc w:val="both"/>
        <w:ind w:left="980" w:right="1119"/>
        <w:spacing w:after="0" w:line="258" w:lineRule="auto"/>
        <w:rPr>
          <w:sz w:val="20"/>
          <w:szCs w:val="20"/>
          <w:color w:val="auto"/>
        </w:rPr>
      </w:pPr>
      <w:r>
        <w:rPr>
          <w:rFonts w:ascii="Times New Roman" w:cs="Times New Roman" w:eastAsia="Times New Roman" w:hAnsi="Times New Roman"/>
          <w:sz w:val="15"/>
          <w:szCs w:val="15"/>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55"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3" w:name="page34"/>
    <w:bookmarkEnd w:id="33"/>
    <w:p>
      <w:pPr>
        <w:ind w:left="10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83820</wp:posOffset>
            </wp:positionV>
            <wp:extent cx="435038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350385" cy="1460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140970</wp:posOffset>
            </wp:positionV>
            <wp:extent cx="435038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350385" cy="698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1242695</wp:posOffset>
            </wp:positionV>
            <wp:extent cx="2425700" cy="5721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425700"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b w:val="1"/>
          <w:bCs w:val="1"/>
          <w:color w:val="auto"/>
        </w:rPr>
        <w:t>$250,000,000</w:t>
      </w:r>
    </w:p>
    <w:p>
      <w:pPr>
        <w:spacing w:after="0" w:line="19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Warrants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80" w:right="1159"/>
        <w:spacing w:after="0" w:line="258" w:lineRule="auto"/>
        <w:rPr>
          <w:sz w:val="20"/>
          <w:szCs w:val="20"/>
          <w:color w:val="auto"/>
        </w:rPr>
      </w:pPr>
      <w:r>
        <w:rPr>
          <w:rFonts w:ascii="Times New Roman" w:cs="Times New Roman" w:eastAsia="Times New Roman" w:hAnsi="Times New Roman"/>
          <w:sz w:val="15"/>
          <w:szCs w:val="15"/>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271780</wp:posOffset>
            </wp:positionV>
            <wp:extent cx="583819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838190" cy="1460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107315</wp:posOffset>
            </wp:positionV>
            <wp:extent cx="435038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4350385" cy="698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157480</wp:posOffset>
            </wp:positionV>
            <wp:extent cx="435038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350385"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4" w:name="page35"/>
    <w:bookmarkEnd w:id="34"/>
    <w:p>
      <w:pPr>
        <w:ind w:left="10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080" w:right="1179"/>
        <w:spacing w:after="0" w:line="250" w:lineRule="auto"/>
        <w:rPr>
          <w:sz w:val="20"/>
          <w:szCs w:val="20"/>
          <w:color w:val="auto"/>
        </w:rPr>
      </w:pPr>
      <w:r>
        <w:rPr>
          <w:rFonts w:ascii="Arial" w:cs="Arial" w:eastAsia="Arial" w:hAnsi="Arial"/>
          <w:sz w:val="15"/>
          <w:szCs w:val="15"/>
          <w:b w:val="1"/>
          <w:bCs w:val="1"/>
          <w:color w:val="FC0014"/>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224" w:lineRule="exact"/>
        <w:rPr>
          <w:sz w:val="20"/>
          <w:szCs w:val="20"/>
          <w:color w:val="auto"/>
        </w:rPr>
      </w:pPr>
    </w:p>
    <w:p>
      <w:pPr>
        <w:ind w:left="1080"/>
        <w:spacing w:after="0"/>
        <w:tabs>
          <w:tab w:leader="none" w:pos="6340" w:val="left"/>
        </w:tabs>
        <w:rPr>
          <w:sz w:val="20"/>
          <w:szCs w:val="20"/>
          <w:color w:val="auto"/>
        </w:rPr>
      </w:pPr>
      <w:r>
        <w:rPr>
          <w:rFonts w:ascii="Times New Roman" w:cs="Times New Roman" w:eastAsia="Times New Roman" w:hAnsi="Times New Roman"/>
          <w:sz w:val="15"/>
          <w:szCs w:val="15"/>
          <w:b w:val="1"/>
          <w:bCs w:val="1"/>
          <w:color w:val="FC0014"/>
        </w:rPr>
        <w:t>PROSPECTUS (Subject to Completion)</w:t>
      </w:r>
      <w:r>
        <w:rPr>
          <w:sz w:val="20"/>
          <w:szCs w:val="20"/>
          <w:color w:val="auto"/>
        </w:rPr>
        <w:tab/>
      </w:r>
      <w:r>
        <w:rPr>
          <w:rFonts w:ascii="Times New Roman" w:cs="Times New Roman" w:eastAsia="Times New Roman" w:hAnsi="Times New Roman"/>
          <w:sz w:val="14"/>
          <w:szCs w:val="14"/>
          <w:b w:val="1"/>
          <w:bCs w:val="1"/>
          <w:color w:val="FC0014"/>
        </w:rPr>
        <w:t>Dated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202565</wp:posOffset>
            </wp:positionV>
            <wp:extent cx="2060575" cy="4864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2060575" cy="48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 xml:space="preserve">  </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Up to $50,000,000</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10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We have entered into a Sales Agreement with Cowen and Company, LLC, or Cowen, relating to shares of our</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common stock, par value $0.0001 per share, offered by this prospectus. In accordance with the terms of the Sales</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Agreement, we may offer and sell shares of our common stock having an aggregate offering price of up to</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$50,000,000 from time to time through Cowen, acting as sales agent. Sales of the shares of common stock, if any,</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may be made on The Nasdaq Global Select Market, or Nasdaq, at market prices and such other sales as agreed</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upon by us and Cowen, as the case may be.</w:t>
      </w:r>
    </w:p>
    <w:p>
      <w:pPr>
        <w:spacing w:after="0" w:line="84" w:lineRule="exact"/>
        <w:rPr>
          <w:sz w:val="20"/>
          <w:szCs w:val="20"/>
          <w:color w:val="auto"/>
        </w:rPr>
      </w:pPr>
    </w:p>
    <w:p>
      <w:pPr>
        <w:ind w:left="1080" w:right="1179"/>
        <w:spacing w:after="0" w:line="256" w:lineRule="auto"/>
        <w:rPr>
          <w:sz w:val="20"/>
          <w:szCs w:val="20"/>
          <w:color w:val="auto"/>
        </w:rPr>
      </w:pPr>
      <w:r>
        <w:rPr>
          <w:rFonts w:ascii="Times New Roman" w:cs="Times New Roman" w:eastAsia="Times New Roman" w:hAnsi="Times New Roman"/>
          <w:sz w:val="15"/>
          <w:szCs w:val="15"/>
          <w:color w:val="auto"/>
        </w:rPr>
        <w:t>Sales of our common stock, if any, under this prospectus will be made in sales deemed to be “at the market offerings” as defined in Rule 415 promulgated under the Securities Act of 1933, as amended, or the Securities Act. Cowen is not required to sell any specific number or dollar amount of securities, but will act as our sales agent using commercially reasonable efforts to sell on our behalf all of the shares of common stock requested to be sold by us, consistent with their normal trading and sales practices, on mutually agreed terms between Cowen and us. There is no arrangement for funds to be received in any escrow, trust or similar arrangement.</w:t>
      </w:r>
    </w:p>
    <w:p>
      <w:pPr>
        <w:spacing w:after="0" w:line="68" w:lineRule="exact"/>
        <w:rPr>
          <w:sz w:val="20"/>
          <w:szCs w:val="20"/>
          <w:color w:val="auto"/>
        </w:rPr>
      </w:pPr>
    </w:p>
    <w:p>
      <w:pPr>
        <w:ind w:left="1080" w:right="1099"/>
        <w:spacing w:after="0" w:line="255" w:lineRule="auto"/>
        <w:rPr>
          <w:sz w:val="20"/>
          <w:szCs w:val="20"/>
          <w:color w:val="auto"/>
        </w:rPr>
      </w:pPr>
      <w:r>
        <w:rPr>
          <w:rFonts w:ascii="Times New Roman" w:cs="Times New Roman" w:eastAsia="Times New Roman" w:hAnsi="Times New Roman"/>
          <w:sz w:val="15"/>
          <w:szCs w:val="15"/>
          <w:color w:val="auto"/>
        </w:rPr>
        <w:t>Cowen will be entitled to compensation at a fixed commission rate of 3% of the gross sales price per common stock sold under the Sales Agreement. See “Plan of Distribution” beginning on page SA-</w:t>
      </w:r>
      <w:r>
        <w:rPr>
          <w:rFonts w:ascii="Times New Roman" w:cs="Times New Roman" w:eastAsia="Times New Roman" w:hAnsi="Times New Roman"/>
          <w:sz w:val="15"/>
          <w:szCs w:val="15"/>
          <w:u w:val="single" w:color="auto"/>
          <w:color w:val="0000EE"/>
        </w:rPr>
        <w:t>27</w:t>
      </w:r>
      <w:r>
        <w:rPr>
          <w:rFonts w:ascii="Times New Roman" w:cs="Times New Roman" w:eastAsia="Times New Roman" w:hAnsi="Times New Roman"/>
          <w:sz w:val="15"/>
          <w:szCs w:val="15"/>
          <w:color w:val="auto"/>
        </w:rPr>
        <w:t xml:space="preserve"> for additional information regarding the compensation to be paid to Cowen. In connection with the sale of the common stock on our behalf, Cowen will be deemed to be an “underwriter” within the meaning of the Securities Act and the compensation of Cowen will be deemed to be underwriting commissions or discounts. We have also agreed to provide indemnification and contribution to Cowen with respect to certain liabilities, including liabilities under the Securities Act or the Securities Exchange Act of 1934, as amended, or the Exchange Act.</w:t>
      </w:r>
    </w:p>
    <w:p>
      <w:pPr>
        <w:spacing w:after="0" w:line="69" w:lineRule="exact"/>
        <w:rPr>
          <w:sz w:val="20"/>
          <w:szCs w:val="20"/>
          <w:color w:val="auto"/>
        </w:rPr>
      </w:pPr>
    </w:p>
    <w:p>
      <w:pPr>
        <w:ind w:left="1080" w:right="1119"/>
        <w:spacing w:after="0" w:line="254" w:lineRule="auto"/>
        <w:rPr>
          <w:sz w:val="20"/>
          <w:szCs w:val="20"/>
          <w:color w:val="auto"/>
        </w:rPr>
      </w:pPr>
      <w:r>
        <w:rPr>
          <w:rFonts w:ascii="Times New Roman" w:cs="Times New Roman" w:eastAsia="Times New Roman" w:hAnsi="Times New Roman"/>
          <w:sz w:val="15"/>
          <w:szCs w:val="15"/>
          <w:color w:val="auto"/>
        </w:rPr>
        <w:t>Our common stock is listed on The Nasdaq Global Select Market under the symbol “AVRO.” On November 3, 2022, the closing price of our common stock, as reported on Nasdaq, was $0.675 per share. As of November 3, 2022, the aggregate market value of our outstanding common stock held by non-affiliates, or public float, was approximately $25.8 million, based on 43,774,088 shares of outstanding common stock, of which approximately 5.54 million shares were held by affiliates, and a price of $0.675 per share, which was the price at which our common stock was last sold on Nasdaq on such date. We have not offered any securities pursuant to General Instruction I.B.6 of Form S-3 during the prior 12-calendar-month period that ends on and includes the date of this prospectus. Pursuant to General Instruction I.B.6 of Form S-3, in no event will we sell securities covered hereby in a public primary offering with a value exceeding more than one-third of our public float in any 12-month period so long as our public float remains below $75,000,000.</w:t>
      </w:r>
    </w:p>
    <w:p>
      <w:pPr>
        <w:spacing w:after="0" w:line="67" w:lineRule="exact"/>
        <w:rPr>
          <w:sz w:val="20"/>
          <w:szCs w:val="20"/>
          <w:color w:val="auto"/>
        </w:rPr>
      </w:pPr>
    </w:p>
    <w:p>
      <w:pPr>
        <w:jc w:val="both"/>
        <w:ind w:left="1080" w:right="1179"/>
        <w:spacing w:after="0" w:line="265" w:lineRule="auto"/>
        <w:rPr>
          <w:sz w:val="20"/>
          <w:szCs w:val="20"/>
          <w:color w:val="auto"/>
        </w:rPr>
      </w:pPr>
      <w:r>
        <w:rPr>
          <w:rFonts w:ascii="Times New Roman" w:cs="Times New Roman" w:eastAsia="Times New Roman" w:hAnsi="Times New Roman"/>
          <w:sz w:val="15"/>
          <w:szCs w:val="15"/>
          <w:color w:val="auto"/>
        </w:rPr>
        <w:t>We are an emerging growth company as that term is used in the Jumpstart Our Business Startups Act of 2012, as amended, or the JOBS Act, and, as such, have elected to comply with certain reduced public company reporting requirements for this prospectus and future filings.</w:t>
      </w:r>
    </w:p>
    <w:p>
      <w:pPr>
        <w:spacing w:after="0" w:line="56" w:lineRule="exact"/>
        <w:rPr>
          <w:sz w:val="20"/>
          <w:szCs w:val="20"/>
          <w:color w:val="auto"/>
        </w:rPr>
      </w:pPr>
    </w:p>
    <w:p>
      <w:pPr>
        <w:ind w:left="1080" w:right="1339"/>
        <w:spacing w:after="0" w:line="268" w:lineRule="auto"/>
        <w:rPr>
          <w:sz w:val="20"/>
          <w:szCs w:val="20"/>
          <w:color w:val="auto"/>
        </w:rPr>
      </w:pPr>
      <w:r>
        <w:rPr>
          <w:rFonts w:ascii="Times New Roman" w:cs="Times New Roman" w:eastAsia="Times New Roman" w:hAnsi="Times New Roman"/>
          <w:sz w:val="15"/>
          <w:szCs w:val="15"/>
          <w:b w:val="1"/>
          <w:bCs w:val="1"/>
          <w:color w:val="auto"/>
        </w:rPr>
        <w:t>Investing in our common stock involves a high degree of risk. You should review carefully the risks and uncertainties referenced under the heading “Risk Factors” on page SA-</w:t>
      </w:r>
      <w:r>
        <w:rPr>
          <w:rFonts w:ascii="Times New Roman" w:cs="Times New Roman" w:eastAsia="Times New Roman" w:hAnsi="Times New Roman"/>
          <w:sz w:val="15"/>
          <w:szCs w:val="15"/>
          <w:b w:val="1"/>
          <w:bCs w:val="1"/>
          <w:u w:val="single" w:color="auto"/>
          <w:color w:val="0000EE"/>
        </w:rPr>
        <w:t>7</w:t>
      </w:r>
      <w:r>
        <w:rPr>
          <w:rFonts w:ascii="Times New Roman" w:cs="Times New Roman" w:eastAsia="Times New Roman" w:hAnsi="Times New Roman"/>
          <w:sz w:val="15"/>
          <w:szCs w:val="15"/>
          <w:b w:val="1"/>
          <w:bCs w:val="1"/>
          <w:color w:val="auto"/>
        </w:rPr>
        <w:t xml:space="preserve"> of this prospectus and in the documents that are incorporated by reference into this prospectus.</w:t>
      </w:r>
    </w:p>
    <w:p>
      <w:pPr>
        <w:spacing w:after="0" w:line="57" w:lineRule="exact"/>
        <w:rPr>
          <w:sz w:val="20"/>
          <w:szCs w:val="20"/>
          <w:color w:val="auto"/>
        </w:rPr>
      </w:pPr>
    </w:p>
    <w:p>
      <w:pPr>
        <w:ind w:left="1080" w:right="1179"/>
        <w:spacing w:after="0" w:line="265" w:lineRule="auto"/>
        <w:rPr>
          <w:sz w:val="20"/>
          <w:szCs w:val="20"/>
          <w:color w:val="auto"/>
        </w:rPr>
      </w:pPr>
      <w:r>
        <w:rPr>
          <w:rFonts w:ascii="Times New Roman" w:cs="Times New Roman" w:eastAsia="Times New Roman" w:hAnsi="Times New Roman"/>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109855</wp:posOffset>
            </wp:positionV>
            <wp:extent cx="583819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5" w:name="page36"/>
    <w:bookmarkEnd w:id="35"/>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tbl>
      <w:tblPr>
        <w:tblLayout w:type="fixed"/>
        <w:tblInd w:w="980" w:type="dxa"/>
        <w:tblCellMar>
          <w:top w:w="0" w:type="dxa"/>
          <w:left w:w="0" w:type="dxa"/>
          <w:bottom w:w="0" w:type="dxa"/>
          <w:right w:w="0" w:type="dxa"/>
        </w:tblCellMar>
      </w:tblPr>
      <w:tr>
        <w:trPr>
          <w:trHeight w:val="198"/>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20" w:type="dxa"/>
            <w:vAlign w:val="bottom"/>
            <w:gridSpan w:val="4"/>
          </w:tcPr>
          <w:p>
            <w:pPr>
              <w:ind w:left="3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6"/>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Page</w:t>
            </w:r>
          </w:p>
        </w:tc>
      </w:tr>
      <w:tr>
        <w:trPr>
          <w:trHeight w:val="43"/>
        </w:trPr>
        <w:tc>
          <w:tcPr>
            <w:tcW w:w="6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3"/>
        </w:trPr>
        <w:tc>
          <w:tcPr>
            <w:tcW w:w="62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0000EE"/>
              </w:rPr>
              <w:t>ABOUT THIS PROSPECTUS</w:t>
            </w:r>
          </w:p>
        </w:tc>
        <w:tc>
          <w:tcPr>
            <w:tcW w:w="4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0000EE"/>
              </w:rPr>
              <w:t>SA-1</w:t>
            </w:r>
          </w:p>
        </w:tc>
      </w:tr>
      <w:tr>
        <w:trPr>
          <w:trHeight w:val="192"/>
        </w:trPr>
        <w:tc>
          <w:tcPr>
            <w:tcW w:w="18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5"/>
                <w:szCs w:val="15"/>
                <w:color w:val="0000EE"/>
              </w:rPr>
              <w:t>PROSPECTUS SUMMARY</w:t>
            </w:r>
          </w:p>
        </w:tc>
        <w:tc>
          <w:tcPr>
            <w:tcW w:w="4360" w:type="dxa"/>
            <w:vAlign w:val="bottom"/>
            <w:tcBorders>
              <w:top w:val="single" w:sz="8" w:color="CCEEFF"/>
            </w:tcBorders>
            <w:gridSpan w:val="6"/>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4"/>
              </w:rPr>
              <w:t>SA-3</w:t>
            </w:r>
          </w:p>
        </w:tc>
        <w:tc>
          <w:tcPr>
            <w:tcW w:w="20" w:type="dxa"/>
            <w:vAlign w:val="bottom"/>
            <w:tcBorders>
              <w:top w:val="single" w:sz="8" w:color="CCEEFF"/>
            </w:tcBorders>
          </w:tcPr>
          <w:p>
            <w:pPr>
              <w:spacing w:after="0"/>
              <w:rPr>
                <w:sz w:val="16"/>
                <w:szCs w:val="16"/>
                <w:color w:val="auto"/>
              </w:rPr>
            </w:pPr>
          </w:p>
        </w:tc>
      </w:tr>
      <w:tr>
        <w:trPr>
          <w:trHeight w:val="59"/>
        </w:trPr>
        <w:tc>
          <w:tcPr>
            <w:tcW w:w="6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250"/>
        </w:trPr>
        <w:tc>
          <w:tcPr>
            <w:tcW w:w="108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0000EE"/>
                <w:w w:val="99"/>
              </w:rPr>
              <w:t>THE OFFERING</w:t>
            </w:r>
          </w:p>
        </w:tc>
        <w:tc>
          <w:tcPr>
            <w:tcW w:w="5140" w:type="dxa"/>
            <w:vAlign w:val="bottom"/>
            <w:tcBorders>
              <w:bottom w:val="single" w:sz="8" w:color="CCEEFF"/>
            </w:tcBorders>
            <w:gridSpan w:val="11"/>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5"/>
                <w:szCs w:val="15"/>
                <w:color w:val="0000EE"/>
                <w:w w:val="94"/>
              </w:rPr>
              <w:t>SA-6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92"/>
        </w:trPr>
        <w:tc>
          <w:tcPr>
            <w:tcW w:w="622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RISK FACTORS</w:t>
            </w:r>
          </w:p>
        </w:tc>
        <w:tc>
          <w:tcPr>
            <w:tcW w:w="420" w:type="dxa"/>
            <w:vAlign w:val="bottom"/>
          </w:tcPr>
          <w:p>
            <w:pPr>
              <w:spacing w:after="0"/>
              <w:rPr>
                <w:sz w:val="16"/>
                <w:szCs w:val="16"/>
                <w:color w:val="auto"/>
              </w:rPr>
            </w:pP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EE"/>
              </w:rPr>
              <w:t>SA-7</w:t>
            </w:r>
          </w:p>
        </w:tc>
      </w:tr>
      <w:tr>
        <w:trPr>
          <w:trHeight w:val="59"/>
        </w:trPr>
        <w:tc>
          <w:tcPr>
            <w:tcW w:w="6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192"/>
        </w:trPr>
        <w:tc>
          <w:tcPr>
            <w:tcW w:w="53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CAUTIONARY STATEMENT REGARDING FORWARD-LOOKING STATEMENTS</w:t>
            </w:r>
          </w:p>
        </w:tc>
        <w:tc>
          <w:tcPr>
            <w:tcW w:w="920" w:type="dxa"/>
            <w:vAlign w:val="bottom"/>
            <w:gridSpan w:val="2"/>
            <w:shd w:val="clear" w:color="auto" w:fill="CCEEFF"/>
          </w:tcPr>
          <w:p>
            <w:pPr>
              <w:spacing w:after="0"/>
              <w:rPr>
                <w:sz w:val="16"/>
                <w:szCs w:val="16"/>
                <w:color w:val="auto"/>
              </w:rPr>
            </w:pPr>
          </w:p>
        </w:tc>
        <w:tc>
          <w:tcPr>
            <w:tcW w:w="820" w:type="dxa"/>
            <w:vAlign w:val="bottom"/>
            <w:gridSpan w:val="4"/>
            <w:shd w:val="clear" w:color="auto" w:fill="CCEEFF"/>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SA-12</w:t>
            </w:r>
          </w:p>
        </w:tc>
      </w:tr>
      <w:tr>
        <w:trPr>
          <w:trHeight w:val="59"/>
        </w:trPr>
        <w:tc>
          <w:tcPr>
            <w:tcW w:w="6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1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2"/>
        </w:trPr>
        <w:tc>
          <w:tcPr>
            <w:tcW w:w="5300" w:type="dxa"/>
            <w:vAlign w:val="bottom"/>
            <w:gridSpan w:val="13"/>
          </w:tcPr>
          <w:p>
            <w:pPr>
              <w:spacing w:after="0"/>
              <w:rPr>
                <w:sz w:val="20"/>
                <w:szCs w:val="20"/>
                <w:color w:val="auto"/>
              </w:rPr>
            </w:pPr>
            <w:r>
              <w:rPr>
                <w:rFonts w:ascii="Times New Roman" w:cs="Times New Roman" w:eastAsia="Times New Roman" w:hAnsi="Times New Roman"/>
                <w:sz w:val="15"/>
                <w:szCs w:val="15"/>
                <w:color w:val="0000EE"/>
              </w:rPr>
              <w:t>USE OF PROCEEDS</w:t>
            </w:r>
          </w:p>
        </w:tc>
        <w:tc>
          <w:tcPr>
            <w:tcW w:w="920" w:type="dxa"/>
            <w:vAlign w:val="bottom"/>
            <w:gridSpan w:val="2"/>
          </w:tcPr>
          <w:p>
            <w:pPr>
              <w:spacing w:after="0"/>
              <w:rPr>
                <w:sz w:val="16"/>
                <w:szCs w:val="16"/>
                <w:color w:val="auto"/>
              </w:rPr>
            </w:pPr>
          </w:p>
        </w:tc>
        <w:tc>
          <w:tcPr>
            <w:tcW w:w="820" w:type="dxa"/>
            <w:vAlign w:val="bottom"/>
            <w:gridSpan w:val="4"/>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SA-14</w:t>
            </w:r>
          </w:p>
        </w:tc>
      </w:tr>
      <w:tr>
        <w:trPr>
          <w:trHeight w:val="59"/>
        </w:trPr>
        <w:tc>
          <w:tcPr>
            <w:tcW w:w="6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192"/>
        </w:trPr>
        <w:tc>
          <w:tcPr>
            <w:tcW w:w="62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0000EE"/>
              </w:rPr>
              <w:t>DIVIDEND POLICY</w:t>
            </w:r>
          </w:p>
        </w:tc>
        <w:tc>
          <w:tcPr>
            <w:tcW w:w="820" w:type="dxa"/>
            <w:vAlign w:val="bottom"/>
            <w:gridSpan w:val="4"/>
            <w:shd w:val="clear" w:color="auto" w:fill="CCEEFF"/>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SA-15</w:t>
            </w:r>
          </w:p>
        </w:tc>
      </w:tr>
      <w:tr>
        <w:trPr>
          <w:trHeight w:val="59"/>
        </w:trPr>
        <w:tc>
          <w:tcPr>
            <w:tcW w:w="6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2"/>
        </w:trPr>
        <w:tc>
          <w:tcPr>
            <w:tcW w:w="1320" w:type="dxa"/>
            <w:vAlign w:val="bottom"/>
            <w:gridSpan w:val="6"/>
          </w:tcPr>
          <w:p>
            <w:pPr>
              <w:spacing w:after="0"/>
              <w:rPr>
                <w:sz w:val="20"/>
                <w:szCs w:val="20"/>
                <w:color w:val="auto"/>
              </w:rPr>
            </w:pPr>
            <w:r>
              <w:rPr>
                <w:rFonts w:ascii="Times New Roman" w:cs="Times New Roman" w:eastAsia="Times New Roman" w:hAnsi="Times New Roman"/>
                <w:sz w:val="15"/>
                <w:szCs w:val="15"/>
                <w:color w:val="0000EE"/>
              </w:rPr>
              <w:t>DILUTION</w:t>
            </w:r>
          </w:p>
        </w:tc>
        <w:tc>
          <w:tcPr>
            <w:tcW w:w="4900" w:type="dxa"/>
            <w:vAlign w:val="bottom"/>
            <w:gridSpan w:val="9"/>
          </w:tcPr>
          <w:p>
            <w:pPr>
              <w:spacing w:after="0"/>
              <w:rPr>
                <w:sz w:val="16"/>
                <w:szCs w:val="16"/>
                <w:color w:val="auto"/>
              </w:rPr>
            </w:pPr>
          </w:p>
        </w:tc>
        <w:tc>
          <w:tcPr>
            <w:tcW w:w="820" w:type="dxa"/>
            <w:vAlign w:val="bottom"/>
            <w:gridSpan w:val="4"/>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SA-16</w:t>
            </w:r>
          </w:p>
        </w:tc>
      </w:tr>
      <w:tr>
        <w:trPr>
          <w:trHeight w:val="59"/>
        </w:trPr>
        <w:tc>
          <w:tcPr>
            <w:tcW w:w="6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192"/>
        </w:trPr>
        <w:tc>
          <w:tcPr>
            <w:tcW w:w="5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5"/>
                <w:szCs w:val="15"/>
                <w:color w:val="0000EE"/>
                <w:w w:val="99"/>
              </w:rPr>
              <w:t>MATERIAL U.S. FEDERAL INCOME TAX CONSIDERATIONS FOR NON-U.S. HOLDERS</w:t>
            </w:r>
          </w:p>
        </w:tc>
        <w:tc>
          <w:tcPr>
            <w:tcW w:w="40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SA-18</w:t>
            </w:r>
          </w:p>
        </w:tc>
      </w:tr>
      <w:tr>
        <w:trPr>
          <w:trHeight w:val="59"/>
        </w:trPr>
        <w:tc>
          <w:tcPr>
            <w:tcW w:w="6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1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2"/>
        </w:trPr>
        <w:tc>
          <w:tcPr>
            <w:tcW w:w="5820" w:type="dxa"/>
            <w:vAlign w:val="bottom"/>
            <w:gridSpan w:val="14"/>
          </w:tcPr>
          <w:p>
            <w:pPr>
              <w:spacing w:after="0"/>
              <w:rPr>
                <w:sz w:val="20"/>
                <w:szCs w:val="20"/>
                <w:color w:val="auto"/>
              </w:rPr>
            </w:pPr>
            <w:r>
              <w:rPr>
                <w:rFonts w:ascii="Times New Roman" w:cs="Times New Roman" w:eastAsia="Times New Roman" w:hAnsi="Times New Roman"/>
                <w:sz w:val="15"/>
                <w:szCs w:val="15"/>
                <w:color w:val="0000EE"/>
              </w:rPr>
              <w:t>DESCRIPTION OF CAPITAL STOCK</w:t>
            </w:r>
          </w:p>
        </w:tc>
        <w:tc>
          <w:tcPr>
            <w:tcW w:w="400" w:type="dxa"/>
            <w:vAlign w:val="bottom"/>
          </w:tcPr>
          <w:p>
            <w:pPr>
              <w:spacing w:after="0"/>
              <w:rPr>
                <w:sz w:val="16"/>
                <w:szCs w:val="16"/>
                <w:color w:val="auto"/>
              </w:rPr>
            </w:pPr>
          </w:p>
        </w:tc>
        <w:tc>
          <w:tcPr>
            <w:tcW w:w="820" w:type="dxa"/>
            <w:vAlign w:val="bottom"/>
            <w:gridSpan w:val="4"/>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SA-22</w:t>
            </w:r>
          </w:p>
        </w:tc>
      </w:tr>
      <w:tr>
        <w:trPr>
          <w:trHeight w:val="59"/>
        </w:trPr>
        <w:tc>
          <w:tcPr>
            <w:tcW w:w="6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192"/>
        </w:trPr>
        <w:tc>
          <w:tcPr>
            <w:tcW w:w="1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0000EE"/>
                <w:w w:val="99"/>
              </w:rPr>
              <w:t>PLAN OF DISTRIBUTION</w:t>
            </w:r>
          </w:p>
        </w:tc>
        <w:tc>
          <w:tcPr>
            <w:tcW w:w="4500" w:type="dxa"/>
            <w:vAlign w:val="bottom"/>
            <w:gridSpan w:val="8"/>
            <w:shd w:val="clear" w:color="auto" w:fill="CCEEFF"/>
          </w:tcPr>
          <w:p>
            <w:pPr>
              <w:spacing w:after="0"/>
              <w:rPr>
                <w:sz w:val="16"/>
                <w:szCs w:val="16"/>
                <w:color w:val="auto"/>
              </w:rPr>
            </w:pPr>
          </w:p>
        </w:tc>
        <w:tc>
          <w:tcPr>
            <w:tcW w:w="820" w:type="dxa"/>
            <w:vAlign w:val="bottom"/>
            <w:gridSpan w:val="4"/>
            <w:shd w:val="clear" w:color="auto" w:fill="CCEEFF"/>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SA-27</w:t>
            </w:r>
          </w:p>
        </w:tc>
      </w:tr>
      <w:tr>
        <w:trPr>
          <w:trHeight w:val="59"/>
        </w:trPr>
        <w:tc>
          <w:tcPr>
            <w:tcW w:w="6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2"/>
        </w:trPr>
        <w:tc>
          <w:tcPr>
            <w:tcW w:w="1720" w:type="dxa"/>
            <w:vAlign w:val="bottom"/>
            <w:gridSpan w:val="7"/>
          </w:tcPr>
          <w:p>
            <w:pPr>
              <w:spacing w:after="0"/>
              <w:rPr>
                <w:sz w:val="20"/>
                <w:szCs w:val="20"/>
                <w:color w:val="auto"/>
              </w:rPr>
            </w:pPr>
            <w:r>
              <w:rPr>
                <w:rFonts w:ascii="Times New Roman" w:cs="Times New Roman" w:eastAsia="Times New Roman" w:hAnsi="Times New Roman"/>
                <w:sz w:val="15"/>
                <w:szCs w:val="15"/>
                <w:color w:val="0000EE"/>
              </w:rPr>
              <w:t>LEGAL MATTERS</w:t>
            </w:r>
          </w:p>
        </w:tc>
        <w:tc>
          <w:tcPr>
            <w:tcW w:w="4500" w:type="dxa"/>
            <w:vAlign w:val="bottom"/>
            <w:gridSpan w:val="8"/>
          </w:tcPr>
          <w:p>
            <w:pPr>
              <w:spacing w:after="0"/>
              <w:rPr>
                <w:sz w:val="16"/>
                <w:szCs w:val="16"/>
                <w:color w:val="auto"/>
              </w:rPr>
            </w:pPr>
          </w:p>
        </w:tc>
        <w:tc>
          <w:tcPr>
            <w:tcW w:w="820" w:type="dxa"/>
            <w:vAlign w:val="bottom"/>
            <w:gridSpan w:val="4"/>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SA-28</w:t>
            </w:r>
          </w:p>
        </w:tc>
      </w:tr>
      <w:tr>
        <w:trPr>
          <w:trHeight w:val="59"/>
        </w:trPr>
        <w:tc>
          <w:tcPr>
            <w:tcW w:w="6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192"/>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EXPERTS</w:t>
            </w:r>
          </w:p>
        </w:tc>
        <w:tc>
          <w:tcPr>
            <w:tcW w:w="5560" w:type="dxa"/>
            <w:vAlign w:val="bottom"/>
            <w:gridSpan w:val="14"/>
            <w:shd w:val="clear" w:color="auto" w:fill="CCEEFF"/>
          </w:tcPr>
          <w:p>
            <w:pPr>
              <w:spacing w:after="0"/>
              <w:rPr>
                <w:sz w:val="16"/>
                <w:szCs w:val="16"/>
                <w:color w:val="auto"/>
              </w:rPr>
            </w:pPr>
          </w:p>
        </w:tc>
        <w:tc>
          <w:tcPr>
            <w:tcW w:w="820" w:type="dxa"/>
            <w:vAlign w:val="bottom"/>
            <w:gridSpan w:val="4"/>
            <w:shd w:val="clear" w:color="auto" w:fill="CCEEFF"/>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SA-28</w:t>
            </w:r>
          </w:p>
        </w:tc>
      </w:tr>
      <w:tr>
        <w:trPr>
          <w:trHeight w:val="59"/>
        </w:trPr>
        <w:tc>
          <w:tcPr>
            <w:tcW w:w="6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2"/>
        </w:trPr>
        <w:tc>
          <w:tcPr>
            <w:tcW w:w="622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rPr>
              <w:t>WHERE YOU CAN FIND MORE INFORMATION</w:t>
            </w:r>
          </w:p>
        </w:tc>
        <w:tc>
          <w:tcPr>
            <w:tcW w:w="820" w:type="dxa"/>
            <w:vAlign w:val="bottom"/>
            <w:gridSpan w:val="4"/>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SA-28</w:t>
            </w:r>
          </w:p>
        </w:tc>
      </w:tr>
      <w:tr>
        <w:trPr>
          <w:trHeight w:val="59"/>
        </w:trPr>
        <w:tc>
          <w:tcPr>
            <w:tcW w:w="6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r>
      <w:tr>
        <w:trPr>
          <w:trHeight w:val="192"/>
        </w:trPr>
        <w:tc>
          <w:tcPr>
            <w:tcW w:w="62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5"/>
                <w:szCs w:val="15"/>
                <w:color w:val="0000EE"/>
              </w:rPr>
              <w:t>INCORPORATION BY REFERENCE</w:t>
            </w:r>
          </w:p>
        </w:tc>
        <w:tc>
          <w:tcPr>
            <w:tcW w:w="820" w:type="dxa"/>
            <w:vAlign w:val="bottom"/>
            <w:gridSpan w:val="4"/>
            <w:shd w:val="clear" w:color="auto" w:fill="CCEEFF"/>
          </w:tcPr>
          <w:p>
            <w:pPr>
              <w:jc w:val="center"/>
              <w:ind w:left="325"/>
              <w:spacing w:after="0"/>
              <w:rPr>
                <w:sz w:val="20"/>
                <w:szCs w:val="20"/>
                <w:color w:val="auto"/>
              </w:rPr>
            </w:pPr>
            <w:r>
              <w:rPr>
                <w:rFonts w:ascii="Times New Roman" w:cs="Times New Roman" w:eastAsia="Times New Roman" w:hAnsi="Times New Roman"/>
                <w:sz w:val="15"/>
                <w:szCs w:val="15"/>
                <w:color w:val="0000EE"/>
                <w:w w:val="96"/>
              </w:rPr>
              <w:t>SA-29</w:t>
            </w:r>
          </w:p>
        </w:tc>
      </w:tr>
      <w:tr>
        <w:trPr>
          <w:trHeight w:val="59"/>
        </w:trPr>
        <w:tc>
          <w:tcPr>
            <w:tcW w:w="6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4734560</wp:posOffset>
            </wp:positionH>
            <wp:positionV relativeFrom="paragraph">
              <wp:posOffset>-2589530</wp:posOffset>
            </wp:positionV>
            <wp:extent cx="1003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00330" cy="6985"/>
                    </a:xfrm>
                    <a:prstGeom prst="rect">
                      <a:avLst/>
                    </a:prstGeom>
                    <a:noFill/>
                  </pic:spPr>
                </pic:pic>
              </a:graphicData>
            </a:graphic>
          </wp:anchor>
        </w:drawing>
      </w:r>
    </w:p>
    <w:p>
      <w:pPr>
        <w:spacing w:after="0" w:line="56" w:lineRule="exact"/>
        <w:rPr>
          <w:sz w:val="20"/>
          <w:szCs w:val="20"/>
          <w:color w:val="auto"/>
        </w:rPr>
      </w:pPr>
    </w:p>
    <w:p>
      <w:pPr>
        <w:ind w:left="980" w:right="1059"/>
        <w:spacing w:after="0" w:line="255" w:lineRule="auto"/>
        <w:rPr>
          <w:sz w:val="20"/>
          <w:szCs w:val="20"/>
          <w:color w:val="auto"/>
        </w:rPr>
      </w:pPr>
      <w:r>
        <w:rPr>
          <w:rFonts w:ascii="Times New Roman" w:cs="Times New Roman" w:eastAsia="Times New Roman" w:hAnsi="Times New Roman"/>
          <w:sz w:val="15"/>
          <w:szCs w:val="15"/>
          <w:color w:val="auto"/>
        </w:rPr>
        <w:t>We are responsible for the information contained and incorporated by reference in this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86995</wp:posOffset>
            </wp:positionV>
            <wp:extent cx="583819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6" w:name="page37"/>
    <w:bookmarkEnd w:id="36"/>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02" w:lineRule="exact"/>
        <w:rPr>
          <w:sz w:val="20"/>
          <w:szCs w:val="20"/>
          <w:color w:val="auto"/>
        </w:rPr>
      </w:pPr>
    </w:p>
    <w:p>
      <w:pPr>
        <w:ind w:left="980" w:right="1099"/>
        <w:spacing w:after="0" w:line="260" w:lineRule="auto"/>
        <w:rPr>
          <w:sz w:val="20"/>
          <w:szCs w:val="20"/>
          <w:color w:val="auto"/>
        </w:rPr>
      </w:pPr>
      <w:r>
        <w:rPr>
          <w:rFonts w:ascii="Times New Roman" w:cs="Times New Roman" w:eastAsia="Times New Roman" w:hAnsi="Times New Roman"/>
          <w:sz w:val="15"/>
          <w:szCs w:val="15"/>
          <w:color w:val="auto"/>
        </w:rPr>
        <w:t>This prospectus is part of a shelf registration statement on Form S-3 that we filed with the Securities and Exchange Commission, or the SEC. Under the shelf registration process, we may offer shares of our common stock having an aggregate offering price of up to $50,000,000 from time to time under this prospectus at prices and on terms to be determined by market conditions at the time of the offering.</w:t>
      </w:r>
    </w:p>
    <w:p>
      <w:pPr>
        <w:spacing w:after="0" w:line="64" w:lineRule="exact"/>
        <w:rPr>
          <w:sz w:val="20"/>
          <w:szCs w:val="20"/>
          <w:color w:val="auto"/>
        </w:rPr>
      </w:pPr>
    </w:p>
    <w:p>
      <w:pPr>
        <w:ind w:left="980" w:right="999"/>
        <w:spacing w:after="0" w:line="255" w:lineRule="auto"/>
        <w:rPr>
          <w:sz w:val="20"/>
          <w:szCs w:val="20"/>
          <w:color w:val="auto"/>
        </w:rPr>
      </w:pPr>
      <w:r>
        <w:rPr>
          <w:rFonts w:ascii="Times New Roman" w:cs="Times New Roman" w:eastAsia="Times New Roman" w:hAnsi="Times New Roman"/>
          <w:sz w:val="15"/>
          <w:szCs w:val="15"/>
          <w:color w:val="auto"/>
        </w:rPr>
        <w:t>If the information contained in this prospectus differs or varies from the information contained in any document incorporated by reference herein that was filed with the SEC before the date of this prospectus, you should rely on the information set forth in this prospectus. If any statement in one of these documents is inconsistent with a statement in another document having a later date (for example, a subsequently filed document deemed incorporated by reference in this prospectus), the statement in the document having the later date modifies or supersedes the earlier statement. Any statement so modified or superseded will not be deemed, except as so modified or superseded, to constitute a part of this prospectus.</w:t>
      </w:r>
    </w:p>
    <w:p>
      <w:pPr>
        <w:spacing w:after="0" w:line="69" w:lineRule="exact"/>
        <w:rPr>
          <w:sz w:val="20"/>
          <w:szCs w:val="20"/>
          <w:color w:val="auto"/>
        </w:rPr>
      </w:pPr>
    </w:p>
    <w:p>
      <w:pPr>
        <w:ind w:left="980" w:right="999"/>
        <w:spacing w:after="0" w:line="258" w:lineRule="auto"/>
        <w:rPr>
          <w:sz w:val="20"/>
          <w:szCs w:val="20"/>
          <w:color w:val="auto"/>
        </w:rPr>
      </w:pPr>
      <w:r>
        <w:rPr>
          <w:rFonts w:ascii="Times New Roman" w:cs="Times New Roman" w:eastAsia="Times New Roman" w:hAnsi="Times New Roman"/>
          <w:sz w:val="15"/>
          <w:szCs w:val="15"/>
          <w:color w:val="auto"/>
        </w:rPr>
        <w:t>You should rely only on the information contained or incorporated by reference in this prospectus. We have not, and the sales agent has not, authorized anyone to provide you with information that is in addition to or different from that contained or incorporated by reference in this prospectus or contained in any permitted free writing prospectuses we have authorized for use in connection with this offering. We and the sales agent take no responsibility for, and can provide no assurance as to the reliability of, any other information that others may provide.</w:t>
      </w:r>
    </w:p>
    <w:p>
      <w:pPr>
        <w:spacing w:after="0" w:line="64" w:lineRule="exact"/>
        <w:rPr>
          <w:sz w:val="20"/>
          <w:szCs w:val="20"/>
          <w:color w:val="auto"/>
        </w:rPr>
      </w:pPr>
    </w:p>
    <w:p>
      <w:pPr>
        <w:ind w:left="980" w:right="1039"/>
        <w:spacing w:after="0" w:line="275" w:lineRule="auto"/>
        <w:rPr>
          <w:sz w:val="20"/>
          <w:szCs w:val="20"/>
          <w:color w:val="auto"/>
        </w:rPr>
      </w:pPr>
      <w:r>
        <w:rPr>
          <w:rFonts w:ascii="Times New Roman" w:cs="Times New Roman" w:eastAsia="Times New Roman" w:hAnsi="Times New Roman"/>
          <w:sz w:val="14"/>
          <w:szCs w:val="14"/>
          <w:color w:val="auto"/>
        </w:rPr>
        <w:t>The information contained in this prospectus and the documents incorporated by reference herein is accurate only as of their respective dates, regardless of the time of delivery of any such document or the time of any sale of our common stock. Our business, financial condition, results of operations and prospects may have changed since those dates. It is important for you to read and consider all information contained or incorporated by reference in this prospectus in making your investment decision. You should read this prospectus, as well as the documents incorporated by reference herein, the additional information described under the section titled “Where You Can Find More Information” and “Incorporation of Certain Documents by Reference” in this prospectus and any free writing prospectus that we have authorized for use in connection with this offering, before investing in our common stock.</w:t>
      </w:r>
    </w:p>
    <w:p>
      <w:pPr>
        <w:spacing w:after="0" w:line="57" w:lineRule="exact"/>
        <w:rPr>
          <w:sz w:val="20"/>
          <w:szCs w:val="20"/>
          <w:color w:val="auto"/>
        </w:rPr>
      </w:pPr>
    </w:p>
    <w:p>
      <w:pPr>
        <w:ind w:left="980" w:right="1119"/>
        <w:spacing w:after="0" w:line="255" w:lineRule="auto"/>
        <w:rPr>
          <w:sz w:val="20"/>
          <w:szCs w:val="20"/>
          <w:color w:val="auto"/>
        </w:rPr>
      </w:pPr>
      <w:r>
        <w:rPr>
          <w:rFonts w:ascii="Times New Roman" w:cs="Times New Roman" w:eastAsia="Times New Roman" w:hAnsi="Times New Roman"/>
          <w:sz w:val="15"/>
          <w:szCs w:val="15"/>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69" w:lineRule="exact"/>
        <w:rPr>
          <w:sz w:val="20"/>
          <w:szCs w:val="20"/>
          <w:color w:val="auto"/>
        </w:rPr>
      </w:pPr>
    </w:p>
    <w:p>
      <w:pPr>
        <w:ind w:left="980" w:right="1039"/>
        <w:spacing w:after="0" w:line="253" w:lineRule="auto"/>
        <w:rPr>
          <w:sz w:val="20"/>
          <w:szCs w:val="20"/>
          <w:color w:val="auto"/>
        </w:rPr>
      </w:pPr>
      <w:r>
        <w:rPr>
          <w:rFonts w:ascii="Times New Roman" w:cs="Times New Roman" w:eastAsia="Times New Roman" w:hAnsi="Times New Roman"/>
          <w:sz w:val="15"/>
          <w:szCs w:val="15"/>
          <w:color w:val="auto"/>
        </w:rPr>
        <w:t>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This prospectus and the documents incorporated by reference 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70" w:lineRule="exact"/>
        <w:rPr>
          <w:sz w:val="20"/>
          <w:szCs w:val="20"/>
          <w:color w:val="auto"/>
        </w:rPr>
      </w:pPr>
    </w:p>
    <w:p>
      <w:pPr>
        <w:ind w:left="980" w:right="999"/>
        <w:spacing w:after="0" w:line="260" w:lineRule="auto"/>
        <w:rPr>
          <w:sz w:val="20"/>
          <w:szCs w:val="20"/>
          <w:color w:val="auto"/>
        </w:rPr>
      </w:pPr>
      <w:r>
        <w:rPr>
          <w:rFonts w:ascii="Times New Roman" w:cs="Times New Roman" w:eastAsia="Times New Roman" w:hAnsi="Times New Roman"/>
          <w:sz w:val="15"/>
          <w:szCs w:val="15"/>
          <w:color w:val="auto"/>
        </w:rPr>
        <w:t>We are offering to sell, and seeking offers to buy, shares of our common stock only in jurisdictions where such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7" w:name="page38"/>
    <w:bookmarkEnd w:id="37"/>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980" w:right="1099"/>
        <w:spacing w:after="0" w:line="260" w:lineRule="auto"/>
        <w:rPr>
          <w:sz w:val="20"/>
          <w:szCs w:val="20"/>
          <w:color w:val="auto"/>
        </w:rPr>
      </w:pPr>
      <w:r>
        <w:rPr>
          <w:rFonts w:ascii="Times New Roman" w:cs="Times New Roman" w:eastAsia="Times New Roman" w:hAnsi="Times New Roman"/>
          <w:sz w:val="15"/>
          <w:szCs w:val="15"/>
          <w:color w:val="auto"/>
        </w:rPr>
        <w:t>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64" w:lineRule="exact"/>
        <w:rPr>
          <w:sz w:val="20"/>
          <w:szCs w:val="20"/>
          <w:color w:val="auto"/>
        </w:rPr>
      </w:pPr>
    </w:p>
    <w:p>
      <w:pPr>
        <w:ind w:left="980" w:right="1039"/>
        <w:spacing w:after="0" w:line="280" w:lineRule="auto"/>
        <w:rPr>
          <w:sz w:val="20"/>
          <w:szCs w:val="20"/>
          <w:color w:val="auto"/>
        </w:rPr>
      </w:pPr>
      <w:r>
        <w:rPr>
          <w:rFonts w:ascii="Times New Roman" w:cs="Times New Roman" w:eastAsia="Times New Roman" w:hAnsi="Times New Roman"/>
          <w:sz w:val="15"/>
          <w:szCs w:val="15"/>
          <w:color w:val="auto"/>
        </w:rPr>
        <w:t>As used in this prospectus, unless the context otherwise requires, references to the “company,” “we,” “us” and “our” refer to AVROBIO, Inc. and, where appropriate, our subsidiaries.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8" w:name="page39"/>
    <w:bookmarkEnd w:id="38"/>
    <w:p>
      <w:pPr>
        <w:ind w:left="80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73660</wp:posOffset>
            </wp:positionV>
            <wp:extent cx="4720590" cy="6409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720590" cy="6409055"/>
                    </a:xfrm>
                    <a:prstGeom prst="rect">
                      <a:avLst/>
                    </a:prstGeom>
                    <a:noFill/>
                  </pic:spPr>
                </pic:pic>
              </a:graphicData>
            </a:graphic>
          </wp:anchor>
        </w:drawing>
      </w: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00" w:lineRule="exact"/>
        <w:rPr>
          <w:sz w:val="20"/>
          <w:szCs w:val="20"/>
          <w:color w:val="auto"/>
        </w:rPr>
      </w:pPr>
    </w:p>
    <w:p>
      <w:pPr>
        <w:ind w:left="1000" w:right="1079"/>
        <w:spacing w:after="0" w:line="261"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about us and this offering and does not contain all of the information that you should consider before investing in our securities. Before investing in our common stock, you should carefully read the information contained and incorporated by reference in this prospectus, including the section titled “Risk Factors” and the financial statements and accompanying notes.</w:t>
      </w:r>
    </w:p>
    <w:p>
      <w:pPr>
        <w:spacing w:after="0" w:line="2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102" w:lineRule="exact"/>
        <w:rPr>
          <w:sz w:val="20"/>
          <w:szCs w:val="20"/>
          <w:color w:val="auto"/>
        </w:rPr>
      </w:pPr>
    </w:p>
    <w:p>
      <w:pPr>
        <w:ind w:left="1000" w:right="999"/>
        <w:spacing w:after="0" w:line="253" w:lineRule="auto"/>
        <w:rPr>
          <w:sz w:val="20"/>
          <w:szCs w:val="20"/>
          <w:color w:val="auto"/>
        </w:rPr>
      </w:pPr>
      <w:r>
        <w:rPr>
          <w:rFonts w:ascii="Times New Roman" w:cs="Times New Roman" w:eastAsia="Times New Roman" w:hAnsi="Times New Roman"/>
          <w:sz w:val="15"/>
          <w:szCs w:val="15"/>
          <w:color w:val="auto"/>
        </w:rPr>
        <w:t>We are a leading clinical-stage gene therapy company with a shared purpose to free people from a lifetime of genetic disease. Our company is focused on developing potentially curative hematopoietic stem cell, or HSC, gene therapies (which we sometimes refer to as ex vivo lentiviral gene therapies) to treat patients with rare diseases following a single dose treatment regimen. Our gene therapies employ HSCs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$3.4 billion in worldwide net sales in 2021.</w:t>
      </w:r>
    </w:p>
    <w:p>
      <w:pPr>
        <w:spacing w:after="0" w:line="73" w:lineRule="exact"/>
        <w:rPr>
          <w:sz w:val="20"/>
          <w:szCs w:val="20"/>
          <w:color w:val="auto"/>
        </w:rPr>
      </w:pPr>
    </w:p>
    <w:p>
      <w:pPr>
        <w:ind w:left="1000" w:right="1039"/>
        <w:spacing w:after="0" w:line="253" w:lineRule="auto"/>
        <w:rPr>
          <w:sz w:val="20"/>
          <w:szCs w:val="20"/>
          <w:color w:val="auto"/>
        </w:rPr>
      </w:pPr>
      <w:r>
        <w:rPr>
          <w:rFonts w:ascii="Times New Roman" w:cs="Times New Roman" w:eastAsia="Times New Roman" w:hAnsi="Times New Roman"/>
          <w:sz w:val="15"/>
          <w:szCs w:val="15"/>
          <w:color w:val="auto"/>
        </w:rPr>
        <w:t xml:space="preserve">Since its first clinical use in 2003, lentiviral gene therapy has been studied in several third parties’ clinical trials for rare diseases such as transfusion-dependent beta thalassemia, cerebral adrenoleukodystrophy, or CALD, metachromatic leukodystrophy, or MLD, and adenosine deaminase severe combined immunodeficiency, or ADA-SCID. To date, hundreds of patients have been treated with lentiviral gene therapies in third parties’ and our rare disease clinical trials, and we believe the technology can be developed for other serious conditions based on a rigorous risk/benefit assessment. The ablation procedure, also known as the conditioning regimen, is typically an essential step in the </w:t>
      </w:r>
      <w:r>
        <w:rPr>
          <w:rFonts w:ascii="Times New Roman" w:cs="Times New Roman" w:eastAsia="Times New Roman" w:hAnsi="Times New Roman"/>
          <w:sz w:val="15"/>
          <w:szCs w:val="15"/>
          <w:i w:val="1"/>
          <w:iCs w:val="1"/>
          <w:color w:val="auto"/>
        </w:rPr>
        <w:t>ex vivo</w:t>
      </w:r>
      <w:r>
        <w:rPr>
          <w:rFonts w:ascii="Times New Roman" w:cs="Times New Roman" w:eastAsia="Times New Roman" w:hAnsi="Times New Roman"/>
          <w:sz w:val="15"/>
          <w:szCs w:val="15"/>
          <w:color w:val="auto"/>
        </w:rPr>
        <w:t xml:space="preserve"> gene therapy treatment procedure and is administered prior to the gene therapy. We have worked to optimize the conditioning regimen through utilization of a precision busulfan dosing program, which we refer to as Target Concentration Intervention, or TCI. TCI is designed to enable careful titrating of exposure to the conditioning drug to a specific area under the curve, or AuC. The conditioning regimen utilized as part of our plato platform includes TCI to assess how rapidly the individual patient metabolizes the conditioning agent so physicians can adjust the dose as needed, with a goal of minimizing side effects from conditioning while maximizing the potential of durable engraftment. We believe our approach to conditioning has the potential to extend the reach of our gene therapies to a broad range of diseases as first-line therapies.</w:t>
      </w:r>
    </w:p>
    <w:p>
      <w:pPr>
        <w:spacing w:after="0" w:line="68" w:lineRule="exact"/>
        <w:rPr>
          <w:sz w:val="20"/>
          <w:szCs w:val="20"/>
          <w:color w:val="auto"/>
        </w:rPr>
      </w:pPr>
    </w:p>
    <w:p>
      <w:pPr>
        <w:ind w:left="1000" w:right="999"/>
        <w:spacing w:after="0" w:line="252" w:lineRule="auto"/>
        <w:rPr>
          <w:sz w:val="20"/>
          <w:szCs w:val="20"/>
          <w:color w:val="auto"/>
        </w:rPr>
      </w:pPr>
      <w:r>
        <w:rPr>
          <w:rFonts w:ascii="Times New Roman" w:cs="Times New Roman" w:eastAsia="Times New Roman" w:hAnsi="Times New Roman"/>
          <w:sz w:val="15"/>
          <w:szCs w:val="15"/>
          <w:color w:val="auto"/>
        </w:rPr>
        <w:t>We are initially targeting rare lysosomal disorders in which the current standard of care provides the mechanistic proof that the enzymes or proteins produced endogenously following treatment with our gene therapies can offer benefit to patients. Typically, in lysosomal disorders, a gene mutation results in the deficiency or malfunctioning of an enzyme or other protein. This results in the inability of lysosomes to properly process cellular materials such as damaged organelles. As a result, substrates and their metabolites accumulate to toxic levels in the body’s cells and, in turn, disrupt the function of multiple tissues and organs. Gaucher disease (types 1 and 3), Hunter syndrome and Pompe disease are currently primarily managed by bi-weekly (or weekly in the case of Hunter syndrome), multi-hour infusions with ERTs that seek to exogenously replace the missing functional enzyme. However, given their pharmacokinetics, most ERTs typically remain in the plasma only for a short period of time and thus are not ideal because they are only dosed weekly or every two weeks. Cystinosis is currently treated with two oral formulations of cysteamine that must be taken orally every 12 or six hours, leading to significant pill burden and compliance challenges. Further, oral cysteamine treatment has no effect on ocular cystine crystal deposits, thus requiring patients to be treated with topical cysteamine eye drops which must be applied as frequently as each hour the patient is awake. These existing therapies manage, rather than cure, the underlying diseases and, as a result, patients continue to have disease progression. Further, the frequent, periodic and life-long dosing schedule required for ERTs and cysteamine results in significant costs for the healthcare system and is burdensome for the patient.</w:t>
      </w:r>
    </w:p>
    <w:p>
      <w:pPr>
        <w:spacing w:after="0" w:line="77" w:lineRule="exact"/>
        <w:rPr>
          <w:sz w:val="20"/>
          <w:szCs w:val="20"/>
          <w:color w:val="auto"/>
        </w:rPr>
      </w:pPr>
    </w:p>
    <w:p>
      <w:pPr>
        <w:ind w:left="1000" w:right="1239"/>
        <w:spacing w:after="0" w:line="317" w:lineRule="auto"/>
        <w:rPr>
          <w:sz w:val="20"/>
          <w:szCs w:val="20"/>
          <w:color w:val="auto"/>
        </w:rPr>
      </w:pPr>
      <w:r>
        <w:rPr>
          <w:rFonts w:ascii="Times New Roman" w:cs="Times New Roman" w:eastAsia="Times New Roman" w:hAnsi="Times New Roman"/>
          <w:sz w:val="14"/>
          <w:szCs w:val="14"/>
          <w:color w:val="auto"/>
        </w:rPr>
        <w:t>We believe our gene therapies leverage the well-understood mechanism of ERTs by transforming a patient’s own cells into a drug product that enables the patient to express functional enzyme or other protein and mirror the</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39" w:name="page40"/>
    <w:bookmarkEnd w:id="39"/>
    <w:p>
      <w:pPr>
        <w:ind w:left="80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73660</wp:posOffset>
            </wp:positionV>
            <wp:extent cx="4720590" cy="66954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720590" cy="6695440"/>
                    </a:xfrm>
                    <a:prstGeom prst="rect">
                      <a:avLst/>
                    </a:prstGeom>
                    <a:noFill/>
                  </pic:spPr>
                </pic:pic>
              </a:graphicData>
            </a:graphic>
          </wp:anchor>
        </w:drawing>
      </w:r>
    </w:p>
    <w:p>
      <w:pPr>
        <w:spacing w:after="0" w:line="390" w:lineRule="exact"/>
        <w:rPr>
          <w:sz w:val="20"/>
          <w:szCs w:val="20"/>
          <w:color w:val="auto"/>
        </w:rPr>
      </w:pPr>
    </w:p>
    <w:p>
      <w:pPr>
        <w:ind w:left="1000" w:right="1259"/>
        <w:spacing w:after="0" w:line="265" w:lineRule="auto"/>
        <w:rPr>
          <w:sz w:val="20"/>
          <w:szCs w:val="20"/>
          <w:color w:val="auto"/>
        </w:rPr>
      </w:pPr>
      <w:r>
        <w:rPr>
          <w:rFonts w:ascii="Times New Roman" w:cs="Times New Roman" w:eastAsia="Times New Roman" w:hAnsi="Times New Roman"/>
          <w:sz w:val="15"/>
          <w:szCs w:val="15"/>
          <w:color w:val="auto"/>
        </w:rPr>
        <w:t>biology seen in an otherwise healthy individual. We believe that a single dose of our gene therapies may provide meaningful life-long benefit to these patients and potentially halt the progression of these diseases while also potentially providing significant health economic advantages.</w:t>
      </w:r>
    </w:p>
    <w:p>
      <w:pPr>
        <w:spacing w:after="0" w:line="15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b w:val="1"/>
          <w:bCs w:val="1"/>
          <w:color w:val="auto"/>
        </w:rPr>
        <w:t>plato: Our Commercially-Scalable Platform</w:t>
      </w:r>
    </w:p>
    <w:p>
      <w:pPr>
        <w:spacing w:after="0" w:line="102" w:lineRule="exact"/>
        <w:rPr>
          <w:sz w:val="20"/>
          <w:szCs w:val="20"/>
          <w:color w:val="auto"/>
        </w:rPr>
      </w:pPr>
    </w:p>
    <w:p>
      <w:pPr>
        <w:ind w:left="1000" w:right="999"/>
        <w:spacing w:after="0" w:line="253" w:lineRule="auto"/>
        <w:rPr>
          <w:sz w:val="20"/>
          <w:szCs w:val="20"/>
          <w:color w:val="auto"/>
        </w:rPr>
      </w:pPr>
      <w:r>
        <w:rPr>
          <w:rFonts w:ascii="Times New Roman" w:cs="Times New Roman" w:eastAsia="Times New Roman" w:hAnsi="Times New Roman"/>
          <w:sz w:val="15"/>
          <w:szCs w:val="15"/>
          <w:color w:val="auto"/>
        </w:rPr>
        <w:t>In addition to developing first-line gene therapies, an important key to our strategy is to continuously improve our technology and production processes and to leverage these improvements across our gene therapies, if approved. Plato is designed to provide the foundation for the potential worldwide commercialization of our gene therapies. It is an ex vivo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Plato has been used to dose a total of ten patients in our clinical trials, which includes six patients from our FAB-GT trial, and we intend to utilize the plato platform for all future patients enrolling in our company-sponsored clinical trials. We believe our plato platform may lead to better patient outcomes and will represent a significant advance in our industry towards achieving the quality and scale required for global commercialization of gene therapies.</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b w:val="1"/>
          <w:bCs w:val="1"/>
          <w:color w:val="auto"/>
        </w:rPr>
        <w:t>Corporate History</w:t>
      </w:r>
    </w:p>
    <w:p>
      <w:pPr>
        <w:spacing w:after="0" w:line="102" w:lineRule="exact"/>
        <w:rPr>
          <w:sz w:val="20"/>
          <w:szCs w:val="20"/>
          <w:color w:val="auto"/>
        </w:rPr>
      </w:pPr>
    </w:p>
    <w:p>
      <w:pPr>
        <w:ind w:left="1000" w:right="1159"/>
        <w:spacing w:after="0" w:line="255" w:lineRule="auto"/>
        <w:rPr>
          <w:sz w:val="20"/>
          <w:szCs w:val="20"/>
          <w:color w:val="auto"/>
        </w:rPr>
      </w:pPr>
      <w:r>
        <w:rPr>
          <w:rFonts w:ascii="Times New Roman" w:cs="Times New Roman" w:eastAsia="Times New Roman" w:hAnsi="Times New Roman"/>
          <w:sz w:val="15"/>
          <w:szCs w:val="15"/>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100 Technology Square, Sixth Floor, Cambridge, Massachusetts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 Our common stock trades on Nasdaq under the symbol “AVRO.”</w:t>
      </w: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w:t>
      </w:r>
    </w:p>
    <w:p>
      <w:pPr>
        <w:spacing w:after="0" w:line="102" w:lineRule="exact"/>
        <w:rPr>
          <w:sz w:val="20"/>
          <w:szCs w:val="20"/>
          <w:color w:val="auto"/>
        </w:rPr>
      </w:pPr>
    </w:p>
    <w:p>
      <w:pPr>
        <w:ind w:left="1000" w:right="999"/>
        <w:spacing w:after="0" w:line="265" w:lineRule="auto"/>
        <w:rPr>
          <w:sz w:val="20"/>
          <w:szCs w:val="20"/>
          <w:color w:val="auto"/>
        </w:rPr>
      </w:pPr>
      <w:r>
        <w:rPr>
          <w:rFonts w:ascii="Times New Roman" w:cs="Times New Roman" w:eastAsia="Times New Roman" w:hAnsi="Times New Roman"/>
          <w:sz w:val="15"/>
          <w:szCs w:val="15"/>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60" w:lineRule="exact"/>
        <w:rPr>
          <w:sz w:val="20"/>
          <w:szCs w:val="20"/>
          <w:color w:val="auto"/>
        </w:rPr>
      </w:pPr>
    </w:p>
    <w:p>
      <w:pPr>
        <w:ind w:left="1600" w:right="1059" w:hanging="296"/>
        <w:spacing w:after="0" w:line="265"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9" w:lineRule="exact"/>
        <w:rPr>
          <w:rFonts w:ascii="Times New Roman" w:cs="Times New Roman" w:eastAsia="Times New Roman" w:hAnsi="Times New Roman"/>
          <w:sz w:val="15"/>
          <w:szCs w:val="15"/>
          <w:color w:val="auto"/>
        </w:rPr>
      </w:pPr>
    </w:p>
    <w:p>
      <w:pPr>
        <w:ind w:left="1600" w:hanging="296"/>
        <w:spacing w:after="0"/>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about our executive compensation arrangements;</w:t>
      </w:r>
    </w:p>
    <w:p>
      <w:pPr>
        <w:spacing w:after="0" w:line="97" w:lineRule="exact"/>
        <w:rPr>
          <w:rFonts w:ascii="Times New Roman" w:cs="Times New Roman" w:eastAsia="Times New Roman" w:hAnsi="Times New Roman"/>
          <w:sz w:val="15"/>
          <w:szCs w:val="15"/>
          <w:color w:val="auto"/>
        </w:rPr>
      </w:pPr>
    </w:p>
    <w:p>
      <w:pPr>
        <w:ind w:left="1600" w:hanging="296"/>
        <w:spacing w:after="0"/>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advisory votes on executive compensation or golden parachute arrangements;</w:t>
      </w:r>
    </w:p>
    <w:p>
      <w:pPr>
        <w:spacing w:after="0" w:line="97" w:lineRule="exact"/>
        <w:rPr>
          <w:rFonts w:ascii="Times New Roman" w:cs="Times New Roman" w:eastAsia="Times New Roman" w:hAnsi="Times New Roman"/>
          <w:sz w:val="15"/>
          <w:szCs w:val="15"/>
          <w:color w:val="auto"/>
        </w:rPr>
      </w:pPr>
    </w:p>
    <w:p>
      <w:pPr>
        <w:ind w:left="1600" w:right="1019" w:hanging="296"/>
        <w:spacing w:after="0" w:line="280"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 from the auditor attestation requirement in the assessment of our internal control over financial reporting; and</w:t>
      </w:r>
    </w:p>
    <w:p>
      <w:pPr>
        <w:spacing w:after="0" w:line="48" w:lineRule="exact"/>
        <w:rPr>
          <w:rFonts w:ascii="Times New Roman" w:cs="Times New Roman" w:eastAsia="Times New Roman" w:hAnsi="Times New Roman"/>
          <w:sz w:val="15"/>
          <w:szCs w:val="15"/>
          <w:color w:val="auto"/>
        </w:rPr>
      </w:pPr>
    </w:p>
    <w:p>
      <w:pPr>
        <w:ind w:left="1600" w:right="1099" w:hanging="296"/>
        <w:spacing w:after="0" w:line="265"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60" w:lineRule="exact"/>
        <w:rPr>
          <w:sz w:val="20"/>
          <w:szCs w:val="20"/>
          <w:color w:val="auto"/>
        </w:rPr>
      </w:pPr>
    </w:p>
    <w:p>
      <w:pPr>
        <w:ind w:left="1000" w:right="1239"/>
        <w:spacing w:after="0" w:line="278" w:lineRule="auto"/>
        <w:rPr>
          <w:sz w:val="20"/>
          <w:szCs w:val="20"/>
          <w:color w:val="auto"/>
        </w:rPr>
      </w:pPr>
      <w:r>
        <w:rPr>
          <w:rFonts w:ascii="Times New Roman" w:cs="Times New Roman" w:eastAsia="Times New Roman" w:hAnsi="Times New Roman"/>
          <w:sz w:val="14"/>
          <w:szCs w:val="14"/>
          <w:color w:val="auto"/>
        </w:rPr>
        <w:t>We may take advantage of these exemptions for up to five years or such earlier time that we are no longer an emerging growth company. We would cease to be an emerging growth company on the date that is the earliest of</w:t>
      </w:r>
    </w:p>
    <w:p>
      <w:pPr>
        <w:spacing w:after="0" w:line="1" w:lineRule="exact"/>
        <w:rPr>
          <w:sz w:val="20"/>
          <w:szCs w:val="20"/>
          <w:color w:val="auto"/>
        </w:rPr>
      </w:pPr>
    </w:p>
    <w:p>
      <w:pPr>
        <w:ind w:left="1000" w:right="999" w:firstLine="3"/>
        <w:spacing w:after="0" w:line="252" w:lineRule="auto"/>
        <w:tabs>
          <w:tab w:leader="none" w:pos="1179"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last day of the fiscal year in which we have total annual gross revenues of $1.235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40" w:name="page41"/>
    <w:bookmarkEnd w:id="40"/>
    <w:p>
      <w:pPr>
        <w:ind w:left="80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73660</wp:posOffset>
            </wp:positionV>
            <wp:extent cx="4720590" cy="778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4720590" cy="778510"/>
                    </a:xfrm>
                    <a:prstGeom prst="rect">
                      <a:avLst/>
                    </a:prstGeom>
                    <a:noFill/>
                  </pic:spPr>
                </pic:pic>
              </a:graphicData>
            </a:graphic>
          </wp:anchor>
        </w:drawing>
      </w:r>
    </w:p>
    <w:p>
      <w:pPr>
        <w:spacing w:after="0" w:line="390" w:lineRule="exact"/>
        <w:rPr>
          <w:sz w:val="20"/>
          <w:szCs w:val="20"/>
          <w:color w:val="auto"/>
        </w:rPr>
      </w:pPr>
    </w:p>
    <w:p>
      <w:pPr>
        <w:ind w:left="1000" w:right="1099"/>
        <w:spacing w:after="0" w:line="260" w:lineRule="auto"/>
        <w:rPr>
          <w:sz w:val="20"/>
          <w:szCs w:val="20"/>
          <w:color w:val="auto"/>
        </w:rPr>
      </w:pPr>
      <w:r>
        <w:rPr>
          <w:rFonts w:ascii="Times New Roman" w:cs="Times New Roman" w:eastAsia="Times New Roman" w:hAnsi="Times New Roman"/>
          <w:sz w:val="15"/>
          <w:szCs w:val="15"/>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41" w:name="page42"/>
    <w:bookmarkEnd w:id="41"/>
    <w:p>
      <w:pPr>
        <w:ind w:left="80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73660</wp:posOffset>
            </wp:positionV>
            <wp:extent cx="4720590" cy="6817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720590" cy="6817360"/>
                    </a:xfrm>
                    <a:prstGeom prst="rect">
                      <a:avLst/>
                    </a:prstGeom>
                    <a:noFill/>
                  </pic:spPr>
                </pic:pic>
              </a:graphicData>
            </a:graphic>
          </wp:anchor>
        </w:drawing>
      </w:r>
    </w:p>
    <w:p>
      <w:pPr>
        <w:spacing w:after="0" w:line="386" w:lineRule="exact"/>
        <w:rPr>
          <w:sz w:val="20"/>
          <w:szCs w:val="20"/>
          <w:color w:val="auto"/>
        </w:rPr>
      </w:pPr>
    </w:p>
    <w:tbl>
      <w:tblPr>
        <w:tblLayout w:type="fixed"/>
        <w:tblInd w:w="1000" w:type="dxa"/>
        <w:tblCellMar>
          <w:top w:w="0" w:type="dxa"/>
          <w:left w:w="0" w:type="dxa"/>
          <w:bottom w:w="0" w:type="dxa"/>
          <w:right w:w="0" w:type="dxa"/>
        </w:tblCellMar>
      </w:tblPr>
      <w:tr>
        <w:trPr>
          <w:trHeight w:val="198"/>
        </w:trPr>
        <w:tc>
          <w:tcPr>
            <w:tcW w:w="2500" w:type="dxa"/>
            <w:vAlign w:val="bottom"/>
          </w:tcPr>
          <w:p>
            <w:pPr>
              <w:spacing w:after="0"/>
              <w:rPr>
                <w:sz w:val="17"/>
                <w:szCs w:val="17"/>
                <w:color w:val="auto"/>
              </w:rPr>
            </w:pPr>
          </w:p>
        </w:tc>
        <w:tc>
          <w:tcPr>
            <w:tcW w:w="452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THE OFFERING</w:t>
            </w:r>
          </w:p>
        </w:tc>
        <w:tc>
          <w:tcPr>
            <w:tcW w:w="0" w:type="dxa"/>
            <w:vAlign w:val="bottom"/>
          </w:tcPr>
          <w:p>
            <w:pPr>
              <w:spacing w:after="0"/>
              <w:rPr>
                <w:sz w:val="1"/>
                <w:szCs w:val="1"/>
                <w:color w:val="auto"/>
              </w:rPr>
            </w:pPr>
          </w:p>
        </w:tc>
      </w:tr>
      <w:tr>
        <w:trPr>
          <w:trHeight w:val="268"/>
        </w:trPr>
        <w:tc>
          <w:tcPr>
            <w:tcW w:w="2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Common stock offered by us</w:t>
            </w: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Shares of our common stock having an aggregate offering price of</w:t>
            </w: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up to $50,000,000.</w:t>
            </w:r>
          </w:p>
        </w:tc>
        <w:tc>
          <w:tcPr>
            <w:tcW w:w="0" w:type="dxa"/>
            <w:vAlign w:val="bottom"/>
          </w:tcPr>
          <w:p>
            <w:pPr>
              <w:spacing w:after="0"/>
              <w:rPr>
                <w:sz w:val="1"/>
                <w:szCs w:val="1"/>
                <w:color w:val="auto"/>
              </w:rPr>
            </w:pPr>
          </w:p>
        </w:tc>
      </w:t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Common stock to be outstanding</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5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immediately after this offering</w:t>
            </w: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Up to 117,848,114 shares (as more fully described in the notes</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following this table), assuming sales of 74,074,074 shares of our</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common stock in this offering at an offering price of $0.675 per</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share, which was the last reported sale price of our common stock</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on Nasdaq on November 3, 2022. The actual number of shares</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issued will vary depending on how many shares of our common</w:t>
            </w: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stock we choose to sell and the prices at which such sales occur.</w:t>
            </w:r>
          </w:p>
        </w:tc>
        <w:tc>
          <w:tcPr>
            <w:tcW w:w="0" w:type="dxa"/>
            <w:vAlign w:val="bottom"/>
          </w:tcPr>
          <w:p>
            <w:pPr>
              <w:spacing w:after="0"/>
              <w:rPr>
                <w:sz w:val="1"/>
                <w:szCs w:val="1"/>
                <w:color w:val="auto"/>
              </w:rPr>
            </w:pPr>
          </w:p>
        </w:tc>
      </w:tr>
      <w:tr>
        <w:trPr>
          <w:trHeight w:val="291"/>
        </w:trPr>
        <w:tc>
          <w:tcPr>
            <w:tcW w:w="2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Manner of offering</w:t>
            </w: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“At the market offering” that may be made from time to time on</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Nasdaq or other existing trading market for our common stock</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through our sales agent, Cowen. See “Plan of Distribution” on page</w:t>
            </w:r>
          </w:p>
        </w:tc>
        <w:tc>
          <w:tcPr>
            <w:tcW w:w="0" w:type="dxa"/>
            <w:vAlign w:val="bottom"/>
          </w:tcPr>
          <w:p>
            <w:pPr>
              <w:spacing w:after="0"/>
              <w:rPr>
                <w:sz w:val="1"/>
                <w:szCs w:val="1"/>
                <w:color w:val="auto"/>
              </w:rPr>
            </w:pPr>
          </w:p>
        </w:tc>
      </w:tr>
      <w:tr>
        <w:trPr>
          <w:trHeight w:val="161"/>
        </w:trPr>
        <w:tc>
          <w:tcPr>
            <w:tcW w:w="2500" w:type="dxa"/>
            <w:vAlign w:val="bottom"/>
          </w:tcPr>
          <w:p>
            <w:pPr>
              <w:spacing w:after="0"/>
              <w:rPr>
                <w:sz w:val="14"/>
                <w:szCs w:val="14"/>
                <w:color w:val="auto"/>
              </w:rPr>
            </w:pPr>
          </w:p>
        </w:tc>
        <w:tc>
          <w:tcPr>
            <w:tcW w:w="4520" w:type="dxa"/>
            <w:vAlign w:val="bottom"/>
            <w:gridSpan w:val="5"/>
          </w:tcPr>
          <w:p>
            <w:pPr>
              <w:ind w:left="380"/>
              <w:spacing w:after="0" w:line="161" w:lineRule="exact"/>
              <w:rPr>
                <w:sz w:val="20"/>
                <w:szCs w:val="20"/>
                <w:color w:val="auto"/>
              </w:rPr>
            </w:pPr>
            <w:r>
              <w:rPr>
                <w:rFonts w:ascii="Times New Roman" w:cs="Times New Roman" w:eastAsia="Times New Roman" w:hAnsi="Times New Roman"/>
                <w:sz w:val="15"/>
                <w:szCs w:val="15"/>
                <w:color w:val="auto"/>
              </w:rPr>
              <w:t>SA-</w:t>
            </w:r>
            <w:r>
              <w:rPr>
                <w:rFonts w:ascii="Times New Roman" w:cs="Times New Roman" w:eastAsia="Times New Roman" w:hAnsi="Times New Roman"/>
                <w:sz w:val="15"/>
                <w:szCs w:val="15"/>
                <w:color w:val="0000EE"/>
              </w:rPr>
              <w:t>27</w:t>
            </w:r>
            <w:r>
              <w:rPr>
                <w:rFonts w:ascii="Times New Roman" w:cs="Times New Roman" w:eastAsia="Times New Roman" w:hAnsi="Times New Roman"/>
                <w:sz w:val="15"/>
                <w:szCs w:val="15"/>
                <w:color w:val="auto"/>
              </w:rPr>
              <w:t xml:space="preserve"> of this prospectus.</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Use of proceeds</w:t>
            </w:r>
          </w:p>
        </w:tc>
        <w:tc>
          <w:tcPr>
            <w:tcW w:w="6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500" w:type="dxa"/>
            <w:vAlign w:val="bottom"/>
            <w:vMerge w:val="continue"/>
          </w:tcPr>
          <w:p>
            <w:pPr>
              <w:spacing w:after="0"/>
              <w:rPr>
                <w:sz w:val="24"/>
                <w:szCs w:val="24"/>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Our management will retain broad discretion regarding the</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w w:val="99"/>
              </w:rPr>
              <w:t>allocation and use of the net proceeds. We currently intend to use the</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net proceeds from this offering primarily to fund activities relating</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to the advancement of our product candidates, and for other general</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corporate purposes, including, but not limited to, research and</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development costs, potential strategic acquisitions of</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complementary businesses, services or technologies, expansion of</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our technology infrastructure and capabilities, repayment of debt,</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45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working capital and capital expenditures. See “Use of Proceeds” on</w:t>
            </w:r>
          </w:p>
        </w:tc>
        <w:tc>
          <w:tcPr>
            <w:tcW w:w="0" w:type="dxa"/>
            <w:vAlign w:val="bottom"/>
          </w:tcPr>
          <w:p>
            <w:pPr>
              <w:spacing w:after="0"/>
              <w:rPr>
                <w:sz w:val="1"/>
                <w:szCs w:val="1"/>
                <w:color w:val="auto"/>
              </w:rPr>
            </w:pPr>
          </w:p>
        </w:tc>
      </w:tr>
      <w:tr>
        <w:trPr>
          <w:trHeight w:val="161"/>
        </w:trPr>
        <w:tc>
          <w:tcPr>
            <w:tcW w:w="2500" w:type="dxa"/>
            <w:vAlign w:val="bottom"/>
          </w:tcPr>
          <w:p>
            <w:pPr>
              <w:spacing w:after="0"/>
              <w:rPr>
                <w:sz w:val="14"/>
                <w:szCs w:val="14"/>
                <w:color w:val="auto"/>
              </w:rPr>
            </w:pPr>
          </w:p>
        </w:tc>
        <w:tc>
          <w:tcPr>
            <w:tcW w:w="4520" w:type="dxa"/>
            <w:vAlign w:val="bottom"/>
            <w:gridSpan w:val="5"/>
          </w:tcPr>
          <w:p>
            <w:pPr>
              <w:ind w:left="380"/>
              <w:spacing w:after="0" w:line="161" w:lineRule="exact"/>
              <w:rPr>
                <w:sz w:val="20"/>
                <w:szCs w:val="20"/>
                <w:color w:val="auto"/>
              </w:rPr>
            </w:pPr>
            <w:r>
              <w:rPr>
                <w:rFonts w:ascii="Times New Roman" w:cs="Times New Roman" w:eastAsia="Times New Roman" w:hAnsi="Times New Roman"/>
                <w:sz w:val="15"/>
                <w:szCs w:val="15"/>
                <w:color w:val="auto"/>
              </w:rPr>
              <w:t>page SA-</w:t>
            </w:r>
            <w:r>
              <w:rPr>
                <w:rFonts w:ascii="Times New Roman" w:cs="Times New Roman" w:eastAsia="Times New Roman" w:hAnsi="Times New Roman"/>
                <w:sz w:val="15"/>
                <w:szCs w:val="15"/>
                <w:color w:val="0000EE"/>
              </w:rPr>
              <w:t>14</w:t>
            </w:r>
            <w:r>
              <w:rPr>
                <w:rFonts w:ascii="Times New Roman" w:cs="Times New Roman" w:eastAsia="Times New Roman" w:hAnsi="Times New Roman"/>
                <w:sz w:val="15"/>
                <w:szCs w:val="15"/>
                <w:color w:val="auto"/>
              </w:rPr>
              <w:t xml:space="preserve"> of this prospectus.</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ectPr>
          <w:pgSz w:w="11900" w:h="16838" w:orient="portrait"/>
          <w:cols w:equalWidth="0" w:num="1">
            <w:col w:w="9019"/>
          </w:cols>
          <w:pgMar w:left="1440" w:top="242" w:right="1440" w:bottom="1440" w:gutter="0" w:footer="0" w:header="0"/>
        </w:sectPr>
      </w:pPr>
    </w:p>
    <w:p>
      <w:pPr>
        <w:ind w:left="1000"/>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60" w:hanging="149"/>
        <w:spacing w:after="0" w:line="286" w:lineRule="auto"/>
        <w:rPr>
          <w:sz w:val="20"/>
          <w:szCs w:val="20"/>
          <w:color w:val="auto"/>
        </w:rPr>
      </w:pPr>
      <w:r>
        <w:rPr>
          <w:rFonts w:ascii="Times New Roman" w:cs="Times New Roman" w:eastAsia="Times New Roman" w:hAnsi="Times New Roman"/>
          <w:sz w:val="15"/>
          <w:szCs w:val="15"/>
          <w:b w:val="1"/>
          <w:bCs w:val="1"/>
          <w:color w:val="auto"/>
        </w:rPr>
        <w:t>The Nasdaq Global Select Market symbol</w:t>
      </w:r>
    </w:p>
    <w:p>
      <w:pPr>
        <w:spacing w:after="0" w:line="20" w:lineRule="exact"/>
        <w:rPr>
          <w:sz w:val="20"/>
          <w:szCs w:val="20"/>
          <w:color w:val="auto"/>
        </w:rPr>
      </w:pPr>
      <w:r>
        <w:rPr>
          <w:sz w:val="20"/>
          <w:szCs w:val="20"/>
          <w:color w:val="auto"/>
        </w:rPr>
        <w:br w:type="column"/>
      </w:r>
    </w:p>
    <w:p>
      <w:pPr>
        <w:ind w:right="999"/>
        <w:spacing w:after="0" w:line="258" w:lineRule="auto"/>
        <w:rPr>
          <w:sz w:val="20"/>
          <w:szCs w:val="20"/>
          <w:color w:val="auto"/>
        </w:rPr>
      </w:pPr>
      <w:r>
        <w:rPr>
          <w:rFonts w:ascii="Times New Roman" w:cs="Times New Roman" w:eastAsia="Times New Roman" w:hAnsi="Times New Roman"/>
          <w:sz w:val="15"/>
          <w:szCs w:val="15"/>
          <w:color w:val="auto"/>
        </w:rPr>
        <w:t>Investing in our common stock involves significant risks. See “Risk Factors” on page SA-</w:t>
      </w:r>
      <w:r>
        <w:rPr>
          <w:rFonts w:ascii="Times New Roman" w:cs="Times New Roman" w:eastAsia="Times New Roman" w:hAnsi="Times New Roman"/>
          <w:sz w:val="15"/>
          <w:szCs w:val="15"/>
          <w:u w:val="single" w:color="auto"/>
          <w:color w:val="0000EE"/>
        </w:rPr>
        <w:t>7</w:t>
      </w:r>
      <w:r>
        <w:rPr>
          <w:rFonts w:ascii="Times New Roman" w:cs="Times New Roman" w:eastAsia="Times New Roman" w:hAnsi="Times New Roman"/>
          <w:sz w:val="15"/>
          <w:szCs w:val="15"/>
          <w:color w:val="auto"/>
        </w:rPr>
        <w:t xml:space="preserve"> of this prospectus and under similar headings in the documents incorporated by reference into this prospectus for a discussion of the factors you should carefully consider before deciding to invest in our common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“AVRO”</w:t>
      </w:r>
    </w:p>
    <w:p>
      <w:pPr>
        <w:spacing w:after="0" w:line="97" w:lineRule="exact"/>
        <w:rPr>
          <w:sz w:val="20"/>
          <w:szCs w:val="20"/>
          <w:color w:val="auto"/>
        </w:rPr>
      </w:pPr>
    </w:p>
    <w:p>
      <w:pPr>
        <w:sectPr>
          <w:pgSz w:w="11900" w:h="16838" w:orient="portrait"/>
          <w:cols w:equalWidth="0" w:num="2">
            <w:col w:w="3180" w:space="700"/>
            <w:col w:w="5139"/>
          </w:cols>
          <w:pgMar w:left="1440" w:top="242" w:right="1440" w:bottom="1440" w:gutter="0" w:footer="0" w:header="0"/>
          <w:type w:val="continuous"/>
        </w:sectPr>
      </w:pPr>
    </w:p>
    <w:p>
      <w:pPr>
        <w:ind w:left="1000" w:right="1059"/>
        <w:spacing w:after="0" w:line="260" w:lineRule="auto"/>
        <w:rPr>
          <w:sz w:val="20"/>
          <w:szCs w:val="20"/>
          <w:color w:val="auto"/>
        </w:rPr>
      </w:pPr>
      <w:r>
        <w:rPr>
          <w:rFonts w:ascii="Times New Roman" w:cs="Times New Roman" w:eastAsia="Times New Roman" w:hAnsi="Times New Roman"/>
          <w:sz w:val="15"/>
          <w:szCs w:val="15"/>
          <w:color w:val="auto"/>
        </w:rPr>
        <w:t>All information in this prospectus related to the number of shares of our common stock to be outstanding immediately after this offering is based on 43,774,040 shares of our common stock outstanding as of September 30, 2022. The number of shares outstanding as of September 30, 2022 as used throughout this prospectus, unless otherwise indicated, excludes:</w:t>
      </w:r>
    </w:p>
    <w:p>
      <w:pPr>
        <w:spacing w:after="0" w:line="64" w:lineRule="exact"/>
        <w:rPr>
          <w:sz w:val="20"/>
          <w:szCs w:val="20"/>
          <w:color w:val="auto"/>
        </w:rPr>
      </w:pPr>
    </w:p>
    <w:p>
      <w:pPr>
        <w:ind w:left="1600" w:right="1659" w:hanging="296"/>
        <w:spacing w:after="0" w:line="280"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8,083,363 shares of common stock issuable upon the exercise of stock options outstanding as of September 30, 2022 at a weighted-average exercise price of $9.05 per share;</w:t>
      </w:r>
    </w:p>
    <w:p>
      <w:pPr>
        <w:spacing w:after="0" w:line="48" w:lineRule="exact"/>
        <w:rPr>
          <w:rFonts w:ascii="Times New Roman" w:cs="Times New Roman" w:eastAsia="Times New Roman" w:hAnsi="Times New Roman"/>
          <w:sz w:val="15"/>
          <w:szCs w:val="15"/>
          <w:color w:val="auto"/>
        </w:rPr>
      </w:pPr>
    </w:p>
    <w:p>
      <w:pPr>
        <w:ind w:left="1600" w:right="1379" w:hanging="296"/>
        <w:spacing w:after="0" w:line="280"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870,536 shares of common stock issuable upon the vesting of restricted stock units outstanding as of September 30, 2022;</w:t>
      </w:r>
    </w:p>
    <w:p>
      <w:pPr>
        <w:spacing w:after="0" w:line="48" w:lineRule="exact"/>
        <w:rPr>
          <w:rFonts w:ascii="Times New Roman" w:cs="Times New Roman" w:eastAsia="Times New Roman" w:hAnsi="Times New Roman"/>
          <w:sz w:val="15"/>
          <w:szCs w:val="15"/>
          <w:color w:val="auto"/>
        </w:rPr>
      </w:pPr>
    </w:p>
    <w:p>
      <w:pPr>
        <w:ind w:left="1600" w:right="1579" w:hanging="296"/>
        <w:spacing w:after="0" w:line="280"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6,661,524 shares of common stock reserved for future issuance under our 2018 Stock Option and Incentive Plan;</w:t>
      </w:r>
    </w:p>
    <w:p>
      <w:pPr>
        <w:spacing w:after="0" w:line="48" w:lineRule="exact"/>
        <w:rPr>
          <w:rFonts w:ascii="Times New Roman" w:cs="Times New Roman" w:eastAsia="Times New Roman" w:hAnsi="Times New Roman"/>
          <w:sz w:val="15"/>
          <w:szCs w:val="15"/>
          <w:color w:val="auto"/>
        </w:rPr>
      </w:pPr>
    </w:p>
    <w:p>
      <w:pPr>
        <w:ind w:left="1600" w:right="1059" w:hanging="296"/>
        <w:spacing w:after="0" w:line="280"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1,467,026 shares of common stock reserved for future issuance under our 2018 Employee Stock Purchase Plan;</w:t>
      </w:r>
    </w:p>
    <w:p>
      <w:pPr>
        <w:spacing w:after="0" w:line="48" w:lineRule="exact"/>
        <w:rPr>
          <w:rFonts w:ascii="Times New Roman" w:cs="Times New Roman" w:eastAsia="Times New Roman" w:hAnsi="Times New Roman"/>
          <w:sz w:val="15"/>
          <w:szCs w:val="15"/>
          <w:color w:val="auto"/>
        </w:rPr>
      </w:pPr>
    </w:p>
    <w:p>
      <w:pPr>
        <w:ind w:left="1600" w:hanging="296"/>
        <w:spacing w:after="0"/>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752,048 shares of common stock reserved for future issuance under our 2019 Inducement Plan; and</w:t>
      </w:r>
    </w:p>
    <w:p>
      <w:pPr>
        <w:spacing w:after="0" w:line="97" w:lineRule="exact"/>
        <w:rPr>
          <w:rFonts w:ascii="Times New Roman" w:cs="Times New Roman" w:eastAsia="Times New Roman" w:hAnsi="Times New Roman"/>
          <w:sz w:val="15"/>
          <w:szCs w:val="15"/>
          <w:color w:val="auto"/>
        </w:rPr>
      </w:pPr>
    </w:p>
    <w:p>
      <w:pPr>
        <w:ind w:left="1600" w:hanging="296"/>
        <w:spacing w:after="0"/>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1,637,000 shares of common stock reserved for future issuance under our 2020 Inducement Plan.</w:t>
      </w:r>
    </w:p>
    <w:p>
      <w:pPr>
        <w:spacing w:after="0" w:line="98" w:lineRule="exact"/>
        <w:rPr>
          <w:sz w:val="20"/>
          <w:szCs w:val="20"/>
          <w:color w:val="auto"/>
        </w:rPr>
      </w:pPr>
    </w:p>
    <w:p>
      <w:pPr>
        <w:ind w:left="1000" w:right="1139"/>
        <w:spacing w:after="0" w:line="265" w:lineRule="auto"/>
        <w:rPr>
          <w:sz w:val="20"/>
          <w:szCs w:val="20"/>
          <w:color w:val="auto"/>
        </w:rPr>
      </w:pPr>
      <w:r>
        <w:rPr>
          <w:rFonts w:ascii="Times New Roman" w:cs="Times New Roman" w:eastAsia="Times New Roman" w:hAnsi="Times New Roman"/>
          <w:sz w:val="15"/>
          <w:szCs w:val="15"/>
          <w:color w:val="auto"/>
        </w:rPr>
        <w:t>Unless otherwise stated, all information contained in this prospectus assumes no exercise of stock options after September 30, 2022 and reflects an assumed public offering price of $0.675, which was the last reported sale price of our common stock on Nasdaq on November 3, 2022.</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type w:val="continuous"/>
        </w:sectPr>
      </w:pPr>
    </w:p>
    <w:bookmarkStart w:id="42" w:name="page43"/>
    <w:bookmarkEnd w:id="42"/>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00" w:lineRule="exact"/>
        <w:rPr>
          <w:sz w:val="20"/>
          <w:szCs w:val="20"/>
          <w:color w:val="auto"/>
        </w:rPr>
      </w:pPr>
    </w:p>
    <w:p>
      <w:pPr>
        <w:ind w:left="980" w:right="1019"/>
        <w:spacing w:after="0" w:line="254" w:lineRule="auto"/>
        <w:rPr>
          <w:sz w:val="20"/>
          <w:szCs w:val="20"/>
          <w:color w:val="auto"/>
        </w:rPr>
      </w:pPr>
      <w:r>
        <w:rPr>
          <w:rFonts w:ascii="Times New Roman" w:cs="Times New Roman" w:eastAsia="Times New Roman" w:hAnsi="Times New Roman"/>
          <w:sz w:val="15"/>
          <w:szCs w:val="15"/>
          <w:i w:val="1"/>
          <w:iCs w:val="1"/>
          <w:color w:val="auto"/>
        </w:rPr>
        <w:t>Investing in our common stock involves a high degree of risk. Before making an investment decision, you should carefully consider the risks described below and in our most recent Annual Report on Form 10-K and any subsequent Quarterly Reports on Form 10-Q or Current Reports on Form 8-K, as well as any amendments thereto reflected in subsequent filings with the SEC, each of which are incorporated by reference in this prospectus, and all of the other information in this prospectus, including our financial statements and related notes incorporated by reference herein. If any of these risks are realized, or if other risks not currently known to us materialize,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Risks Related to This Offering and Our Common Stock</w:t>
      </w:r>
    </w:p>
    <w:p>
      <w:pPr>
        <w:spacing w:after="0" w:line="98" w:lineRule="exact"/>
        <w:rPr>
          <w:sz w:val="20"/>
          <w:szCs w:val="20"/>
          <w:color w:val="auto"/>
        </w:rPr>
      </w:pPr>
    </w:p>
    <w:p>
      <w:pPr>
        <w:ind w:left="980" w:right="1039"/>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The market price of our common stock may be highly volatile, and you may not be able to resell your shares at or above the offering price.</w:t>
      </w:r>
    </w:p>
    <w:p>
      <w:pPr>
        <w:spacing w:after="0" w:line="44" w:lineRule="exact"/>
        <w:rPr>
          <w:sz w:val="20"/>
          <w:szCs w:val="20"/>
          <w:color w:val="auto"/>
        </w:rPr>
      </w:pPr>
    </w:p>
    <w:p>
      <w:pPr>
        <w:ind w:left="980" w:right="1039"/>
        <w:spacing w:after="0" w:line="256" w:lineRule="auto"/>
        <w:rPr>
          <w:sz w:val="20"/>
          <w:szCs w:val="20"/>
          <w:color w:val="auto"/>
        </w:rPr>
      </w:pPr>
      <w:r>
        <w:rPr>
          <w:rFonts w:ascii="Times New Roman" w:cs="Times New Roman" w:eastAsia="Times New Roman" w:hAnsi="Times New Roman"/>
          <w:sz w:val="15"/>
          <w:szCs w:val="15"/>
          <w:color w:val="auto"/>
        </w:rPr>
        <w:t>Our stock price is likely to be volatile. Since our initial public offering, or our IPO, in June 2018 through November 1, 2022, the trading price of our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 shares. The market price for our common stock may be influenced by many factors, including:</w:t>
      </w:r>
    </w:p>
    <w:p>
      <w:pPr>
        <w:spacing w:after="0" w:line="68" w:lineRule="exact"/>
        <w:rPr>
          <w:sz w:val="20"/>
          <w:szCs w:val="20"/>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ongoing COVID-19 pandemic;</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results or delays in ongoing or planned preclinical studies or clinical trials;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reports of adverse events in other gene therapy products or clinical studies of such products;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obtain additional funding;</w:t>
      </w:r>
    </w:p>
    <w:p>
      <w:pPr>
        <w:spacing w:after="0" w:line="97" w:lineRule="exact"/>
        <w:rPr>
          <w:rFonts w:ascii="Times New Roman" w:cs="Times New Roman" w:eastAsia="Times New Roman" w:hAnsi="Times New Roman"/>
          <w:sz w:val="15"/>
          <w:szCs w:val="15"/>
          <w:color w:val="auto"/>
        </w:rPr>
      </w:pPr>
    </w:p>
    <w:p>
      <w:pPr>
        <w:ind w:left="1580" w:right="1359" w:hanging="291"/>
        <w:spacing w:after="0" w:line="280"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to comply with the terms of our Loan and Security Agreement, dated as of November 2, 2021, with Silicon Valley Bank;</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to successfully develop and commercialize our product candidates;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to maintain our existing strategic collaborations or enter into new collaborations;</w:t>
      </w:r>
    </w:p>
    <w:p>
      <w:pPr>
        <w:spacing w:after="0" w:line="97" w:lineRule="exact"/>
        <w:rPr>
          <w:rFonts w:ascii="Times New Roman" w:cs="Times New Roman" w:eastAsia="Times New Roman" w:hAnsi="Times New Roman"/>
          <w:sz w:val="15"/>
          <w:szCs w:val="15"/>
          <w:color w:val="auto"/>
        </w:rPr>
      </w:pPr>
    </w:p>
    <w:p>
      <w:pPr>
        <w:ind w:left="1580" w:right="1439" w:hanging="291"/>
        <w:spacing w:after="0" w:line="280"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or our licensors and strategic partners to prosecute, maintain or enforce our intellectual property rights;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or regulations applicable to future products;</w:t>
      </w:r>
    </w:p>
    <w:p>
      <w:pPr>
        <w:spacing w:after="0" w:line="97" w:lineRule="exact"/>
        <w:rPr>
          <w:rFonts w:ascii="Times New Roman" w:cs="Times New Roman" w:eastAsia="Times New Roman" w:hAnsi="Times New Roman"/>
          <w:sz w:val="15"/>
          <w:szCs w:val="15"/>
          <w:color w:val="auto"/>
        </w:rPr>
      </w:pPr>
    </w:p>
    <w:p>
      <w:pPr>
        <w:ind w:left="1580" w:right="1479" w:hanging="291"/>
        <w:spacing w:after="0" w:line="280"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obtain adequate product supply for our product candidates or the inability to do so at acceptable prices;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regulatory decisions;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introduction of new products, services or technologies by our competitors;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to meet or exceed financial projections we may provide to the public;</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to meet or exceed the financial projections of the investment community;</w:t>
      </w:r>
    </w:p>
    <w:p>
      <w:pPr>
        <w:spacing w:after="0" w:line="97" w:lineRule="exact"/>
        <w:rPr>
          <w:rFonts w:ascii="Times New Roman" w:cs="Times New Roman" w:eastAsia="Times New Roman" w:hAnsi="Times New Roman"/>
          <w:sz w:val="15"/>
          <w:szCs w:val="15"/>
          <w:color w:val="auto"/>
        </w:rPr>
      </w:pPr>
    </w:p>
    <w:p>
      <w:pPr>
        <w:ind w:left="1580" w:right="1279" w:hanging="291"/>
        <w:spacing w:after="0" w:line="280"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perception of the pharmaceutical industry by the public, legislatures, regulators and the investment community;</w:t>
      </w:r>
    </w:p>
    <w:p>
      <w:pPr>
        <w:spacing w:after="0" w:line="48" w:lineRule="exact"/>
        <w:rPr>
          <w:rFonts w:ascii="Times New Roman" w:cs="Times New Roman" w:eastAsia="Times New Roman" w:hAnsi="Times New Roman"/>
          <w:sz w:val="15"/>
          <w:szCs w:val="15"/>
          <w:color w:val="auto"/>
        </w:rPr>
      </w:pPr>
    </w:p>
    <w:p>
      <w:pPr>
        <w:ind w:left="1580" w:right="1019" w:hanging="291"/>
        <w:spacing w:after="0" w:line="280"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significant acquisitions, strategic partnerships, joint ventures or capital commitments by us, our strategic partners or our competitors;</w:t>
      </w:r>
    </w:p>
    <w:p>
      <w:pPr>
        <w:spacing w:after="0" w:line="48" w:lineRule="exact"/>
        <w:rPr>
          <w:rFonts w:ascii="Times New Roman" w:cs="Times New Roman" w:eastAsia="Times New Roman" w:hAnsi="Times New Roman"/>
          <w:sz w:val="15"/>
          <w:szCs w:val="15"/>
          <w:color w:val="auto"/>
        </w:rPr>
      </w:pPr>
    </w:p>
    <w:p>
      <w:pPr>
        <w:ind w:left="1580" w:right="1139" w:hanging="291"/>
        <w:spacing w:after="0" w:line="280"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disputes or other developments relating to proprietary rights, including patents, litigation matters and our ability to obtain patent protection for our technologies;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or departures of key scientific or management personnel;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43" w:name="page44"/>
    <w:bookmarkEnd w:id="43"/>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hanging="291"/>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lawsuits, including patent or stockholder litigation;</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valuations of similar companies;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our common stock by us or our stockholders in the future; and</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trading volume of our common stock.</w:t>
      </w:r>
    </w:p>
    <w:p>
      <w:pPr>
        <w:spacing w:after="0" w:line="98" w:lineRule="exact"/>
        <w:rPr>
          <w:sz w:val="20"/>
          <w:szCs w:val="20"/>
          <w:color w:val="auto"/>
        </w:rPr>
      </w:pPr>
    </w:p>
    <w:p>
      <w:pPr>
        <w:ind w:left="980" w:right="999"/>
        <w:spacing w:after="0" w:line="260" w:lineRule="auto"/>
        <w:rPr>
          <w:sz w:val="20"/>
          <w:szCs w:val="20"/>
          <w:color w:val="auto"/>
        </w:rPr>
      </w:pPr>
      <w:r>
        <w:rPr>
          <w:rFonts w:ascii="Times New Roman" w:cs="Times New Roman" w:eastAsia="Times New Roman" w:hAnsi="Times New Roman"/>
          <w:sz w:val="15"/>
          <w:szCs w:val="15"/>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Our failure to meet Nasdaq’s continued listing requirements could result in a delisting of our common stock.</w:t>
      </w:r>
    </w:p>
    <w:p>
      <w:pPr>
        <w:spacing w:after="0" w:line="102" w:lineRule="exact"/>
        <w:rPr>
          <w:sz w:val="20"/>
          <w:szCs w:val="20"/>
          <w:color w:val="auto"/>
        </w:rPr>
      </w:pPr>
    </w:p>
    <w:p>
      <w:pPr>
        <w:ind w:left="980" w:right="999"/>
        <w:spacing w:after="0" w:line="256" w:lineRule="auto"/>
        <w:rPr>
          <w:sz w:val="20"/>
          <w:szCs w:val="20"/>
          <w:color w:val="auto"/>
        </w:rPr>
      </w:pPr>
      <w:r>
        <w:rPr>
          <w:rFonts w:ascii="Times New Roman" w:cs="Times New Roman" w:eastAsia="Times New Roman" w:hAnsi="Times New Roman"/>
          <w:sz w:val="15"/>
          <w:szCs w:val="15"/>
          <w:color w:val="auto"/>
        </w:rPr>
        <w:t>If we fail to satisfy the continued listing requirements of Nasdaq, such as the corporate governance requirements or the requirement to maintain a minimum bid price of $1.00 per share pursuant to Nasdaq Listing Rule 5450(a)(1), or the Minimum Bid Price Requirement, Nasdaq may take steps to delist our common stock. Such a delisting would likely have a negative effect on the price of our common stock and would impair your ability to sell or purchase our common stock when you wish to do so. Any such delisting could also adversely impact our ability to raise additional capital or enter into strategic transactions.</w:t>
      </w:r>
    </w:p>
    <w:p>
      <w:pPr>
        <w:spacing w:after="0" w:line="68" w:lineRule="exact"/>
        <w:rPr>
          <w:sz w:val="20"/>
          <w:szCs w:val="20"/>
          <w:color w:val="auto"/>
        </w:rPr>
      </w:pPr>
    </w:p>
    <w:p>
      <w:pPr>
        <w:ind w:left="980" w:right="1119"/>
        <w:spacing w:after="0" w:line="260" w:lineRule="auto"/>
        <w:rPr>
          <w:sz w:val="20"/>
          <w:szCs w:val="20"/>
          <w:color w:val="auto"/>
        </w:rPr>
      </w:pPr>
      <w:r>
        <w:rPr>
          <w:rFonts w:ascii="Times New Roman" w:cs="Times New Roman" w:eastAsia="Times New Roman" w:hAnsi="Times New Roman"/>
          <w:sz w:val="15"/>
          <w:szCs w:val="15"/>
          <w:color w:val="auto"/>
        </w:rPr>
        <w:t>On October 4, 2022, we received a written notice from the staff, or the Staff, of Nasdaq’s Listing Qualifications Department, notifying us that, for the 30 consecutive business day period between August 22, 2022 through October 3, 2022, our common stock had not complied with the Minimum Bid Price Requirement. Nasdaq’s written notice does not result in the immediate delisting of our common stock from Nasdaq.</w:t>
      </w:r>
    </w:p>
    <w:p>
      <w:pPr>
        <w:spacing w:after="0" w:line="64" w:lineRule="exact"/>
        <w:rPr>
          <w:sz w:val="20"/>
          <w:szCs w:val="20"/>
          <w:color w:val="auto"/>
        </w:rPr>
      </w:pPr>
    </w:p>
    <w:p>
      <w:pPr>
        <w:ind w:left="980" w:right="1019"/>
        <w:spacing w:after="0" w:line="258" w:lineRule="auto"/>
        <w:rPr>
          <w:sz w:val="20"/>
          <w:szCs w:val="20"/>
          <w:color w:val="auto"/>
        </w:rPr>
      </w:pPr>
      <w:r>
        <w:rPr>
          <w:rFonts w:ascii="Times New Roman" w:cs="Times New Roman" w:eastAsia="Times New Roman" w:hAnsi="Times New Roman"/>
          <w:sz w:val="15"/>
          <w:szCs w:val="15"/>
          <w:color w:val="auto"/>
        </w:rPr>
        <w:t>In accordance with Nasdaq Listing Rule 5810(c)(3)(A), the company has 180 calendar days, or until April 3, 2023, or the Compliance Date, to regain compliance with the Minimum Bid Price Requirement. According to the written notice, if, at any time during this 180-day period, the closing bid price for the common stock is at least $1.00 per share for a minimum of ten consecutive business days, the Staff will provide written confirmation of compliance and the common stock will remain listed on Nasdaq.</w:t>
      </w:r>
    </w:p>
    <w:p>
      <w:pPr>
        <w:spacing w:after="0" w:line="64" w:lineRule="exact"/>
        <w:rPr>
          <w:sz w:val="20"/>
          <w:szCs w:val="20"/>
          <w:color w:val="auto"/>
        </w:rPr>
      </w:pPr>
    </w:p>
    <w:p>
      <w:pPr>
        <w:ind w:left="980" w:right="1019"/>
        <w:spacing w:after="0" w:line="254" w:lineRule="auto"/>
        <w:rPr>
          <w:sz w:val="20"/>
          <w:szCs w:val="20"/>
          <w:color w:val="auto"/>
        </w:rPr>
      </w:pPr>
      <w:r>
        <w:rPr>
          <w:rFonts w:ascii="Times New Roman" w:cs="Times New Roman" w:eastAsia="Times New Roman" w:hAnsi="Times New Roman"/>
          <w:sz w:val="15"/>
          <w:szCs w:val="15"/>
          <w:color w:val="auto"/>
        </w:rPr>
        <w:t>If we do not regain compliance with the Minimum Bid Price Requirement by the Compliance Date, we may be eligible for an additional 180 calendar day compliance period. To qualify, we would be required to transfer our listing to The Nasdaq Capital Market and meet the continued listing requirement for the market value of publicly held shares and all other applicable initial listing standards for The Nasdaq Capital Market, with the exception of the Minimum Bid Price Requirement, and would need to provide written notice to Nasdaq of its intention to cure the deficiency during the additional 180-day compliance period, such as by effecting a reverse stock split, if necessary. If the Staff determines that we will not be able to cure the deficiency, then the Staff will provide us written notice that our common stock will be subject to delisting. At that time, we may appeal the Staff’s delisting determination to a Nasdaq Hearing Panel. There can no assurance that, if we receive a delisting notice and appeal the delisting determination by the Staff to the Nasdaq Hearing Panel, such appeal would be successful.</w:t>
      </w:r>
    </w:p>
    <w:p>
      <w:pPr>
        <w:spacing w:after="0" w:line="67" w:lineRule="exact"/>
        <w:rPr>
          <w:sz w:val="20"/>
          <w:szCs w:val="20"/>
          <w:color w:val="auto"/>
        </w:rPr>
      </w:pPr>
    </w:p>
    <w:p>
      <w:pPr>
        <w:ind w:left="980" w:right="1019"/>
        <w:spacing w:after="0" w:line="258" w:lineRule="auto"/>
        <w:rPr>
          <w:sz w:val="20"/>
          <w:szCs w:val="20"/>
          <w:color w:val="auto"/>
        </w:rPr>
      </w:pPr>
      <w:r>
        <w:rPr>
          <w:rFonts w:ascii="Times New Roman" w:cs="Times New Roman" w:eastAsia="Times New Roman" w:hAnsi="Times New Roman"/>
          <w:sz w:val="15"/>
          <w:szCs w:val="15"/>
          <w:color w:val="auto"/>
        </w:rPr>
        <w:t>We intend to monitor the closing bid price of our common stock and may, if appropriate, consider available options to regain compliance with the Minimum Bid Price Requirement. However, we can provide no assurance that actions taken or not taken by us will restore compliance with Nasdaq’s listing requirements, stabilize the market price of our common stock, improve the liquidity of our common stock or prevent future non-compliance with Nasdaq’s listing requirements.</w:t>
      </w:r>
    </w:p>
    <w:p>
      <w:pPr>
        <w:spacing w:after="0" w:line="64" w:lineRule="exact"/>
        <w:rPr>
          <w:sz w:val="20"/>
          <w:szCs w:val="20"/>
          <w:color w:val="auto"/>
        </w:rPr>
      </w:pPr>
    </w:p>
    <w:p>
      <w:pPr>
        <w:ind w:left="980" w:right="1139"/>
        <w:spacing w:after="0" w:line="256" w:lineRule="auto"/>
        <w:rPr>
          <w:sz w:val="20"/>
          <w:szCs w:val="20"/>
          <w:color w:val="auto"/>
        </w:rPr>
      </w:pPr>
      <w:r>
        <w:rPr>
          <w:rFonts w:ascii="Times New Roman" w:cs="Times New Roman" w:eastAsia="Times New Roman" w:hAnsi="Times New Roman"/>
          <w:sz w:val="15"/>
          <w:szCs w:val="15"/>
          <w:color w:val="auto"/>
        </w:rPr>
        <w:t>Additionally, if our common stock is not listed on, or becomes delisted from, Nasdaq for any reason, trading our common stock could be conducted only in the over-the-counter, or OTC, market or on an electronic bulletin board established for unlisted securities such as the OTC Bulletin Board, an inter-dealer automated quotation system for equity securities that is not a national securities exchange, and the liquidity and price of our common stock may be more limited than if we were quoted or listed on Nasdaq or another national securities exchange. In such circumstances, you may be unable to sell your common stock unless a market can be established or sustained.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44" w:name="page45"/>
    <w:bookmarkEnd w:id="44"/>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We could be subject to securities class action litigation.</w:t>
      </w:r>
    </w:p>
    <w:p>
      <w:pPr>
        <w:spacing w:after="0" w:line="102" w:lineRule="exact"/>
        <w:rPr>
          <w:sz w:val="20"/>
          <w:szCs w:val="20"/>
          <w:color w:val="auto"/>
        </w:rPr>
      </w:pPr>
    </w:p>
    <w:p>
      <w:pPr>
        <w:ind w:left="980" w:right="1139"/>
        <w:spacing w:after="0" w:line="260" w:lineRule="auto"/>
        <w:rPr>
          <w:sz w:val="20"/>
          <w:szCs w:val="20"/>
          <w:color w:val="auto"/>
        </w:rPr>
      </w:pPr>
      <w:r>
        <w:rPr>
          <w:rFonts w:ascii="Times New Roman" w:cs="Times New Roman" w:eastAsia="Times New Roman" w:hAnsi="Times New Roman"/>
          <w:sz w:val="15"/>
          <w:szCs w:val="15"/>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An active trading market for our common stock may not be sustained.</w:t>
      </w:r>
    </w:p>
    <w:p>
      <w:pPr>
        <w:spacing w:after="0" w:line="102" w:lineRule="exact"/>
        <w:rPr>
          <w:sz w:val="20"/>
          <w:szCs w:val="20"/>
          <w:color w:val="auto"/>
        </w:rPr>
      </w:pPr>
    </w:p>
    <w:p>
      <w:pPr>
        <w:ind w:left="980" w:right="1079"/>
        <w:spacing w:after="0" w:line="260" w:lineRule="auto"/>
        <w:rPr>
          <w:sz w:val="20"/>
          <w:szCs w:val="20"/>
          <w:color w:val="auto"/>
        </w:rPr>
      </w:pPr>
      <w:r>
        <w:rPr>
          <w:rFonts w:ascii="Times New Roman" w:cs="Times New Roman" w:eastAsia="Times New Roman" w:hAnsi="Times New Roman"/>
          <w:sz w:val="15"/>
          <w:szCs w:val="15"/>
          <w:color w:val="auto"/>
        </w:rPr>
        <w:t>Prior to our IPO,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 in this offering without depressing the market price for the shares, or at all.</w:t>
      </w:r>
    </w:p>
    <w:p>
      <w:pPr>
        <w:spacing w:after="0" w:line="64" w:lineRule="exact"/>
        <w:rPr>
          <w:sz w:val="20"/>
          <w:szCs w:val="20"/>
          <w:color w:val="auto"/>
        </w:rPr>
      </w:pPr>
    </w:p>
    <w:p>
      <w:pPr>
        <w:jc w:val="both"/>
        <w:ind w:left="980" w:right="1379"/>
        <w:spacing w:after="0" w:line="265" w:lineRule="auto"/>
        <w:rPr>
          <w:sz w:val="20"/>
          <w:szCs w:val="20"/>
          <w:color w:val="auto"/>
        </w:rPr>
      </w:pPr>
      <w:r>
        <w:rPr>
          <w:rFonts w:ascii="Times New Roman" w:cs="Times New Roman" w:eastAsia="Times New Roman" w:hAnsi="Times New Roman"/>
          <w:sz w:val="15"/>
          <w:szCs w:val="15"/>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146" w:lineRule="exact"/>
        <w:rPr>
          <w:sz w:val="20"/>
          <w:szCs w:val="20"/>
          <w:color w:val="auto"/>
        </w:rPr>
      </w:pPr>
    </w:p>
    <w:p>
      <w:pPr>
        <w:ind w:left="980" w:right="1019"/>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research or publish inaccurate or unfavorable research about our business, our share price and trading volume could decline.</w:t>
      </w:r>
    </w:p>
    <w:p>
      <w:pPr>
        <w:spacing w:after="0" w:line="44" w:lineRule="exact"/>
        <w:rPr>
          <w:sz w:val="20"/>
          <w:szCs w:val="20"/>
          <w:color w:val="auto"/>
        </w:rPr>
      </w:pPr>
    </w:p>
    <w:p>
      <w:pPr>
        <w:ind w:left="980" w:right="1039"/>
        <w:spacing w:after="0" w:line="255" w:lineRule="auto"/>
        <w:rPr>
          <w:sz w:val="20"/>
          <w:szCs w:val="20"/>
          <w:color w:val="auto"/>
        </w:rPr>
      </w:pPr>
      <w:r>
        <w:rPr>
          <w:rFonts w:ascii="Times New Roman" w:cs="Times New Roman" w:eastAsia="Times New Roman" w:hAnsi="Times New Roman"/>
          <w:sz w:val="15"/>
          <w:szCs w:val="15"/>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55" w:lineRule="exact"/>
        <w:rPr>
          <w:sz w:val="20"/>
          <w:szCs w:val="20"/>
          <w:color w:val="auto"/>
        </w:rPr>
      </w:pPr>
    </w:p>
    <w:p>
      <w:pPr>
        <w:ind w:left="980" w:right="1119"/>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44" w:lineRule="exact"/>
        <w:rPr>
          <w:sz w:val="20"/>
          <w:szCs w:val="20"/>
          <w:color w:val="auto"/>
        </w:rPr>
      </w:pPr>
    </w:p>
    <w:p>
      <w:pPr>
        <w:ind w:left="980" w:right="1019"/>
        <w:spacing w:after="0" w:line="253" w:lineRule="auto"/>
        <w:rPr>
          <w:sz w:val="20"/>
          <w:szCs w:val="20"/>
          <w:color w:val="auto"/>
        </w:rPr>
      </w:pPr>
      <w:r>
        <w:rPr>
          <w:rFonts w:ascii="Times New Roman" w:cs="Times New Roman" w:eastAsia="Times New Roman" w:hAnsi="Times New Roman"/>
          <w:sz w:val="15"/>
          <w:szCs w:val="15"/>
          <w:color w:val="auto"/>
        </w:rPr>
        <w:t>Based on shares outstanding as of November 3, 2022, our executive officers, directors, five percent stockholders and their affiliates beneficially owned approximately 27.55%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159" w:lineRule="exact"/>
        <w:rPr>
          <w:sz w:val="20"/>
          <w:szCs w:val="20"/>
          <w:color w:val="auto"/>
        </w:rPr>
      </w:pPr>
    </w:p>
    <w:p>
      <w:pPr>
        <w:ind w:left="980" w:right="1059"/>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the reduced disclosure requirements applicable to emerging growth companies may make our common stock less attractive to investors.</w:t>
      </w:r>
    </w:p>
    <w:p>
      <w:pPr>
        <w:spacing w:after="0" w:line="44" w:lineRule="exact"/>
        <w:rPr>
          <w:sz w:val="20"/>
          <w:szCs w:val="20"/>
          <w:color w:val="auto"/>
        </w:rPr>
      </w:pPr>
    </w:p>
    <w:p>
      <w:pPr>
        <w:ind w:left="980" w:right="1099"/>
        <w:spacing w:after="0" w:line="260" w:lineRule="auto"/>
        <w:rPr>
          <w:sz w:val="20"/>
          <w:szCs w:val="20"/>
          <w:color w:val="auto"/>
        </w:rPr>
      </w:pPr>
      <w:r>
        <w:rPr>
          <w:rFonts w:ascii="Times New Roman" w:cs="Times New Roman" w:eastAsia="Times New Roman" w:hAnsi="Times New Roman"/>
          <w:sz w:val="15"/>
          <w:szCs w:val="15"/>
          <w:color w:val="auto"/>
        </w:rPr>
        <w:t>We are an “emerging growth company,” or EGC, as defined in the JOBS Act. We will remain an EGC until the earliest of: (i) the last day of the fiscal year in which we have total annual gross revenues of $1.235 billion or more;</w:t>
      </w:r>
    </w:p>
    <w:p>
      <w:pPr>
        <w:ind w:left="980" w:right="1019" w:firstLine="8"/>
        <w:spacing w:after="0" w:line="252" w:lineRule="auto"/>
        <w:tabs>
          <w:tab w:leader="none" w:pos="1201"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70" w:lineRule="exact"/>
        <w:rPr>
          <w:rFonts w:ascii="Times New Roman" w:cs="Times New Roman" w:eastAsia="Times New Roman" w:hAnsi="Times New Roman"/>
          <w:sz w:val="15"/>
          <w:szCs w:val="15"/>
          <w:color w:val="auto"/>
        </w:rPr>
      </w:pPr>
    </w:p>
    <w:p>
      <w:pPr>
        <w:ind w:left="1580" w:right="1299" w:hanging="291"/>
        <w:spacing w:after="0" w:line="280" w:lineRule="auto"/>
        <w:tabs>
          <w:tab w:leader="none" w:pos="1580"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the auditor attestation requirements of Section 404 of the Sarbanes-Oxley Act, or Section 404;</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45" w:name="page46"/>
    <w:bookmarkEnd w:id="45"/>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339" w:hanging="291"/>
        <w:spacing w:after="0" w:line="265"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59" w:lineRule="exact"/>
        <w:rPr>
          <w:rFonts w:ascii="Times New Roman" w:cs="Times New Roman" w:eastAsia="Times New Roman" w:hAnsi="Times New Roman"/>
          <w:sz w:val="15"/>
          <w:szCs w:val="15"/>
          <w:color w:val="auto"/>
        </w:rPr>
      </w:pPr>
    </w:p>
    <w:p>
      <w:pPr>
        <w:jc w:val="both"/>
        <w:ind w:left="1580" w:right="1359" w:hanging="291"/>
        <w:spacing w:after="0" w:line="265"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9"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and</w:t>
      </w:r>
    </w:p>
    <w:p>
      <w:pPr>
        <w:spacing w:after="0" w:line="97" w:lineRule="exact"/>
        <w:rPr>
          <w:rFonts w:ascii="Times New Roman" w:cs="Times New Roman" w:eastAsia="Times New Roman" w:hAnsi="Times New Roman"/>
          <w:sz w:val="15"/>
          <w:szCs w:val="15"/>
          <w:color w:val="auto"/>
        </w:rPr>
      </w:pPr>
    </w:p>
    <w:p>
      <w:pPr>
        <w:ind w:left="1580" w:right="1379" w:hanging="291"/>
        <w:spacing w:after="0" w:line="280"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the requirement to seek nonbinding advisory votes on executive compensation or golden parachute arrangements.</w:t>
      </w:r>
    </w:p>
    <w:p>
      <w:pPr>
        <w:spacing w:after="0" w:line="48" w:lineRule="exact"/>
        <w:rPr>
          <w:sz w:val="20"/>
          <w:szCs w:val="20"/>
          <w:color w:val="auto"/>
        </w:rPr>
      </w:pPr>
    </w:p>
    <w:p>
      <w:pPr>
        <w:ind w:left="980" w:right="1079"/>
        <w:spacing w:after="0" w:line="258" w:lineRule="auto"/>
        <w:rPr>
          <w:sz w:val="20"/>
          <w:szCs w:val="20"/>
          <w:color w:val="auto"/>
        </w:rPr>
      </w:pPr>
      <w:r>
        <w:rPr>
          <w:rFonts w:ascii="Times New Roman" w:cs="Times New Roman" w:eastAsia="Times New Roman" w:hAnsi="Times New Roman"/>
          <w:sz w:val="15"/>
          <w:szCs w:val="15"/>
          <w:color w:val="auto"/>
        </w:rPr>
        <w:t>We may choose to take advantage of some, but not all, of the available exemptions. We have taken advantage of reduced reporting burdens.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64" w:lineRule="exact"/>
        <w:rPr>
          <w:sz w:val="20"/>
          <w:szCs w:val="20"/>
          <w:color w:val="auto"/>
        </w:rPr>
      </w:pPr>
    </w:p>
    <w:p>
      <w:pPr>
        <w:ind w:left="980" w:right="1039"/>
        <w:spacing w:after="0" w:line="258" w:lineRule="auto"/>
        <w:rPr>
          <w:sz w:val="20"/>
          <w:szCs w:val="20"/>
          <w:color w:val="auto"/>
        </w:rPr>
      </w:pPr>
      <w:r>
        <w:rPr>
          <w:rFonts w:ascii="Times New Roman" w:cs="Times New Roman" w:eastAsia="Times New Roman" w:hAnsi="Times New Roman"/>
          <w:sz w:val="15"/>
          <w:szCs w:val="15"/>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64" w:lineRule="exact"/>
        <w:rPr>
          <w:sz w:val="20"/>
          <w:szCs w:val="20"/>
          <w:color w:val="auto"/>
        </w:rPr>
      </w:pPr>
    </w:p>
    <w:p>
      <w:pPr>
        <w:ind w:left="980" w:right="1099"/>
        <w:spacing w:after="0" w:line="260" w:lineRule="auto"/>
        <w:rPr>
          <w:sz w:val="20"/>
          <w:szCs w:val="20"/>
          <w:color w:val="auto"/>
        </w:rPr>
      </w:pPr>
      <w:r>
        <w:rPr>
          <w:rFonts w:ascii="Times New Roman" w:cs="Times New Roman" w:eastAsia="Times New Roman" w:hAnsi="Times New Roman"/>
          <w:sz w:val="15"/>
          <w:szCs w:val="15"/>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50" w:lineRule="exact"/>
        <w:rPr>
          <w:sz w:val="20"/>
          <w:szCs w:val="20"/>
          <w:color w:val="auto"/>
        </w:rPr>
      </w:pPr>
    </w:p>
    <w:p>
      <w:pPr>
        <w:ind w:left="980" w:right="1059"/>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If you purchase our common stock in this offering, you will incur immediate and substantial dilution in the book value of your shares.</w:t>
      </w:r>
    </w:p>
    <w:p>
      <w:pPr>
        <w:spacing w:after="0" w:line="44" w:lineRule="exact"/>
        <w:rPr>
          <w:sz w:val="20"/>
          <w:szCs w:val="20"/>
          <w:color w:val="auto"/>
        </w:rPr>
      </w:pPr>
    </w:p>
    <w:p>
      <w:pPr>
        <w:ind w:left="980" w:right="999"/>
        <w:spacing w:after="0" w:line="255" w:lineRule="auto"/>
        <w:rPr>
          <w:sz w:val="20"/>
          <w:szCs w:val="20"/>
          <w:color w:val="auto"/>
        </w:rPr>
      </w:pPr>
      <w:r>
        <w:rPr>
          <w:rFonts w:ascii="Times New Roman" w:cs="Times New Roman" w:eastAsia="Times New Roman" w:hAnsi="Times New Roman"/>
          <w:sz w:val="15"/>
          <w:szCs w:val="15"/>
          <w:color w:val="auto"/>
        </w:rPr>
        <w:t>Investors purchasing shares of common stock in this offering will pay a price per share that substantially exceeds the as adjusted book value per share of our tangible assets after subtracting our liabilities. As a result, investors purchasing shares of common stock in this offering will incur immediate dilution of $0.57 per share, based on the assumed offering price of $0.675 per share, which is the closing price of our common stock on November 3, 2022, and our as adjusted net tangible book value as of September 30, 2022. Further, based on these assumptions, investors purchasing shares of common stock in this offering will contribute approximately 63% of the total amount invested by stockholders since our inception, but will own only approximately 30% of the shares of common stock outstanding. For information on how the foregoing amounts were calculated, see “Dilution.”</w:t>
      </w:r>
    </w:p>
    <w:p>
      <w:pPr>
        <w:spacing w:after="0" w:line="152" w:lineRule="exact"/>
        <w:rPr>
          <w:sz w:val="20"/>
          <w:szCs w:val="20"/>
          <w:color w:val="auto"/>
        </w:rPr>
      </w:pPr>
    </w:p>
    <w:p>
      <w:pPr>
        <w:ind w:left="980" w:right="1079"/>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shares of our common stock in the public market could cause our stock price to fall.</w:t>
      </w:r>
    </w:p>
    <w:p>
      <w:pPr>
        <w:spacing w:after="0" w:line="44" w:lineRule="exact"/>
        <w:rPr>
          <w:sz w:val="20"/>
          <w:szCs w:val="20"/>
          <w:color w:val="auto"/>
        </w:rPr>
      </w:pPr>
    </w:p>
    <w:p>
      <w:pPr>
        <w:ind w:left="980" w:right="1079"/>
        <w:spacing w:after="0" w:line="255"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In addition, the sale of substantial amounts of our common stock could adversely impact its price. As of September 30, 2022, we had outstanding 43,774,040 shares of our common stock and options to purchase 8,083,363 shares of our common stock (of which 3,226,645 were exercisable as of that date). The sale or the availability for sale of a large number of shares of our common stock in the public market could cause the price of our common stock to decline.</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We have broad discretion in the use of the net proceeds from this offering and may not use them effectively.</w:t>
      </w:r>
    </w:p>
    <w:p>
      <w:pPr>
        <w:spacing w:after="0" w:line="102" w:lineRule="exact"/>
        <w:rPr>
          <w:sz w:val="20"/>
          <w:szCs w:val="20"/>
          <w:color w:val="auto"/>
        </w:rPr>
      </w:pPr>
    </w:p>
    <w:p>
      <w:pPr>
        <w:ind w:left="980" w:right="999"/>
        <w:spacing w:after="0" w:line="265" w:lineRule="auto"/>
        <w:rPr>
          <w:sz w:val="20"/>
          <w:szCs w:val="20"/>
          <w:color w:val="auto"/>
        </w:rPr>
      </w:pPr>
      <w:r>
        <w:rPr>
          <w:rFonts w:ascii="Times New Roman" w:cs="Times New Roman" w:eastAsia="Times New Roman" w:hAnsi="Times New Roman"/>
          <w:sz w:val="15"/>
          <w:szCs w:val="15"/>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46" w:name="page47"/>
    <w:bookmarkEnd w:id="46"/>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980" w:right="1079"/>
        <w:spacing w:after="0" w:line="258" w:lineRule="auto"/>
        <w:rPr>
          <w:sz w:val="20"/>
          <w:szCs w:val="20"/>
          <w:color w:val="auto"/>
        </w:rPr>
      </w:pPr>
      <w:r>
        <w:rPr>
          <w:rFonts w:ascii="Times New Roman" w:cs="Times New Roman" w:eastAsia="Times New Roman" w:hAnsi="Times New Roman"/>
          <w:sz w:val="15"/>
          <w:szCs w:val="15"/>
          <w:color w:val="auto"/>
        </w:rPr>
        <w:t>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We do not intend to pay dividends on our common stock, so any returns will be limited to the value of our stock.</w:t>
      </w:r>
    </w:p>
    <w:p>
      <w:pPr>
        <w:spacing w:after="0" w:line="102" w:lineRule="exact"/>
        <w:rPr>
          <w:sz w:val="20"/>
          <w:szCs w:val="20"/>
          <w:color w:val="auto"/>
        </w:rPr>
      </w:pPr>
    </w:p>
    <w:p>
      <w:pPr>
        <w:ind w:left="980" w:right="1019"/>
        <w:spacing w:after="0" w:line="255" w:lineRule="auto"/>
        <w:rPr>
          <w:sz w:val="20"/>
          <w:szCs w:val="20"/>
          <w:color w:val="auto"/>
        </w:rPr>
      </w:pPr>
      <w:r>
        <w:rPr>
          <w:rFonts w:ascii="Times New Roman" w:cs="Times New Roman" w:eastAsia="Times New Roman" w:hAnsi="Times New Roman"/>
          <w:sz w:val="15"/>
          <w:szCs w:val="15"/>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Loan and Security Agreement, dated as of November 2, 2021, with Silicon Valley Bank restricts our ability to pay certain kinds of dividends or to make certain kinds of distributions on account of our capital stock, and we may enter into agreements in the future with similar restrictions. As a result, capital appreciation, if any, of our common stock will be your sole source of gain for the foreseeable future.</w:t>
      </w:r>
    </w:p>
    <w:p>
      <w:pPr>
        <w:spacing w:after="0" w:line="279" w:lineRule="exact"/>
        <w:rPr>
          <w:sz w:val="20"/>
          <w:szCs w:val="20"/>
          <w:color w:val="auto"/>
        </w:rPr>
      </w:pPr>
    </w:p>
    <w:p>
      <w:pPr>
        <w:ind w:left="980" w:right="1399"/>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The common stock offered hereby will be sold in “at the market offerings,” and investors who buy shares at different times will likely pay different prices.</w:t>
      </w:r>
    </w:p>
    <w:p>
      <w:pPr>
        <w:spacing w:after="0" w:line="44" w:lineRule="exact"/>
        <w:rPr>
          <w:sz w:val="20"/>
          <w:szCs w:val="20"/>
          <w:color w:val="auto"/>
        </w:rPr>
      </w:pPr>
    </w:p>
    <w:p>
      <w:pPr>
        <w:ind w:left="980" w:right="1019"/>
        <w:spacing w:after="0" w:line="258" w:lineRule="auto"/>
        <w:rPr>
          <w:sz w:val="20"/>
          <w:szCs w:val="20"/>
          <w:color w:val="auto"/>
        </w:rPr>
      </w:pPr>
      <w:r>
        <w:rPr>
          <w:rFonts w:ascii="Times New Roman" w:cs="Times New Roman" w:eastAsia="Times New Roman" w:hAnsi="Times New Roman"/>
          <w:sz w:val="15"/>
          <w:szCs w:val="15"/>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47" w:name="page48"/>
    <w:bookmarkEnd w:id="47"/>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102" w:lineRule="exact"/>
        <w:rPr>
          <w:sz w:val="20"/>
          <w:szCs w:val="20"/>
          <w:color w:val="auto"/>
        </w:rPr>
      </w:pPr>
    </w:p>
    <w:p>
      <w:pPr>
        <w:ind w:left="980" w:right="1019"/>
        <w:spacing w:after="0" w:line="253" w:lineRule="auto"/>
        <w:rPr>
          <w:sz w:val="20"/>
          <w:szCs w:val="20"/>
          <w:color w:val="auto"/>
        </w:rPr>
      </w:pPr>
      <w:r>
        <w:rPr>
          <w:rFonts w:ascii="Times New Roman" w:cs="Times New Roman" w:eastAsia="Times New Roman" w:hAnsi="Times New Roman"/>
          <w:sz w:val="15"/>
          <w:szCs w:val="15"/>
          <w:color w:val="auto"/>
        </w:rPr>
        <w:t>This prospectus and the information and documents incorporated by reference herein, contain forward-looking statements within the meaning of Section 27A of the Securities Act and Section 21E of the Exchange Act. Any statements about our expectations, beliefs, plans, objectives, assumptions or future events or performance are not historical facts and may be forward-looking. These statements are often, but are not always, made through the use of words or phrases such as “aims,” “anticipates,” “believes,” “continue,” “could,” “designed to,” “estimates,” “expects,” “forecasts,” “goal,” “intends,” “may,” “plans,” “possible,” “potential,” “predicts,” “projects,” “seeks,” “strives,” “should,” “will,” and similar expressions or the negative of these terms.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the documents incorporated by reference herein, and in particular those factors referenced in the section “Risk Factors.”</w:t>
      </w:r>
    </w:p>
    <w:p>
      <w:pPr>
        <w:spacing w:after="0" w:line="73" w:lineRule="exact"/>
        <w:rPr>
          <w:sz w:val="20"/>
          <w:szCs w:val="20"/>
          <w:color w:val="auto"/>
        </w:rPr>
      </w:pPr>
    </w:p>
    <w:p>
      <w:pPr>
        <w:ind w:left="980" w:right="1139"/>
        <w:spacing w:after="0" w:line="255" w:lineRule="auto"/>
        <w:rPr>
          <w:sz w:val="20"/>
          <w:szCs w:val="20"/>
          <w:color w:val="auto"/>
        </w:rPr>
      </w:pPr>
      <w:r>
        <w:rPr>
          <w:rFonts w:ascii="Times New Roman" w:cs="Times New Roman" w:eastAsia="Times New Roman" w:hAnsi="Times New Roman"/>
          <w:sz w:val="15"/>
          <w:szCs w:val="15"/>
          <w:color w:val="auto"/>
        </w:rPr>
        <w:t>This prospectus, any related free writing prospectus and the information and documents incorporated by reference herein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69" w:lineRule="exact"/>
        <w:rPr>
          <w:sz w:val="20"/>
          <w:szCs w:val="20"/>
          <w:color w:val="auto"/>
        </w:rPr>
      </w:pPr>
    </w:p>
    <w:p>
      <w:pPr>
        <w:ind w:left="1580" w:right="1019" w:hanging="291"/>
        <w:spacing w:after="0" w:line="265"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ongoing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59" w:lineRule="exact"/>
        <w:rPr>
          <w:rFonts w:ascii="Times New Roman" w:cs="Times New Roman" w:eastAsia="Times New Roman" w:hAnsi="Times New Roman"/>
          <w:sz w:val="15"/>
          <w:szCs w:val="15"/>
          <w:color w:val="auto"/>
        </w:rPr>
      </w:pPr>
    </w:p>
    <w:p>
      <w:pPr>
        <w:ind w:left="1580" w:right="1139" w:hanging="291"/>
        <w:spacing w:after="0" w:line="260"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63" w:lineRule="exact"/>
        <w:rPr>
          <w:rFonts w:ascii="Times New Roman" w:cs="Times New Roman" w:eastAsia="Times New Roman" w:hAnsi="Times New Roman"/>
          <w:sz w:val="15"/>
          <w:szCs w:val="15"/>
          <w:color w:val="auto"/>
        </w:rPr>
      </w:pPr>
    </w:p>
    <w:p>
      <w:pPr>
        <w:ind w:left="1580" w:right="999" w:hanging="291"/>
        <w:spacing w:after="0" w:line="265"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59"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durability of effects from our product candidates;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scope or likelihood of regulatory filings and approvals;</w:t>
      </w:r>
    </w:p>
    <w:p>
      <w:pPr>
        <w:spacing w:after="0" w:line="97" w:lineRule="exact"/>
        <w:rPr>
          <w:rFonts w:ascii="Times New Roman" w:cs="Times New Roman" w:eastAsia="Times New Roman" w:hAnsi="Times New Roman"/>
          <w:sz w:val="15"/>
          <w:szCs w:val="15"/>
          <w:color w:val="auto"/>
        </w:rPr>
      </w:pPr>
    </w:p>
    <w:p>
      <w:pPr>
        <w:ind w:left="1580" w:right="1279" w:hanging="291"/>
        <w:spacing w:after="0" w:line="280"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regulatory pathway for our product candidates and planned interactions with regulatory agencies;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advance product candidates into, and successfully complete, clinical studies;</w:t>
      </w:r>
    </w:p>
    <w:p>
      <w:pPr>
        <w:spacing w:after="0" w:line="97" w:lineRule="exact"/>
        <w:rPr>
          <w:rFonts w:ascii="Times New Roman" w:cs="Times New Roman" w:eastAsia="Times New Roman" w:hAnsi="Times New Roman"/>
          <w:sz w:val="15"/>
          <w:szCs w:val="15"/>
          <w:color w:val="auto"/>
        </w:rPr>
      </w:pPr>
    </w:p>
    <w:p>
      <w:pPr>
        <w:ind w:left="1580" w:right="1179" w:hanging="291"/>
        <w:spacing w:after="0" w:line="280"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size of the patient populations for our product candidates, if approved for commercial use;</w:t>
      </w:r>
    </w:p>
    <w:p>
      <w:pPr>
        <w:spacing w:after="0" w:line="48" w:lineRule="exact"/>
        <w:rPr>
          <w:rFonts w:ascii="Times New Roman" w:cs="Times New Roman" w:eastAsia="Times New Roman" w:hAnsi="Times New Roman"/>
          <w:sz w:val="15"/>
          <w:szCs w:val="15"/>
          <w:color w:val="auto"/>
        </w:rPr>
      </w:pPr>
    </w:p>
    <w:p>
      <w:pPr>
        <w:ind w:left="1580" w:right="1279" w:hanging="291"/>
        <w:spacing w:after="0" w:line="280"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implementation of our business model and our strategic plans for our business, product candidates, technology and plato platform;</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commercialization, marketing and manufacturing capabilities and strategy;</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pricing and reimbursement of our product candidates, if approved;</w:t>
      </w:r>
    </w:p>
    <w:p>
      <w:pPr>
        <w:spacing w:after="0" w:line="97" w:lineRule="exact"/>
        <w:rPr>
          <w:rFonts w:ascii="Times New Roman" w:cs="Times New Roman" w:eastAsia="Times New Roman" w:hAnsi="Times New Roman"/>
          <w:sz w:val="15"/>
          <w:szCs w:val="15"/>
          <w:color w:val="auto"/>
        </w:rPr>
      </w:pPr>
    </w:p>
    <w:p>
      <w:pPr>
        <w:ind w:left="1580" w:right="1079" w:hanging="291"/>
        <w:spacing w:after="0" w:line="280"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scalability and commercial viability of our manufacturing methods and processes, including our move to a closed, automated system;</w:t>
      </w:r>
    </w:p>
    <w:p>
      <w:pPr>
        <w:spacing w:after="0" w:line="48" w:lineRule="exact"/>
        <w:rPr>
          <w:rFonts w:ascii="Times New Roman" w:cs="Times New Roman" w:eastAsia="Times New Roman" w:hAnsi="Times New Roman"/>
          <w:sz w:val="15"/>
          <w:szCs w:val="15"/>
          <w:color w:val="auto"/>
        </w:rPr>
      </w:pPr>
    </w:p>
    <w:p>
      <w:pPr>
        <w:ind w:left="1580" w:right="1199" w:hanging="291"/>
        <w:spacing w:after="0" w:line="280"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and clinical utility of our product candidates, in particular, and gene therapy, in general;</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or maintain collaborations or strategic relationships or obtain additional funding;</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competitive position;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48" w:name="page49"/>
    <w:bookmarkEnd w:id="48"/>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019" w:hanging="291"/>
        <w:spacing w:after="0" w:line="265"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59"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performance;</w:t>
      </w:r>
    </w:p>
    <w:p>
      <w:pPr>
        <w:spacing w:after="0" w:line="97" w:lineRule="exact"/>
        <w:rPr>
          <w:rFonts w:ascii="Times New Roman" w:cs="Times New Roman" w:eastAsia="Times New Roman" w:hAnsi="Times New Roman"/>
          <w:sz w:val="15"/>
          <w:szCs w:val="15"/>
          <w:color w:val="auto"/>
        </w:rPr>
      </w:pPr>
    </w:p>
    <w:p>
      <w:pPr>
        <w:ind w:left="1580" w:right="1639" w:hanging="291"/>
        <w:spacing w:after="0" w:line="280"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the continued service of our key professionals and to identify, hire and retain additional qualified professionals;</w:t>
      </w:r>
    </w:p>
    <w:p>
      <w:pPr>
        <w:spacing w:after="0" w:line="48" w:lineRule="exact"/>
        <w:rPr>
          <w:rFonts w:ascii="Times New Roman" w:cs="Times New Roman" w:eastAsia="Times New Roman" w:hAnsi="Times New Roman"/>
          <w:sz w:val="15"/>
          <w:szCs w:val="15"/>
          <w:color w:val="auto"/>
        </w:rPr>
      </w:pPr>
    </w:p>
    <w:p>
      <w:pPr>
        <w:ind w:left="1580" w:right="1299" w:hanging="291"/>
        <w:spacing w:after="0" w:line="280"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and projections relating to our competitors and our industry including other lentiviral or HSC gene therapy companies;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related to the use of our cash reserves;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related to the use of proceeds from this offering;</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regarding expenses, future revenue, capital requirements and needs for additional financing;</w:t>
      </w:r>
    </w:p>
    <w:p>
      <w:pPr>
        <w:spacing w:after="0" w:line="97" w:lineRule="exact"/>
        <w:rPr>
          <w:rFonts w:ascii="Times New Roman" w:cs="Times New Roman" w:eastAsia="Times New Roman" w:hAnsi="Times New Roman"/>
          <w:sz w:val="15"/>
          <w:szCs w:val="15"/>
          <w:color w:val="auto"/>
        </w:rPr>
      </w:pPr>
    </w:p>
    <w:p>
      <w:pPr>
        <w:ind w:left="1580" w:right="1119" w:hanging="291"/>
        <w:spacing w:after="0" w:line="280"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comply with the terms of our Loan and Security Agreement, dated as of November 2, 2021, with Silicon Valley Bank;</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avoid any findings of material weaknesses or significant deficiencies in the future;</w:t>
      </w:r>
    </w:p>
    <w:p>
      <w:pPr>
        <w:spacing w:after="0" w:line="97" w:lineRule="exact"/>
        <w:rPr>
          <w:rFonts w:ascii="Times New Roman" w:cs="Times New Roman" w:eastAsia="Times New Roman" w:hAnsi="Times New Roman"/>
          <w:sz w:val="15"/>
          <w:szCs w:val="15"/>
          <w:color w:val="auto"/>
        </w:rPr>
      </w:pPr>
    </w:p>
    <w:p>
      <w:pPr>
        <w:ind w:left="1580" w:right="1119" w:hanging="291"/>
        <w:spacing w:after="0" w:line="280"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satisfy the continued listing requirements of Nasdaq, including a minimum bid price, and to maintain our common stock listing on Nasdaq or any stock exchange;</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laws and regulations, including without limitation recently enacted tax reform legislation;</w:t>
      </w:r>
    </w:p>
    <w:p>
      <w:pPr>
        <w:spacing w:after="0" w:line="97" w:lineRule="exact"/>
        <w:rPr>
          <w:rFonts w:ascii="Times New Roman" w:cs="Times New Roman" w:eastAsia="Times New Roman" w:hAnsi="Times New Roman"/>
          <w:sz w:val="15"/>
          <w:szCs w:val="15"/>
          <w:color w:val="auto"/>
        </w:rPr>
      </w:pPr>
    </w:p>
    <w:p>
      <w:pPr>
        <w:ind w:left="1580" w:right="1619" w:hanging="291"/>
        <w:spacing w:after="0" w:line="280"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time during which we are an emerging growth company under the Jumpstart Our Business Startups Act of 2012, as amended, or the JOBS Act; and</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including those listed under the caption “Risk Factors.”</w:t>
      </w:r>
    </w:p>
    <w:p>
      <w:pPr>
        <w:spacing w:after="0" w:line="98" w:lineRule="exact"/>
        <w:rPr>
          <w:sz w:val="20"/>
          <w:szCs w:val="20"/>
          <w:color w:val="auto"/>
        </w:rPr>
      </w:pPr>
    </w:p>
    <w:p>
      <w:pPr>
        <w:ind w:left="980" w:right="999"/>
        <w:spacing w:after="0" w:line="256" w:lineRule="auto"/>
        <w:rPr>
          <w:sz w:val="20"/>
          <w:szCs w:val="20"/>
          <w:color w:val="auto"/>
        </w:rPr>
      </w:pPr>
      <w:r>
        <w:rPr>
          <w:rFonts w:ascii="Times New Roman" w:cs="Times New Roman" w:eastAsia="Times New Roman" w:hAnsi="Times New Roman"/>
          <w:sz w:val="15"/>
          <w:szCs w:val="15"/>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and any subsequent Quarterly Reports on Form 10-Q or Current Reports on Form 8-K, and the section of the prospectus titled “Risk Factors.”</w:t>
      </w:r>
    </w:p>
    <w:p>
      <w:pPr>
        <w:spacing w:after="0" w:line="68" w:lineRule="exact"/>
        <w:rPr>
          <w:sz w:val="20"/>
          <w:szCs w:val="20"/>
          <w:color w:val="auto"/>
        </w:rPr>
      </w:pPr>
    </w:p>
    <w:p>
      <w:pPr>
        <w:ind w:left="980" w:right="1099"/>
        <w:spacing w:after="0" w:line="256" w:lineRule="auto"/>
        <w:rPr>
          <w:sz w:val="20"/>
          <w:szCs w:val="20"/>
          <w:color w:val="auto"/>
        </w:rPr>
      </w:pPr>
      <w:r>
        <w:rPr>
          <w:rFonts w:ascii="Times New Roman" w:cs="Times New Roman" w:eastAsia="Times New Roman" w:hAnsi="Times New Roman"/>
          <w:sz w:val="15"/>
          <w:szCs w:val="15"/>
          <w:color w:val="auto"/>
        </w:rPr>
        <w:t>The forward-looking statements in this prospectus, any related free writing prospectus and the documents incorporated by reference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dates on which they were made.</w:t>
      </w:r>
    </w:p>
    <w:p>
      <w:pPr>
        <w:spacing w:after="0" w:line="68" w:lineRule="exact"/>
        <w:rPr>
          <w:sz w:val="20"/>
          <w:szCs w:val="20"/>
          <w:color w:val="auto"/>
        </w:rPr>
      </w:pPr>
    </w:p>
    <w:p>
      <w:pPr>
        <w:ind w:left="980" w:right="1059"/>
        <w:spacing w:after="0" w:line="255" w:lineRule="auto"/>
        <w:rPr>
          <w:sz w:val="20"/>
          <w:szCs w:val="20"/>
          <w:color w:val="auto"/>
        </w:rPr>
      </w:pPr>
      <w:r>
        <w:rPr>
          <w:rFonts w:ascii="Times New Roman" w:cs="Times New Roman" w:eastAsia="Times New Roman" w:hAnsi="Times New Roman"/>
          <w:sz w:val="15"/>
          <w:szCs w:val="15"/>
          <w:color w:val="auto"/>
        </w:rPr>
        <w:t>This prospectus, any related free writing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49" w:name="page50"/>
    <w:bookmarkEnd w:id="49"/>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02" w:lineRule="exact"/>
        <w:rPr>
          <w:sz w:val="20"/>
          <w:szCs w:val="20"/>
          <w:color w:val="auto"/>
        </w:rPr>
      </w:pPr>
    </w:p>
    <w:p>
      <w:pPr>
        <w:ind w:left="980" w:right="1079"/>
        <w:spacing w:after="0" w:line="258" w:lineRule="auto"/>
        <w:rPr>
          <w:sz w:val="20"/>
          <w:szCs w:val="20"/>
          <w:color w:val="auto"/>
        </w:rPr>
      </w:pPr>
      <w:r>
        <w:rPr>
          <w:rFonts w:ascii="Times New Roman" w:cs="Times New Roman" w:eastAsia="Times New Roman" w:hAnsi="Times New Roman"/>
          <w:sz w:val="15"/>
          <w:szCs w:val="15"/>
          <w:color w:val="auto"/>
        </w:rPr>
        <w:t>We may issue and sell shares of our common stock having aggregate sales proceeds of up to $50,000,000 from time to time. The amount of proceeds from this offering will depend upon the number of shares of our common stock sold and the market price at which they are sold. There can be no assurance that we will be able to sell any shares under or fully utilize the sales agreement with Cowen as a source of financing. Therefore, the actual total public offering amount, commissions and proceeds to us, if any, are not determinable at this time.</w:t>
      </w:r>
    </w:p>
    <w:p>
      <w:pPr>
        <w:spacing w:after="0" w:line="64" w:lineRule="exact"/>
        <w:rPr>
          <w:sz w:val="20"/>
          <w:szCs w:val="20"/>
          <w:color w:val="auto"/>
        </w:rPr>
      </w:pPr>
    </w:p>
    <w:p>
      <w:pPr>
        <w:ind w:left="980" w:right="999"/>
        <w:spacing w:after="0" w:line="254" w:lineRule="auto"/>
        <w:rPr>
          <w:sz w:val="20"/>
          <w:szCs w:val="20"/>
          <w:color w:val="auto"/>
        </w:rPr>
      </w:pPr>
      <w:r>
        <w:rPr>
          <w:rFonts w:ascii="Times New Roman" w:cs="Times New Roman" w:eastAsia="Times New Roman" w:hAnsi="Times New Roman"/>
          <w:sz w:val="15"/>
          <w:szCs w:val="15"/>
          <w:color w:val="auto"/>
        </w:rPr>
        <w:t>We intend to use any net proceeds from this offering primarily to fund activities relating to the advancement of our product candidates, and for other general corporate purposes.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repayment of debt,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0" w:name="page51"/>
    <w:bookmarkEnd w:id="50"/>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02" w:lineRule="exact"/>
        <w:rPr>
          <w:sz w:val="20"/>
          <w:szCs w:val="20"/>
          <w:color w:val="auto"/>
        </w:rPr>
      </w:pPr>
    </w:p>
    <w:p>
      <w:pPr>
        <w:ind w:left="980" w:right="1159"/>
        <w:spacing w:after="0" w:line="255" w:lineRule="auto"/>
        <w:rPr>
          <w:sz w:val="20"/>
          <w:szCs w:val="20"/>
          <w:color w:val="auto"/>
        </w:rPr>
      </w:pPr>
      <w:r>
        <w:rPr>
          <w:rFonts w:ascii="Times New Roman" w:cs="Times New Roman" w:eastAsia="Times New Roman" w:hAnsi="Times New Roman"/>
          <w:sz w:val="15"/>
          <w:szCs w:val="15"/>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1" w:name="page52"/>
    <w:bookmarkEnd w:id="51"/>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02" w:lineRule="exact"/>
        <w:rPr>
          <w:sz w:val="20"/>
          <w:szCs w:val="20"/>
          <w:color w:val="auto"/>
        </w:rPr>
      </w:pPr>
    </w:p>
    <w:p>
      <w:pPr>
        <w:ind w:left="980" w:right="999"/>
        <w:spacing w:after="0" w:line="256" w:lineRule="auto"/>
        <w:rPr>
          <w:sz w:val="20"/>
          <w:szCs w:val="20"/>
          <w:color w:val="auto"/>
        </w:rPr>
      </w:pPr>
      <w:r>
        <w:rPr>
          <w:rFonts w:ascii="Times New Roman" w:cs="Times New Roman" w:eastAsia="Times New Roman" w:hAnsi="Times New Roman"/>
          <w:sz w:val="15"/>
          <w:szCs w:val="15"/>
          <w:color w:val="auto"/>
        </w:rPr>
        <w:t>If you invest in our common stock in this offering, your ownership interest will be diluted to the extent of the difference between the public offering price per share of our common stock in this offering and the as adjusted net tangible book value per share of our common stock immediately after this offering. Our net tangible book value as of September 30, 2022 was approximately $97,918, or approximately $2.24 per share of common stock. Net tangible book value per share represents the amount of total tangible assets (total assets less intangible assets) less total liabilities, divided by the number of shares of our common stock outstanding as of September 30, 2022.</w:t>
      </w:r>
    </w:p>
    <w:p>
      <w:pPr>
        <w:spacing w:after="0" w:line="68" w:lineRule="exact"/>
        <w:rPr>
          <w:sz w:val="20"/>
          <w:szCs w:val="20"/>
          <w:color w:val="auto"/>
        </w:rPr>
      </w:pPr>
    </w:p>
    <w:p>
      <w:pPr>
        <w:ind w:left="980" w:right="1019"/>
        <w:spacing w:after="0" w:line="254" w:lineRule="auto"/>
        <w:rPr>
          <w:sz w:val="20"/>
          <w:szCs w:val="20"/>
          <w:color w:val="auto"/>
        </w:rPr>
      </w:pPr>
      <w:r>
        <w:rPr>
          <w:rFonts w:ascii="Times New Roman" w:cs="Times New Roman" w:eastAsia="Times New Roman" w:hAnsi="Times New Roman"/>
          <w:sz w:val="15"/>
          <w:szCs w:val="15"/>
          <w:color w:val="auto"/>
        </w:rPr>
        <w:t>Dilution in net tangible book value per share to new investors participating in this offering represents the difference between the amount per share paid by purchasers in this offering and the as adjusted net tangible book value per share of our common stock immediately after giving effect to this offering. After giving effect to the assumed sale of 74,074,074 shares of our common stock in the aggregate amount of approximately $50,000,000 at an assumed offering price of $0.675 per share, the last reported sale price of our common stock on November 3, 2022, and after deduction of commissions and estimated aggregate offering expenses payable by us, our as adjusted net tangible book value as of September 30, 2022 would have been approximately $146,168, or approximately $1.24 per share of common stock. This represents an immediate decrease in net tangible book value of $1.00 per share of common stock to our existing stockholders and an immediate dilution in net tangible book value of $0.57 per share of common stock to investors participating in this offering at the assumed offering price.</w:t>
      </w:r>
    </w:p>
    <w:p>
      <w:pPr>
        <w:spacing w:after="0" w:line="67" w:lineRule="exact"/>
        <w:rPr>
          <w:sz w:val="20"/>
          <w:szCs w:val="20"/>
          <w:color w:val="auto"/>
        </w:rPr>
      </w:pPr>
    </w:p>
    <w:p>
      <w:pPr>
        <w:jc w:val="both"/>
        <w:ind w:left="980" w:right="1099"/>
        <w:spacing w:after="0" w:line="265" w:lineRule="auto"/>
        <w:rPr>
          <w:sz w:val="20"/>
          <w:szCs w:val="20"/>
          <w:color w:val="auto"/>
        </w:rPr>
      </w:pPr>
      <w:r>
        <w:rPr>
          <w:rFonts w:ascii="Times New Roman" w:cs="Times New Roman" w:eastAsia="Times New Roman" w:hAnsi="Times New Roman"/>
          <w:sz w:val="15"/>
          <w:szCs w:val="15"/>
          <w:color w:val="auto"/>
        </w:rPr>
        <w:t>Dilution per share to new investors is determined by subtracting as adjusted net tangible book value per share after this offering from the assumed public offering price per share paid by new investors. The following table illustrates this per share dilution:</w:t>
      </w:r>
    </w:p>
    <w:p>
      <w:pPr>
        <w:spacing w:after="0" w:line="52" w:lineRule="exact"/>
        <w:rPr>
          <w:sz w:val="20"/>
          <w:szCs w:val="20"/>
          <w:color w:val="auto"/>
        </w:rPr>
      </w:pPr>
    </w:p>
    <w:tbl>
      <w:tblPr>
        <w:tblLayout w:type="fixed"/>
        <w:tblInd w:w="980" w:type="dxa"/>
        <w:tblCellMar>
          <w:top w:w="0" w:type="dxa"/>
          <w:left w:w="0" w:type="dxa"/>
          <w:bottom w:w="0" w:type="dxa"/>
          <w:right w:w="0" w:type="dxa"/>
        </w:tblCellMar>
      </w:tblPr>
      <w:tr>
        <w:trPr>
          <w:trHeight w:val="295"/>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Assumed offering price per share</w:t>
            </w:r>
          </w:p>
        </w:tc>
        <w:tc>
          <w:tcPr>
            <w:tcW w:w="1100" w:type="dxa"/>
            <w:vAlign w:val="bottom"/>
            <w:tcBorders>
              <w:bottom w:val="single" w:sz="8" w:color="CCEEFF"/>
            </w:tcBorders>
            <w:gridSpan w:val="4"/>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$0.675</w:t>
            </w:r>
          </w:p>
        </w:tc>
        <w:tc>
          <w:tcPr>
            <w:tcW w:w="3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2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Net tangible book value per share as of September 30, 2022</w:t>
            </w:r>
          </w:p>
        </w:tc>
        <w:tc>
          <w:tcPr>
            <w:tcW w:w="66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auto"/>
              </w:rPr>
              <w:t>$2.24</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1"/>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Decrease in net tangible book value per share attributable to new investors attributable to</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1"/>
        </w:trPr>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this offering</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1.00</w:t>
            </w: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2"/>
        </w:trPr>
        <w:tc>
          <w:tcPr>
            <w:tcW w:w="5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As adjusted net tangible book value per share as of September 30, 2022, after giving</w:t>
            </w:r>
          </w:p>
        </w:tc>
        <w:tc>
          <w:tcPr>
            <w:tcW w:w="26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184"/>
        </w:trPr>
        <w:tc>
          <w:tcPr>
            <w:tcW w:w="56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effect to this offering</w:t>
            </w:r>
          </w:p>
        </w:tc>
        <w:tc>
          <w:tcPr>
            <w:tcW w:w="144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48"/>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in net tangible book value per share to new investors participating in this</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4"/>
        </w:trPr>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offering</w:t>
            </w:r>
          </w:p>
        </w:tc>
        <w:tc>
          <w:tcPr>
            <w:tcW w:w="14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0.57</w:t>
            </w:r>
          </w:p>
        </w:tc>
      </w:tr>
      <w:tr>
        <w:trPr>
          <w:trHeight w:val="36"/>
        </w:trPr>
        <w:tc>
          <w:tcPr>
            <w:tcW w:w="56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r>
    </w:tbl>
    <w:p>
      <w:pPr>
        <w:spacing w:after="0" w:line="76" w:lineRule="exact"/>
        <w:rPr>
          <w:sz w:val="20"/>
          <w:szCs w:val="20"/>
          <w:color w:val="auto"/>
        </w:rPr>
      </w:pPr>
    </w:p>
    <w:p>
      <w:pPr>
        <w:ind w:left="980" w:right="1019"/>
        <w:spacing w:after="0" w:line="252" w:lineRule="auto"/>
        <w:rPr>
          <w:sz w:val="20"/>
          <w:szCs w:val="20"/>
          <w:color w:val="auto"/>
        </w:rPr>
      </w:pPr>
      <w:r>
        <w:rPr>
          <w:rFonts w:ascii="Times New Roman" w:cs="Times New Roman" w:eastAsia="Times New Roman" w:hAnsi="Times New Roman"/>
          <w:sz w:val="15"/>
          <w:szCs w:val="15"/>
          <w:color w:val="auto"/>
        </w:rPr>
        <w:t>The table above assumes for illustrative purposes that an aggregate of 74,074,074 shares of our common stock are sold at a price of $0.675 per share, the last reported sale price of our common stock on Nasdaq on November 3, 2022, for aggregate gross proceeds of approximately $50,000,000. The shares sold in this offering, if any, will be sold from time to time at various prices. An increase of $0.50 per share in the price at which the shares are sold from the assumed offering price of $0.675 per share shown in the table above, assuming all of our common stock in the aggregate amount of approximately $50,000,000 is sold at that price, would result in an increase to our adjusted net tangible book value per share after the offering to $182,094 and an increase in the dilution in net tangible book value per share to new investors in this offering to $0.37 after deducting commissions and estimated offering expenses payable by us. A decrease of $0.50 per share in the price at which the shares are sold from the assumed offering price of $0.675 per share shown in the table above, assuming all of our common stock in the aggregate amount of approximately $50,000,000 is sold at that price, would result in a decrease to our adjusted net tangible book value per share after the offering to $110,242 and a decrease in the dilution in net tangible book value per share to new investors in this offering to $0.76, after deducting commissions and estimated offering expenses payable by us. This information is supplied for illustrative purposes only, and will adjust based on the actual offering prices, the actual number of shares that we offer and sell in this offering and other terms of each sale of shares in this offering.</w:t>
      </w:r>
    </w:p>
    <w:p>
      <w:pPr>
        <w:spacing w:after="0" w:line="78" w:lineRule="exact"/>
        <w:rPr>
          <w:sz w:val="20"/>
          <w:szCs w:val="20"/>
          <w:color w:val="auto"/>
        </w:rPr>
      </w:pPr>
    </w:p>
    <w:p>
      <w:pPr>
        <w:ind w:left="980" w:right="1039"/>
        <w:spacing w:after="0" w:line="280" w:lineRule="auto"/>
        <w:rPr>
          <w:sz w:val="20"/>
          <w:szCs w:val="20"/>
          <w:color w:val="auto"/>
        </w:rPr>
      </w:pPr>
      <w:r>
        <w:rPr>
          <w:rFonts w:ascii="Times New Roman" w:cs="Times New Roman" w:eastAsia="Times New Roman" w:hAnsi="Times New Roman"/>
          <w:sz w:val="15"/>
          <w:szCs w:val="15"/>
          <w:color w:val="auto"/>
        </w:rPr>
        <w:t>The information above and in the foregoing table is based upon 43,774,040 shares of our common stock outstanding as of September 30, 2022. The information above and in the foregoing table excludes as of September 30, 2022:</w:t>
      </w:r>
    </w:p>
    <w:p>
      <w:pPr>
        <w:spacing w:after="0" w:line="48" w:lineRule="exact"/>
        <w:rPr>
          <w:sz w:val="20"/>
          <w:szCs w:val="20"/>
          <w:color w:val="auto"/>
        </w:rPr>
      </w:pPr>
    </w:p>
    <w:p>
      <w:pPr>
        <w:ind w:left="1580" w:right="1679" w:hanging="291"/>
        <w:spacing w:after="0" w:line="280" w:lineRule="auto"/>
        <w:tabs>
          <w:tab w:leader="none" w:pos="15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8,083,363 shares of common stock issuable upon the exercise of stock options outstanding as of September 30, 2022 at a weighted-average exercise price of $9.05 per share;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2" w:name="page53"/>
    <w:bookmarkEnd w:id="52"/>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399" w:hanging="291"/>
        <w:spacing w:after="0" w:line="280" w:lineRule="auto"/>
        <w:tabs>
          <w:tab w:leader="none" w:pos="15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870,536 shares of common stock issuable upon the vesting of restricted stock units outstanding as of September 30, 2022;</w:t>
      </w:r>
    </w:p>
    <w:p>
      <w:pPr>
        <w:spacing w:after="0" w:line="48" w:lineRule="exact"/>
        <w:rPr>
          <w:rFonts w:ascii="Times New Roman" w:cs="Times New Roman" w:eastAsia="Times New Roman" w:hAnsi="Times New Roman"/>
          <w:sz w:val="15"/>
          <w:szCs w:val="15"/>
          <w:color w:val="auto"/>
        </w:rPr>
      </w:pPr>
    </w:p>
    <w:p>
      <w:pPr>
        <w:ind w:left="1580" w:right="1599" w:hanging="291"/>
        <w:spacing w:after="0" w:line="280" w:lineRule="auto"/>
        <w:tabs>
          <w:tab w:leader="none" w:pos="15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6,661,524 shares of common stock reserved for future issuance under our 2018 Stock Option and Incentive Plan;</w:t>
      </w:r>
    </w:p>
    <w:p>
      <w:pPr>
        <w:spacing w:after="0" w:line="48" w:lineRule="exact"/>
        <w:rPr>
          <w:rFonts w:ascii="Times New Roman" w:cs="Times New Roman" w:eastAsia="Times New Roman" w:hAnsi="Times New Roman"/>
          <w:sz w:val="15"/>
          <w:szCs w:val="15"/>
          <w:color w:val="auto"/>
        </w:rPr>
      </w:pPr>
    </w:p>
    <w:p>
      <w:pPr>
        <w:ind w:left="1580" w:right="1079" w:hanging="291"/>
        <w:spacing w:after="0" w:line="280" w:lineRule="auto"/>
        <w:tabs>
          <w:tab w:leader="none" w:pos="15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1,467,026 shares of common stock reserved for future issuance under our 2018 Employee Stock Purchase Plan;</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752,048 shares of common stock reserved for future issuance under our 2019 Inducement Plan; and</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1,637,000 shares of common stock reserved for future issuance under our 2020 Inducement Plan.</w:t>
      </w:r>
    </w:p>
    <w:p>
      <w:pPr>
        <w:spacing w:after="0" w:line="98" w:lineRule="exact"/>
        <w:rPr>
          <w:sz w:val="20"/>
          <w:szCs w:val="20"/>
          <w:color w:val="auto"/>
        </w:rPr>
      </w:pPr>
    </w:p>
    <w:p>
      <w:pPr>
        <w:ind w:left="980" w:right="1039"/>
        <w:spacing w:after="0" w:line="258" w:lineRule="auto"/>
        <w:rPr>
          <w:sz w:val="20"/>
          <w:szCs w:val="20"/>
          <w:color w:val="auto"/>
        </w:rPr>
      </w:pPr>
      <w:r>
        <w:rPr>
          <w:rFonts w:ascii="Times New Roman" w:cs="Times New Roman" w:eastAsia="Times New Roman" w:hAnsi="Times New Roman"/>
          <w:sz w:val="15"/>
          <w:szCs w:val="15"/>
          <w:color w:val="auto"/>
        </w:rPr>
        <w:t>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of our outstanding options are exercised, new options are issued under our equity incentive plans or we issue additional shares of common stock or other equity or convertible debt securities in the future, there will be further dilution to investors participating in this offering.</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3" w:name="page54"/>
    <w:bookmarkEnd w:id="53"/>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MATERIAL U.S. FEDERAL INCOME TAX CONSIDERATIONS FOR NON-U.S. HOLDERS</w:t>
      </w:r>
    </w:p>
    <w:p>
      <w:pPr>
        <w:spacing w:after="0" w:line="102" w:lineRule="exact"/>
        <w:rPr>
          <w:sz w:val="20"/>
          <w:szCs w:val="20"/>
          <w:color w:val="auto"/>
        </w:rPr>
      </w:pPr>
    </w:p>
    <w:p>
      <w:pPr>
        <w:ind w:left="980" w:right="1279"/>
        <w:spacing w:after="0" w:line="260" w:lineRule="auto"/>
        <w:rPr>
          <w:sz w:val="20"/>
          <w:szCs w:val="20"/>
          <w:color w:val="auto"/>
        </w:rPr>
      </w:pPr>
      <w:r>
        <w:rPr>
          <w:rFonts w:ascii="Times New Roman" w:cs="Times New Roman" w:eastAsia="Times New Roman" w:hAnsi="Times New Roman"/>
          <w:sz w:val="15"/>
          <w:szCs w:val="15"/>
          <w:color w:val="auto"/>
        </w:rPr>
        <w:t>The following discussion is a summary of certain material U.S. federal income tax considerations for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64" w:lineRule="exact"/>
        <w:rPr>
          <w:sz w:val="20"/>
          <w:szCs w:val="20"/>
          <w:color w:val="auto"/>
        </w:rPr>
      </w:pPr>
    </w:p>
    <w:p>
      <w:pPr>
        <w:ind w:left="1580" w:hanging="291"/>
        <w:spacing w:after="0"/>
        <w:tabs>
          <w:tab w:leader="none" w:pos="158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non-resident alien individual;</w:t>
      </w:r>
    </w:p>
    <w:p>
      <w:pPr>
        <w:spacing w:after="0" w:line="97" w:lineRule="exact"/>
        <w:rPr>
          <w:rFonts w:ascii="Times New Roman" w:cs="Times New Roman" w:eastAsia="Times New Roman" w:hAnsi="Times New Roman"/>
          <w:sz w:val="15"/>
          <w:szCs w:val="15"/>
          <w:color w:val="auto"/>
        </w:rPr>
      </w:pPr>
    </w:p>
    <w:p>
      <w:pPr>
        <w:ind w:left="1580" w:right="1019" w:hanging="291"/>
        <w:spacing w:after="0" w:line="280" w:lineRule="auto"/>
        <w:tabs>
          <w:tab w:leader="none" w:pos="158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foreign corporation or any other foreign organization taxable as a corporation for U.S. federal income tax purposes; or</w:t>
      </w:r>
    </w:p>
    <w:p>
      <w:pPr>
        <w:spacing w:after="0" w:line="48" w:lineRule="exact"/>
        <w:rPr>
          <w:rFonts w:ascii="Times New Roman" w:cs="Times New Roman" w:eastAsia="Times New Roman" w:hAnsi="Times New Roman"/>
          <w:sz w:val="15"/>
          <w:szCs w:val="15"/>
          <w:color w:val="auto"/>
        </w:rPr>
      </w:pPr>
    </w:p>
    <w:p>
      <w:pPr>
        <w:ind w:left="1580" w:right="1319" w:hanging="291"/>
        <w:spacing w:after="0" w:line="280" w:lineRule="auto"/>
        <w:tabs>
          <w:tab w:leader="none" w:pos="158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foreign estate or trust, the income of which is not subject to U.S. federal income tax on a net income basis.</w:t>
      </w:r>
    </w:p>
    <w:p>
      <w:pPr>
        <w:spacing w:after="0" w:line="48" w:lineRule="exact"/>
        <w:rPr>
          <w:sz w:val="20"/>
          <w:szCs w:val="20"/>
          <w:color w:val="auto"/>
        </w:rPr>
      </w:pPr>
    </w:p>
    <w:p>
      <w:pPr>
        <w:ind w:left="980" w:right="1019"/>
        <w:spacing w:after="0" w:line="258" w:lineRule="auto"/>
        <w:rPr>
          <w:sz w:val="20"/>
          <w:szCs w:val="20"/>
          <w:color w:val="auto"/>
        </w:rPr>
      </w:pPr>
      <w:r>
        <w:rPr>
          <w:rFonts w:ascii="Times New Roman" w:cs="Times New Roman" w:eastAsia="Times New Roman" w:hAnsi="Times New Roman"/>
          <w:sz w:val="15"/>
          <w:szCs w:val="15"/>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64" w:lineRule="exact"/>
        <w:rPr>
          <w:sz w:val="20"/>
          <w:szCs w:val="20"/>
          <w:color w:val="auto"/>
        </w:rPr>
      </w:pPr>
    </w:p>
    <w:p>
      <w:pPr>
        <w:ind w:left="980" w:right="1099"/>
        <w:spacing w:after="0" w:line="255" w:lineRule="auto"/>
        <w:rPr>
          <w:sz w:val="20"/>
          <w:szCs w:val="20"/>
          <w:color w:val="auto"/>
        </w:rPr>
      </w:pPr>
      <w:r>
        <w:rPr>
          <w:rFonts w:ascii="Times New Roman" w:cs="Times New Roman" w:eastAsia="Times New Roman" w:hAnsi="Times New Roman"/>
          <w:sz w:val="15"/>
          <w:szCs w:val="15"/>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66" w:lineRule="exact"/>
        <w:rPr>
          <w:sz w:val="20"/>
          <w:szCs w:val="20"/>
          <w:color w:val="auto"/>
        </w:rPr>
      </w:pPr>
    </w:p>
    <w:p>
      <w:pPr>
        <w:ind w:left="980" w:right="1039"/>
        <w:spacing w:after="0" w:line="256" w:lineRule="auto"/>
        <w:rPr>
          <w:sz w:val="20"/>
          <w:szCs w:val="20"/>
          <w:color w:val="auto"/>
        </w:rPr>
      </w:pPr>
      <w:r>
        <w:rPr>
          <w:rFonts w:ascii="Times New Roman" w:cs="Times New Roman" w:eastAsia="Times New Roman" w:hAnsi="Times New Roman"/>
          <w:sz w:val="15"/>
          <w:szCs w:val="15"/>
          <w:color w:val="auto"/>
        </w:rPr>
        <w:t>This discussion does not address all aspects of U.S. federal income taxation that may be relevant to a particular non-U.S. holder in light of that non-U.S. holder’s individual circumstances nor does it address U.S. state, local or non-U.S. taxes, the alternative minimum tax, the rules regarding qualified small business stock within the meaning of Section 1202 of the Code, the Medicare tax on net investment income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68" w:lineRule="exact"/>
        <w:rPr>
          <w:sz w:val="20"/>
          <w:szCs w:val="20"/>
          <w:color w:val="auto"/>
        </w:rPr>
      </w:pPr>
    </w:p>
    <w:p>
      <w:pPr>
        <w:ind w:left="1580" w:hanging="291"/>
        <w:spacing w:after="0"/>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insurance companies;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 governmental organizations;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institutions;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or dealers in securities;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regulated investment companies;</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pension plans;</w:t>
      </w:r>
    </w:p>
    <w:p>
      <w:pPr>
        <w:spacing w:after="0" w:line="97" w:lineRule="exact"/>
        <w:rPr>
          <w:rFonts w:ascii="Times New Roman" w:cs="Times New Roman" w:eastAsia="Times New Roman" w:hAnsi="Times New Roman"/>
          <w:sz w:val="15"/>
          <w:szCs w:val="15"/>
          <w:color w:val="auto"/>
        </w:rPr>
      </w:pPr>
    </w:p>
    <w:p>
      <w:pPr>
        <w:ind w:left="1580" w:right="1599" w:hanging="291"/>
        <w:spacing w:after="0" w:line="280" w:lineRule="auto"/>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 “passive foreign investment companies,” and corporations that accumulate earnings to avoid U.S. federal income tax;</w:t>
      </w:r>
    </w:p>
    <w:p>
      <w:pPr>
        <w:spacing w:after="0" w:line="48" w:lineRule="exact"/>
        <w:rPr>
          <w:rFonts w:ascii="Times New Roman" w:cs="Times New Roman" w:eastAsia="Times New Roman" w:hAnsi="Times New Roman"/>
          <w:sz w:val="15"/>
          <w:szCs w:val="15"/>
          <w:color w:val="auto"/>
        </w:rPr>
      </w:pPr>
    </w:p>
    <w:p>
      <w:pPr>
        <w:ind w:left="1580" w:right="1499" w:hanging="291"/>
        <w:spacing w:after="0" w:line="280" w:lineRule="auto"/>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foreign pension funds” as defined in Section 897(I)(2) of the Code and entities all of the interests of which are held by qualified foreign pension funds;</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have a functional currency other than the U.S. dollar;</w:t>
      </w:r>
    </w:p>
    <w:p>
      <w:pPr>
        <w:spacing w:after="0" w:line="97"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deemed to sell our common stock under the constructive sale provisions of the Code;</w:t>
      </w:r>
    </w:p>
    <w:p>
      <w:pPr>
        <w:spacing w:after="0" w:line="97" w:lineRule="exact"/>
        <w:rPr>
          <w:rFonts w:ascii="Times New Roman" w:cs="Times New Roman" w:eastAsia="Times New Roman" w:hAnsi="Times New Roman"/>
          <w:sz w:val="15"/>
          <w:szCs w:val="15"/>
          <w:color w:val="auto"/>
        </w:rPr>
      </w:pPr>
    </w:p>
    <w:p>
      <w:pPr>
        <w:ind w:left="1580" w:right="1039" w:hanging="291"/>
        <w:spacing w:after="0" w:line="280" w:lineRule="auto"/>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hold our common stock as part of a straddle, hedge, conversion transaction, synthetic security or other integrated investment;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4" w:name="page55"/>
    <w:bookmarkEnd w:id="54"/>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159" w:hanging="291"/>
        <w:spacing w:after="0" w:line="280" w:lineRule="auto"/>
        <w:tabs>
          <w:tab w:leader="none" w:pos="1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or receive our common stock pursuant to the exercise of any employee stock option or otherwise as compensation; and</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U.S. expatriates.</w:t>
      </w:r>
    </w:p>
    <w:p>
      <w:pPr>
        <w:spacing w:after="0" w:line="98" w:lineRule="exact"/>
        <w:rPr>
          <w:sz w:val="20"/>
          <w:szCs w:val="20"/>
          <w:color w:val="auto"/>
        </w:rPr>
      </w:pPr>
    </w:p>
    <w:p>
      <w:pPr>
        <w:jc w:val="both"/>
        <w:ind w:left="980" w:right="1099"/>
        <w:spacing w:after="0" w:line="265" w:lineRule="auto"/>
        <w:rPr>
          <w:sz w:val="20"/>
          <w:szCs w:val="20"/>
          <w:color w:val="auto"/>
        </w:rPr>
      </w:pPr>
      <w:r>
        <w:rPr>
          <w:rFonts w:ascii="Times New Roman" w:cs="Times New Roman" w:eastAsia="Times New Roman" w:hAnsi="Times New Roman"/>
          <w:sz w:val="15"/>
          <w:szCs w:val="15"/>
          <w:color w:val="auto"/>
        </w:rPr>
        <w:t>This discussion is for general information only and is not tax advice. Accordingly, all prospective non-U.S. holders of our common stock should consult their tax advisors with respect to the U.S. federal, state, local and non-U.S. tax consequences of the ownership and disposition of our common stock.</w:t>
      </w:r>
    </w:p>
    <w:p>
      <w:pPr>
        <w:spacing w:after="0" w:line="2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Distributions on Our Common Stock</w:t>
      </w:r>
    </w:p>
    <w:p>
      <w:pPr>
        <w:spacing w:after="0" w:line="102" w:lineRule="exact"/>
        <w:rPr>
          <w:sz w:val="20"/>
          <w:szCs w:val="20"/>
          <w:color w:val="auto"/>
        </w:rPr>
      </w:pPr>
    </w:p>
    <w:p>
      <w:pPr>
        <w:ind w:left="980" w:right="1079"/>
        <w:spacing w:after="0" w:line="255" w:lineRule="auto"/>
        <w:rPr>
          <w:sz w:val="20"/>
          <w:szCs w:val="20"/>
          <w:color w:val="auto"/>
        </w:rPr>
      </w:pPr>
      <w:r>
        <w:rPr>
          <w:rFonts w:ascii="Times New Roman" w:cs="Times New Roman" w:eastAsia="Times New Roman" w:hAnsi="Times New Roman"/>
          <w:sz w:val="15"/>
          <w:szCs w:val="15"/>
          <w:color w:val="auto"/>
        </w:rPr>
        <w:t>As described in the “Risk Factors” section above, we do not anticipate paying any cash dividends on our capital stock in the foreseeable future. 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“FATCA.”</w:t>
      </w:r>
    </w:p>
    <w:p>
      <w:pPr>
        <w:spacing w:after="0" w:line="66" w:lineRule="exact"/>
        <w:rPr>
          <w:sz w:val="20"/>
          <w:szCs w:val="20"/>
          <w:color w:val="auto"/>
        </w:rPr>
      </w:pPr>
    </w:p>
    <w:p>
      <w:pPr>
        <w:ind w:left="980" w:right="1399"/>
        <w:spacing w:after="0" w:line="265" w:lineRule="auto"/>
        <w:rPr>
          <w:sz w:val="20"/>
          <w:szCs w:val="20"/>
          <w:color w:val="auto"/>
        </w:rPr>
      </w:pPr>
      <w:r>
        <w:rPr>
          <w:rFonts w:ascii="Times New Roman" w:cs="Times New Roman" w:eastAsia="Times New Roman" w:hAnsi="Times New Roman"/>
          <w:sz w:val="15"/>
          <w:szCs w:val="15"/>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60" w:lineRule="exact"/>
        <w:rPr>
          <w:sz w:val="20"/>
          <w:szCs w:val="20"/>
          <w:color w:val="auto"/>
        </w:rPr>
      </w:pPr>
    </w:p>
    <w:p>
      <w:pPr>
        <w:ind w:left="980" w:right="1019"/>
        <w:spacing w:after="0" w:line="254" w:lineRule="auto"/>
        <w:rPr>
          <w:sz w:val="20"/>
          <w:szCs w:val="20"/>
          <w:color w:val="auto"/>
        </w:rPr>
      </w:pPr>
      <w:r>
        <w:rPr>
          <w:rFonts w:ascii="Times New Roman" w:cs="Times New Roman" w:eastAsia="Times New Roman" w:hAnsi="Times New Roman"/>
          <w:sz w:val="15"/>
          <w:szCs w:val="15"/>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70" w:lineRule="exact"/>
        <w:rPr>
          <w:sz w:val="20"/>
          <w:szCs w:val="20"/>
          <w:color w:val="auto"/>
        </w:rPr>
      </w:pPr>
    </w:p>
    <w:p>
      <w:pPr>
        <w:ind w:left="980" w:right="1139"/>
        <w:spacing w:after="0" w:line="255" w:lineRule="auto"/>
        <w:rPr>
          <w:sz w:val="20"/>
          <w:szCs w:val="20"/>
          <w:color w:val="auto"/>
        </w:rPr>
      </w:pPr>
      <w:r>
        <w:rPr>
          <w:rFonts w:ascii="Times New Roman" w:cs="Times New Roman" w:eastAsia="Times New Roman" w:hAnsi="Times New Roman"/>
          <w:sz w:val="15"/>
          <w:szCs w:val="15"/>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Gain on Sale or Other Taxable Disposition of Our Common Stock</w:t>
      </w:r>
    </w:p>
    <w:p>
      <w:pPr>
        <w:spacing w:after="0" w:line="102" w:lineRule="exact"/>
        <w:rPr>
          <w:sz w:val="20"/>
          <w:szCs w:val="20"/>
          <w:color w:val="auto"/>
        </w:rPr>
      </w:pPr>
    </w:p>
    <w:p>
      <w:pPr>
        <w:ind w:left="980" w:right="1019"/>
        <w:spacing w:after="0" w:line="265" w:lineRule="auto"/>
        <w:rPr>
          <w:sz w:val="20"/>
          <w:szCs w:val="20"/>
          <w:color w:val="auto"/>
        </w:rPr>
      </w:pPr>
      <w:r>
        <w:rPr>
          <w:rFonts w:ascii="Times New Roman" w:cs="Times New Roman" w:eastAsia="Times New Roman" w:hAnsi="Times New Roman"/>
          <w:sz w:val="15"/>
          <w:szCs w:val="15"/>
          <w:color w:val="auto"/>
        </w:rPr>
        <w:t>Subject to the discussions below under “Backup Withholding and Information Reporting” and “FATCA,” a non-U.S. holder generally will not be subject to any U.S. federal income or withholding tax on any gain realized upon such holder’s sale or other taxable disposition of shares of our common stock unless:</w:t>
      </w:r>
    </w:p>
    <w:p>
      <w:pPr>
        <w:spacing w:after="0" w:line="60" w:lineRule="exact"/>
        <w:rPr>
          <w:sz w:val="20"/>
          <w:szCs w:val="20"/>
          <w:color w:val="auto"/>
        </w:rPr>
      </w:pPr>
    </w:p>
    <w:p>
      <w:pPr>
        <w:ind w:left="1580" w:right="1059" w:hanging="291"/>
        <w:spacing w:after="0" w:line="256" w:lineRule="auto"/>
        <w:tabs>
          <w:tab w:leader="none" w:pos="15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67" w:lineRule="exact"/>
        <w:rPr>
          <w:rFonts w:ascii="Times New Roman" w:cs="Times New Roman" w:eastAsia="Times New Roman" w:hAnsi="Times New Roman"/>
          <w:sz w:val="15"/>
          <w:szCs w:val="15"/>
          <w:color w:val="auto"/>
        </w:rPr>
      </w:pPr>
    </w:p>
    <w:p>
      <w:pPr>
        <w:ind w:left="1580" w:right="1019" w:hanging="291"/>
        <w:spacing w:after="0" w:line="265" w:lineRule="auto"/>
        <w:tabs>
          <w:tab w:leader="none" w:pos="15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5" w:name="page56"/>
    <w:bookmarkEnd w:id="55"/>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119"/>
        <w:spacing w:after="0" w:line="260" w:lineRule="auto"/>
        <w:rPr>
          <w:sz w:val="20"/>
          <w:szCs w:val="20"/>
          <w:color w:val="auto"/>
        </w:rPr>
      </w:pPr>
      <w:r>
        <w:rPr>
          <w:rFonts w:ascii="Times New Roman" w:cs="Times New Roman" w:eastAsia="Times New Roman" w:hAnsi="Times New Roman"/>
          <w:sz w:val="15"/>
          <w:szCs w:val="15"/>
          <w:color w:val="auto"/>
        </w:rPr>
        <w:t>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64" w:lineRule="exact"/>
        <w:rPr>
          <w:sz w:val="20"/>
          <w:szCs w:val="20"/>
          <w:color w:val="auto"/>
        </w:rPr>
      </w:pPr>
    </w:p>
    <w:p>
      <w:pPr>
        <w:ind w:left="1580" w:right="1039" w:hanging="291"/>
        <w:spacing w:after="0" w:line="253" w:lineRule="auto"/>
        <w:tabs>
          <w:tab w:leader="none" w:pos="15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Backup Withholding and Information Reporting</w:t>
      </w:r>
    </w:p>
    <w:p>
      <w:pPr>
        <w:spacing w:after="0" w:line="102" w:lineRule="exact"/>
        <w:rPr>
          <w:sz w:val="20"/>
          <w:szCs w:val="20"/>
          <w:color w:val="auto"/>
        </w:rPr>
      </w:pPr>
    </w:p>
    <w:p>
      <w:pPr>
        <w:ind w:left="980" w:right="1059"/>
        <w:spacing w:after="0" w:line="256" w:lineRule="auto"/>
        <w:rPr>
          <w:sz w:val="20"/>
          <w:szCs w:val="20"/>
          <w:color w:val="auto"/>
        </w:rPr>
      </w:pPr>
      <w:r>
        <w:rPr>
          <w:rFonts w:ascii="Times New Roman" w:cs="Times New Roman" w:eastAsia="Times New Roman" w:hAnsi="Times New Roman"/>
          <w:sz w:val="15"/>
          <w:szCs w:val="15"/>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68" w:lineRule="exact"/>
        <w:rPr>
          <w:sz w:val="20"/>
          <w:szCs w:val="20"/>
          <w:color w:val="auto"/>
        </w:rPr>
      </w:pPr>
    </w:p>
    <w:p>
      <w:pPr>
        <w:ind w:left="980" w:right="1019"/>
        <w:spacing w:after="0" w:line="255" w:lineRule="auto"/>
        <w:rPr>
          <w:sz w:val="20"/>
          <w:szCs w:val="20"/>
          <w:color w:val="auto"/>
        </w:rPr>
      </w:pPr>
      <w:r>
        <w:rPr>
          <w:rFonts w:ascii="Times New Roman" w:cs="Times New Roman" w:eastAsia="Times New Roman" w:hAnsi="Times New Roman"/>
          <w:sz w:val="15"/>
          <w:szCs w:val="15"/>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66" w:lineRule="exact"/>
        <w:rPr>
          <w:sz w:val="20"/>
          <w:szCs w:val="20"/>
          <w:color w:val="auto"/>
        </w:rPr>
      </w:pPr>
    </w:p>
    <w:p>
      <w:pPr>
        <w:jc w:val="both"/>
        <w:ind w:left="980" w:right="1019"/>
        <w:spacing w:after="0" w:line="257" w:lineRule="auto"/>
        <w:rPr>
          <w:sz w:val="20"/>
          <w:szCs w:val="20"/>
          <w:color w:val="auto"/>
        </w:rPr>
      </w:pPr>
      <w:r>
        <w:rPr>
          <w:rFonts w:ascii="Times New Roman" w:cs="Times New Roman" w:eastAsia="Times New Roman" w:hAnsi="Times New Roman"/>
          <w:sz w:val="15"/>
          <w:szCs w:val="15"/>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w:t>
      </w:r>
    </w:p>
    <w:p>
      <w:pPr>
        <w:jc w:val="both"/>
        <w:ind w:left="980" w:right="1319"/>
        <w:spacing w:after="0" w:line="256" w:lineRule="auto"/>
        <w:rPr>
          <w:sz w:val="20"/>
          <w:szCs w:val="20"/>
          <w:color w:val="auto"/>
        </w:rPr>
      </w:pPr>
      <w:r>
        <w:rPr>
          <w:rFonts w:ascii="Times New Roman" w:cs="Times New Roman" w:eastAsia="Times New Roman" w:hAnsi="Times New Roman"/>
          <w:sz w:val="15"/>
          <w:szCs w:val="15"/>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FATCA</w:t>
      </w:r>
    </w:p>
    <w:p>
      <w:pPr>
        <w:spacing w:after="0" w:line="102" w:lineRule="exact"/>
        <w:rPr>
          <w:sz w:val="20"/>
          <w:szCs w:val="20"/>
          <w:color w:val="auto"/>
        </w:rPr>
      </w:pPr>
    </w:p>
    <w:p>
      <w:pPr>
        <w:ind w:left="980" w:right="999"/>
        <w:spacing w:after="0" w:line="253" w:lineRule="auto"/>
        <w:rPr>
          <w:sz w:val="20"/>
          <w:szCs w:val="20"/>
          <w:color w:val="auto"/>
        </w:rPr>
      </w:pPr>
      <w:r>
        <w:rPr>
          <w:rFonts w:ascii="Times New Roman" w:cs="Times New Roman" w:eastAsia="Times New Roman" w:hAnsi="Times New Roman"/>
          <w:sz w:val="15"/>
          <w:szCs w:val="15"/>
          <w:color w:val="auto"/>
        </w:rPr>
        <w:t>Provisions of the Code commonly referred to as the Foreign Account Tax Compliance Act, or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6" w:name="page57"/>
    <w:bookmarkEnd w:id="56"/>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980" w:right="1019"/>
        <w:spacing w:after="0" w:line="265" w:lineRule="auto"/>
        <w:rPr>
          <w:sz w:val="20"/>
          <w:szCs w:val="20"/>
          <w:color w:val="auto"/>
        </w:rPr>
      </w:pPr>
      <w:r>
        <w:rPr>
          <w:rFonts w:ascii="Times New Roman" w:cs="Times New Roman" w:eastAsia="Times New Roman" w:hAnsi="Times New Roman"/>
          <w:sz w:val="15"/>
          <w:szCs w:val="15"/>
          <w:color w:val="auto"/>
        </w:rPr>
        <w:t>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7" w:name="page58"/>
    <w:bookmarkEnd w:id="57"/>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00" w:lineRule="exact"/>
        <w:rPr>
          <w:sz w:val="20"/>
          <w:szCs w:val="20"/>
          <w:color w:val="auto"/>
        </w:rPr>
      </w:pPr>
    </w:p>
    <w:p>
      <w:pPr>
        <w:ind w:left="980" w:right="1039"/>
        <w:spacing w:after="0" w:line="258" w:lineRule="auto"/>
        <w:rPr>
          <w:sz w:val="20"/>
          <w:szCs w:val="20"/>
          <w:color w:val="auto"/>
        </w:rPr>
      </w:pPr>
      <w:r>
        <w:rPr>
          <w:rFonts w:ascii="Times New Roman" w:cs="Times New Roman" w:eastAsia="Times New Roman" w:hAnsi="Times New Roman"/>
          <w:sz w:val="15"/>
          <w:szCs w:val="15"/>
          <w:i w:val="1"/>
          <w:iCs w:val="1"/>
          <w:color w:val="auto"/>
        </w:rPr>
        <w:t>The following description of our common stock and preferred stock summarizes the material terms and provisions of the common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2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2" w:lineRule="exact"/>
        <w:rPr>
          <w:sz w:val="20"/>
          <w:szCs w:val="20"/>
          <w:color w:val="auto"/>
        </w:rPr>
      </w:pPr>
    </w:p>
    <w:p>
      <w:pPr>
        <w:ind w:left="980" w:right="1339"/>
        <w:spacing w:after="0" w:line="265" w:lineRule="auto"/>
        <w:rPr>
          <w:sz w:val="20"/>
          <w:szCs w:val="20"/>
          <w:color w:val="auto"/>
        </w:rPr>
      </w:pPr>
      <w:r>
        <w:rPr>
          <w:rFonts w:ascii="Times New Roman" w:cs="Times New Roman" w:eastAsia="Times New Roman" w:hAnsi="Times New Roman"/>
          <w:sz w:val="15"/>
          <w:szCs w:val="15"/>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As of November 3, 2022, 43,774,088 shares of our common stock were outstanding.</w:t>
      </w:r>
    </w:p>
    <w:p>
      <w:pPr>
        <w:spacing w:after="0" w:line="2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02" w:lineRule="exact"/>
        <w:rPr>
          <w:sz w:val="20"/>
          <w:szCs w:val="20"/>
          <w:color w:val="auto"/>
        </w:rPr>
      </w:pPr>
    </w:p>
    <w:p>
      <w:pPr>
        <w:ind w:left="980" w:right="1019"/>
        <w:spacing w:after="0" w:line="256" w:lineRule="auto"/>
        <w:rPr>
          <w:sz w:val="20"/>
          <w:szCs w:val="20"/>
          <w:color w:val="auto"/>
        </w:rPr>
      </w:pPr>
      <w:r>
        <w:rPr>
          <w:rFonts w:ascii="Times New Roman" w:cs="Times New Roman" w:eastAsia="Times New Roman" w:hAnsi="Times New Roman"/>
          <w:sz w:val="15"/>
          <w:szCs w:val="15"/>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68" w:lineRule="exact"/>
        <w:rPr>
          <w:sz w:val="20"/>
          <w:szCs w:val="20"/>
          <w:color w:val="auto"/>
        </w:rPr>
      </w:pPr>
    </w:p>
    <w:p>
      <w:pPr>
        <w:ind w:left="980" w:right="1119"/>
        <w:spacing w:after="0" w:line="260" w:lineRule="auto"/>
        <w:rPr>
          <w:sz w:val="20"/>
          <w:szCs w:val="20"/>
          <w:color w:val="auto"/>
        </w:rPr>
      </w:pPr>
      <w:r>
        <w:rPr>
          <w:rFonts w:ascii="Times New Roman" w:cs="Times New Roman" w:eastAsia="Times New Roman" w:hAnsi="Times New Roman"/>
          <w:sz w:val="15"/>
          <w:szCs w:val="15"/>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02" w:lineRule="exact"/>
        <w:rPr>
          <w:sz w:val="20"/>
          <w:szCs w:val="20"/>
          <w:color w:val="auto"/>
        </w:rPr>
      </w:pPr>
    </w:p>
    <w:p>
      <w:pPr>
        <w:ind w:left="980" w:right="1019"/>
        <w:spacing w:after="0" w:line="254" w:lineRule="auto"/>
        <w:rPr>
          <w:sz w:val="20"/>
          <w:szCs w:val="20"/>
          <w:color w:val="auto"/>
        </w:rPr>
      </w:pPr>
      <w:r>
        <w:rPr>
          <w:rFonts w:ascii="Times New Roman" w:cs="Times New Roman" w:eastAsia="Times New Roman" w:hAnsi="Times New Roman"/>
          <w:sz w:val="15"/>
          <w:szCs w:val="15"/>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As of September 30, 2022, no shares of preferred stock were outstanding.</w:t>
      </w:r>
    </w:p>
    <w:p>
      <w:pPr>
        <w:spacing w:after="0" w:line="2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Stock Options</w:t>
      </w:r>
    </w:p>
    <w:p>
      <w:pPr>
        <w:spacing w:after="0" w:line="102" w:lineRule="exact"/>
        <w:rPr>
          <w:sz w:val="20"/>
          <w:szCs w:val="20"/>
          <w:color w:val="auto"/>
        </w:rPr>
      </w:pPr>
    </w:p>
    <w:p>
      <w:pPr>
        <w:ind w:left="980" w:right="1399"/>
        <w:spacing w:after="0" w:line="280" w:lineRule="auto"/>
        <w:rPr>
          <w:sz w:val="20"/>
          <w:szCs w:val="20"/>
          <w:color w:val="auto"/>
        </w:rPr>
      </w:pPr>
      <w:r>
        <w:rPr>
          <w:rFonts w:ascii="Times New Roman" w:cs="Times New Roman" w:eastAsia="Times New Roman" w:hAnsi="Times New Roman"/>
          <w:sz w:val="15"/>
          <w:szCs w:val="15"/>
          <w:color w:val="auto"/>
        </w:rPr>
        <w:t>As of September 30, 2022, there were outstanding options to purchase an aggregate of 8,083,363 shares of our common stock.</w:t>
      </w:r>
    </w:p>
    <w:p>
      <w:pPr>
        <w:spacing w:after="0" w:line="2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02" w:lineRule="exact"/>
        <w:rPr>
          <w:sz w:val="20"/>
          <w:szCs w:val="20"/>
          <w:color w:val="auto"/>
        </w:rPr>
      </w:pPr>
    </w:p>
    <w:p>
      <w:pPr>
        <w:ind w:left="980" w:right="1099"/>
        <w:spacing w:after="0" w:line="255" w:lineRule="auto"/>
        <w:rPr>
          <w:sz w:val="20"/>
          <w:szCs w:val="20"/>
          <w:color w:val="auto"/>
        </w:rPr>
      </w:pPr>
      <w:r>
        <w:rPr>
          <w:rFonts w:ascii="Times New Roman" w:cs="Times New Roman" w:eastAsia="Times New Roman" w:hAnsi="Times New Roman"/>
          <w:sz w:val="15"/>
          <w:szCs w:val="15"/>
          <w:color w:val="auto"/>
        </w:rPr>
        <w:t>As of November 1, 2022, the holders of 4,541,381 shares of our common stock are entitled to rights with respect to the registration of these securities under the Securities Act. These rights are provided under the terms of an investors’ rights agreement between us and holders of our preferred stock, which 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8" w:name="page59"/>
    <w:bookmarkEnd w:id="58"/>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w:t>
      </w:r>
    </w:p>
    <w:p>
      <w:pPr>
        <w:spacing w:after="0" w:line="102" w:lineRule="exact"/>
        <w:rPr>
          <w:sz w:val="20"/>
          <w:szCs w:val="20"/>
          <w:color w:val="auto"/>
        </w:rPr>
      </w:pPr>
    </w:p>
    <w:p>
      <w:pPr>
        <w:ind w:left="980" w:right="1019"/>
        <w:spacing w:after="0" w:line="258" w:lineRule="auto"/>
        <w:rPr>
          <w:sz w:val="20"/>
          <w:szCs w:val="20"/>
          <w:color w:val="auto"/>
        </w:rPr>
      </w:pPr>
      <w:r>
        <w:rPr>
          <w:rFonts w:ascii="Times New Roman" w:cs="Times New Roman" w:eastAsia="Times New Roman" w:hAnsi="Times New Roman"/>
          <w:sz w:val="15"/>
          <w:szCs w:val="15"/>
          <w:color w:val="auto"/>
        </w:rPr>
        <w:t>The holders of 4,541,381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Short-Form Registration Rights</w:t>
      </w:r>
    </w:p>
    <w:p>
      <w:pPr>
        <w:spacing w:after="0" w:line="102" w:lineRule="exact"/>
        <w:rPr>
          <w:sz w:val="20"/>
          <w:szCs w:val="20"/>
          <w:color w:val="auto"/>
        </w:rPr>
      </w:pPr>
    </w:p>
    <w:p>
      <w:pPr>
        <w:ind w:left="980" w:right="1099"/>
        <w:spacing w:after="0" w:line="256" w:lineRule="auto"/>
        <w:rPr>
          <w:sz w:val="20"/>
          <w:szCs w:val="20"/>
          <w:color w:val="auto"/>
        </w:rPr>
      </w:pPr>
      <w:r>
        <w:rPr>
          <w:rFonts w:ascii="Times New Roman" w:cs="Times New Roman" w:eastAsia="Times New Roman" w:hAnsi="Times New Roman"/>
          <w:sz w:val="15"/>
          <w:szCs w:val="15"/>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twelve-month period pursuant to this provision of the investors’ rights agreement. The right to have such shares registered on Form S-3 is further subject to other specified conditions and limitations.</w:t>
      </w:r>
    </w:p>
    <w:p>
      <w:pPr>
        <w:spacing w:after="0" w:line="2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Piggyback Registration Rights</w:t>
      </w:r>
    </w:p>
    <w:p>
      <w:pPr>
        <w:spacing w:after="0" w:line="102" w:lineRule="exact"/>
        <w:rPr>
          <w:sz w:val="20"/>
          <w:szCs w:val="20"/>
          <w:color w:val="auto"/>
        </w:rPr>
      </w:pPr>
    </w:p>
    <w:p>
      <w:pPr>
        <w:ind w:left="980" w:right="1099"/>
        <w:spacing w:after="0" w:line="258" w:lineRule="auto"/>
        <w:rPr>
          <w:sz w:val="20"/>
          <w:szCs w:val="20"/>
          <w:color w:val="auto"/>
        </w:rPr>
      </w:pPr>
      <w:r>
        <w:rPr>
          <w:rFonts w:ascii="Times New Roman" w:cs="Times New Roman" w:eastAsia="Times New Roman" w:hAnsi="Times New Roman"/>
          <w:sz w:val="15"/>
          <w:szCs w:val="15"/>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w:t>
      </w:r>
    </w:p>
    <w:p>
      <w:pPr>
        <w:spacing w:after="0" w:line="102" w:lineRule="exact"/>
        <w:rPr>
          <w:sz w:val="20"/>
          <w:szCs w:val="20"/>
          <w:color w:val="auto"/>
        </w:rPr>
      </w:pPr>
    </w:p>
    <w:p>
      <w:pPr>
        <w:ind w:left="980" w:right="1059"/>
        <w:spacing w:after="0" w:line="260" w:lineRule="auto"/>
        <w:rPr>
          <w:sz w:val="20"/>
          <w:szCs w:val="20"/>
          <w:color w:val="auto"/>
        </w:rPr>
      </w:pPr>
      <w:r>
        <w:rPr>
          <w:rFonts w:ascii="Times New Roman" w:cs="Times New Roman" w:eastAsia="Times New Roman" w:hAnsi="Times New Roman"/>
          <w:sz w:val="15"/>
          <w:szCs w:val="15"/>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Expiration of Registration Rights</w:t>
      </w:r>
    </w:p>
    <w:p>
      <w:pPr>
        <w:spacing w:after="0" w:line="102" w:lineRule="exact"/>
        <w:rPr>
          <w:sz w:val="20"/>
          <w:szCs w:val="20"/>
          <w:color w:val="auto"/>
        </w:rPr>
      </w:pPr>
    </w:p>
    <w:p>
      <w:pPr>
        <w:jc w:val="both"/>
        <w:ind w:left="980" w:right="1039"/>
        <w:spacing w:after="0" w:line="260" w:lineRule="auto"/>
        <w:rPr>
          <w:sz w:val="20"/>
          <w:szCs w:val="20"/>
          <w:color w:val="auto"/>
        </w:rPr>
      </w:pPr>
      <w:r>
        <w:rPr>
          <w:rFonts w:ascii="Times New Roman" w:cs="Times New Roman" w:eastAsia="Times New Roman" w:hAnsi="Times New Roman"/>
          <w:sz w:val="15"/>
          <w:szCs w:val="15"/>
          <w:color w:val="auto"/>
        </w:rPr>
        <w:t>The demand registration rights and short form registration rights granted under the investors’ rights agreement will terminate on the earliest of (i) a deemed liquidation event, as defined in the investors’ rights agreement, (ii) the fifth anniversary of the completion of our IPO and (iii) when the holders’ shares may be sold without restriction pursuant to Rule 144 within a three-month period.</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Anti-Takeover Effects of our Certificate of Incorporation and Bylaws and Delaware Law</w:t>
      </w:r>
    </w:p>
    <w:p>
      <w:pPr>
        <w:spacing w:after="0" w:line="102" w:lineRule="exact"/>
        <w:rPr>
          <w:sz w:val="20"/>
          <w:szCs w:val="20"/>
          <w:color w:val="auto"/>
        </w:rPr>
      </w:pPr>
    </w:p>
    <w:p>
      <w:pPr>
        <w:ind w:left="980" w:right="1099"/>
        <w:spacing w:after="0" w:line="258" w:lineRule="auto"/>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Board Composition and Filling Vacancies</w:t>
      </w:r>
    </w:p>
    <w:p>
      <w:pPr>
        <w:spacing w:after="0" w:line="102" w:lineRule="exact"/>
        <w:rPr>
          <w:sz w:val="20"/>
          <w:szCs w:val="20"/>
          <w:color w:val="auto"/>
        </w:rPr>
      </w:pPr>
    </w:p>
    <w:p>
      <w:pPr>
        <w:ind w:left="980" w:right="1179"/>
        <w:spacing w:after="0" w:line="254"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59" w:name="page60"/>
    <w:bookmarkEnd w:id="59"/>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No Written Consent of Stockholders</w:t>
      </w:r>
    </w:p>
    <w:p>
      <w:pPr>
        <w:spacing w:after="0" w:line="102" w:lineRule="exact"/>
        <w:rPr>
          <w:sz w:val="20"/>
          <w:szCs w:val="20"/>
          <w:color w:val="auto"/>
        </w:rPr>
      </w:pPr>
    </w:p>
    <w:p>
      <w:pPr>
        <w:ind w:left="980" w:right="1039"/>
        <w:spacing w:after="0" w:line="258"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Meetings of Stockholders</w:t>
      </w:r>
    </w:p>
    <w:p>
      <w:pPr>
        <w:spacing w:after="0" w:line="102" w:lineRule="exact"/>
        <w:rPr>
          <w:sz w:val="20"/>
          <w:szCs w:val="20"/>
          <w:color w:val="auto"/>
        </w:rPr>
      </w:pPr>
    </w:p>
    <w:p>
      <w:pPr>
        <w:ind w:left="980" w:right="1039"/>
        <w:spacing w:after="0" w:line="258" w:lineRule="auto"/>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Advance Notice Requirements</w:t>
      </w:r>
    </w:p>
    <w:p>
      <w:pPr>
        <w:spacing w:after="0" w:line="102" w:lineRule="exact"/>
        <w:rPr>
          <w:sz w:val="20"/>
          <w:szCs w:val="20"/>
          <w:color w:val="auto"/>
        </w:rPr>
      </w:pPr>
    </w:p>
    <w:p>
      <w:pPr>
        <w:ind w:left="980" w:right="1019"/>
        <w:spacing w:after="0" w:line="255" w:lineRule="auto"/>
        <w:rPr>
          <w:sz w:val="20"/>
          <w:szCs w:val="20"/>
          <w:color w:val="auto"/>
        </w:rPr>
      </w:pPr>
      <w:r>
        <w:rPr>
          <w:rFonts w:ascii="Times New Roman" w:cs="Times New Roman" w:eastAsia="Times New Roman" w:hAnsi="Times New Roman"/>
          <w:sz w:val="15"/>
          <w:szCs w:val="15"/>
          <w:color w:val="auto"/>
        </w:rPr>
        <w:t>Our amended and restated bylaws establishes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Amendment to Certificate of Incorporation and Bylaws</w:t>
      </w:r>
    </w:p>
    <w:p>
      <w:pPr>
        <w:spacing w:after="0" w:line="102" w:lineRule="exact"/>
        <w:rPr>
          <w:sz w:val="20"/>
          <w:szCs w:val="20"/>
          <w:color w:val="auto"/>
        </w:rPr>
      </w:pPr>
    </w:p>
    <w:p>
      <w:pPr>
        <w:ind w:left="980" w:right="1019"/>
        <w:spacing w:after="0" w:line="253" w:lineRule="auto"/>
        <w:rPr>
          <w:sz w:val="20"/>
          <w:szCs w:val="20"/>
          <w:color w:val="auto"/>
        </w:rPr>
      </w:pPr>
      <w:r>
        <w:rPr>
          <w:rFonts w:ascii="Times New Roman" w:cs="Times New Roman" w:eastAsia="Times New Roman" w:hAnsi="Times New Roman"/>
          <w:sz w:val="15"/>
          <w:szCs w:val="15"/>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i w:val="1"/>
          <w:iCs w:val="1"/>
          <w:color w:val="auto"/>
        </w:rPr>
        <w:t>Undesignated Preferred Stock</w:t>
      </w:r>
    </w:p>
    <w:p>
      <w:pPr>
        <w:spacing w:after="0" w:line="102" w:lineRule="exact"/>
        <w:rPr>
          <w:sz w:val="20"/>
          <w:szCs w:val="20"/>
          <w:color w:val="auto"/>
        </w:rPr>
      </w:pPr>
    </w:p>
    <w:p>
      <w:pPr>
        <w:ind w:left="980" w:right="999"/>
        <w:spacing w:after="0" w:line="253"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There are no restrictions on our repurchase or redemption of shares of preferred stock while there is any arrearage in the payment of dividends or sinking fund installments.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0" w:name="page61"/>
    <w:bookmarkEnd w:id="60"/>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Choice of Forum</w:t>
      </w:r>
    </w:p>
    <w:p>
      <w:pPr>
        <w:spacing w:after="0" w:line="102" w:lineRule="exact"/>
        <w:rPr>
          <w:sz w:val="20"/>
          <w:szCs w:val="20"/>
          <w:color w:val="auto"/>
        </w:rPr>
      </w:pPr>
    </w:p>
    <w:p>
      <w:pPr>
        <w:ind w:left="980" w:right="1019"/>
        <w:spacing w:after="0" w:line="252" w:lineRule="auto"/>
        <w:rPr>
          <w:sz w:val="20"/>
          <w:szCs w:val="20"/>
          <w:color w:val="auto"/>
        </w:rPr>
      </w:pPr>
      <w:r>
        <w:rPr>
          <w:rFonts w:ascii="Times New Roman" w:cs="Times New Roman" w:eastAsia="Times New Roman" w:hAnsi="Times New Roman"/>
          <w:sz w:val="15"/>
          <w:szCs w:val="15"/>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76" w:lineRule="exact"/>
        <w:rPr>
          <w:sz w:val="20"/>
          <w:szCs w:val="20"/>
          <w:color w:val="auto"/>
        </w:rPr>
      </w:pPr>
    </w:p>
    <w:p>
      <w:pPr>
        <w:ind w:left="980" w:right="1019"/>
        <w:spacing w:after="0" w:line="252" w:lineRule="auto"/>
        <w:rPr>
          <w:sz w:val="20"/>
          <w:szCs w:val="20"/>
          <w:color w:val="auto"/>
        </w:rPr>
      </w:pPr>
      <w:r>
        <w:rPr>
          <w:rFonts w:ascii="Times New Roman" w:cs="Times New Roman" w:eastAsia="Times New Roman" w:hAnsi="Times New Roman"/>
          <w:sz w:val="15"/>
          <w:szCs w:val="15"/>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Section 203 of the Delaware General Corporation Law</w:t>
      </w:r>
    </w:p>
    <w:p>
      <w:pPr>
        <w:spacing w:after="0" w:line="102" w:lineRule="exact"/>
        <w:rPr>
          <w:sz w:val="20"/>
          <w:szCs w:val="20"/>
          <w:color w:val="auto"/>
        </w:rPr>
      </w:pPr>
    </w:p>
    <w:p>
      <w:pPr>
        <w:ind w:left="980" w:right="1099"/>
        <w:spacing w:after="0" w:line="258" w:lineRule="auto"/>
        <w:rPr>
          <w:sz w:val="20"/>
          <w:szCs w:val="20"/>
          <w:color w:val="auto"/>
        </w:rPr>
      </w:pPr>
      <w:r>
        <w:rPr>
          <w:rFonts w:ascii="Times New Roman" w:cs="Times New Roman" w:eastAsia="Times New Roman" w:hAnsi="Times New Roman"/>
          <w:sz w:val="15"/>
          <w:szCs w:val="15"/>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4" w:lineRule="exact"/>
        <w:rPr>
          <w:sz w:val="20"/>
          <w:szCs w:val="20"/>
          <w:color w:val="auto"/>
        </w:rPr>
      </w:pPr>
    </w:p>
    <w:p>
      <w:pPr>
        <w:ind w:left="1580" w:right="1059" w:hanging="291"/>
        <w:spacing w:after="0" w:line="280" w:lineRule="auto"/>
        <w:tabs>
          <w:tab w:leader="none" w:pos="15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before the stockholder became interested, our board of directors approved either the business combination or the transaction which resulted in the stockholder becoming an interested stockholder;</w:t>
      </w:r>
    </w:p>
    <w:p>
      <w:pPr>
        <w:spacing w:after="0" w:line="48" w:lineRule="exact"/>
        <w:rPr>
          <w:rFonts w:ascii="Times New Roman" w:cs="Times New Roman" w:eastAsia="Times New Roman" w:hAnsi="Times New Roman"/>
          <w:sz w:val="15"/>
          <w:szCs w:val="15"/>
          <w:color w:val="auto"/>
        </w:rPr>
      </w:pPr>
    </w:p>
    <w:p>
      <w:pPr>
        <w:ind w:left="1580" w:right="1019" w:hanging="291"/>
        <w:spacing w:after="0" w:line="258" w:lineRule="auto"/>
        <w:tabs>
          <w:tab w:leader="none" w:pos="15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1" w:name="page62"/>
    <w:bookmarkEnd w:id="61"/>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1580" w:right="1259" w:hanging="291"/>
        <w:spacing w:after="0" w:line="260" w:lineRule="auto"/>
        <w:tabs>
          <w:tab w:leader="none" w:pos="15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Section 203 defines a business combination to include:</w:t>
      </w:r>
    </w:p>
    <w:p>
      <w:pPr>
        <w:spacing w:after="0" w:line="98" w:lineRule="exact"/>
        <w:rPr>
          <w:sz w:val="20"/>
          <w:szCs w:val="20"/>
          <w:color w:val="auto"/>
        </w:rPr>
      </w:pPr>
    </w:p>
    <w:p>
      <w:pPr>
        <w:ind w:left="1580" w:hanging="291"/>
        <w:spacing w:after="0"/>
        <w:tabs>
          <w:tab w:leader="none" w:pos="1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or consolidation involving the corporation and the interested stockholder;</w:t>
      </w:r>
    </w:p>
    <w:p>
      <w:pPr>
        <w:spacing w:after="0" w:line="97" w:lineRule="exact"/>
        <w:rPr>
          <w:rFonts w:ascii="Times New Roman" w:cs="Times New Roman" w:eastAsia="Times New Roman" w:hAnsi="Times New Roman"/>
          <w:sz w:val="15"/>
          <w:szCs w:val="15"/>
          <w:color w:val="auto"/>
        </w:rPr>
      </w:pPr>
    </w:p>
    <w:p>
      <w:pPr>
        <w:ind w:left="1580" w:right="1019" w:hanging="291"/>
        <w:spacing w:after="0" w:line="280" w:lineRule="auto"/>
        <w:tabs>
          <w:tab w:leader="none" w:pos="1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sale, transfer, lease, pledge or other disposition involving the interested stockholder of 10% or more of the assets of the corporation;</w:t>
      </w:r>
    </w:p>
    <w:p>
      <w:pPr>
        <w:spacing w:after="0" w:line="48" w:lineRule="exact"/>
        <w:rPr>
          <w:rFonts w:ascii="Times New Roman" w:cs="Times New Roman" w:eastAsia="Times New Roman" w:hAnsi="Times New Roman"/>
          <w:sz w:val="15"/>
          <w:szCs w:val="15"/>
          <w:color w:val="auto"/>
        </w:rPr>
      </w:pPr>
    </w:p>
    <w:p>
      <w:pPr>
        <w:ind w:left="1580" w:right="999" w:hanging="291"/>
        <w:spacing w:after="0" w:line="280" w:lineRule="auto"/>
        <w:tabs>
          <w:tab w:leader="none" w:pos="1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exceptions, any transaction that results in the issuance or transfer by the corporation of any stock of the corporation to the interested stockholder;</w:t>
      </w:r>
    </w:p>
    <w:p>
      <w:pPr>
        <w:spacing w:after="0" w:line="48" w:lineRule="exact"/>
        <w:rPr>
          <w:rFonts w:ascii="Times New Roman" w:cs="Times New Roman" w:eastAsia="Times New Roman" w:hAnsi="Times New Roman"/>
          <w:sz w:val="15"/>
          <w:szCs w:val="15"/>
          <w:color w:val="auto"/>
        </w:rPr>
      </w:pPr>
    </w:p>
    <w:p>
      <w:pPr>
        <w:jc w:val="both"/>
        <w:ind w:left="1580" w:right="1479" w:hanging="291"/>
        <w:spacing w:after="0" w:line="265" w:lineRule="auto"/>
        <w:tabs>
          <w:tab w:leader="none" w:pos="1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59" w:lineRule="exact"/>
        <w:rPr>
          <w:rFonts w:ascii="Times New Roman" w:cs="Times New Roman" w:eastAsia="Times New Roman" w:hAnsi="Times New Roman"/>
          <w:sz w:val="15"/>
          <w:szCs w:val="15"/>
          <w:color w:val="auto"/>
        </w:rPr>
      </w:pPr>
    </w:p>
    <w:p>
      <w:pPr>
        <w:ind w:left="1580" w:right="1039" w:hanging="291"/>
        <w:spacing w:after="0" w:line="280" w:lineRule="auto"/>
        <w:tabs>
          <w:tab w:leader="none" w:pos="1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the interested stockholder of the benefit of any loans, advances, guarantees, pledges or other financial benefits provided by or through the corporation.</w:t>
      </w:r>
    </w:p>
    <w:p>
      <w:pPr>
        <w:spacing w:after="0" w:line="48" w:lineRule="exact"/>
        <w:rPr>
          <w:sz w:val="20"/>
          <w:szCs w:val="20"/>
          <w:color w:val="auto"/>
        </w:rPr>
      </w:pPr>
    </w:p>
    <w:p>
      <w:pPr>
        <w:ind w:left="980" w:right="1019"/>
        <w:spacing w:after="0" w:line="265" w:lineRule="auto"/>
        <w:rPr>
          <w:sz w:val="20"/>
          <w:szCs w:val="20"/>
          <w:color w:val="auto"/>
        </w:rPr>
      </w:pPr>
      <w:r>
        <w:rPr>
          <w:rFonts w:ascii="Times New Roman" w:cs="Times New Roman" w:eastAsia="Times New Roman" w:hAnsi="Times New Roman"/>
          <w:sz w:val="15"/>
          <w:szCs w:val="15"/>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Nasdaq Global Select Market Listing</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Our common stock is listed on Nasdaq under the trading symbol “AVRO.”</w:t>
      </w:r>
    </w:p>
    <w:p>
      <w:pPr>
        <w:spacing w:after="0" w:line="3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02" w:lineRule="exact"/>
        <w:rPr>
          <w:sz w:val="20"/>
          <w:szCs w:val="20"/>
          <w:color w:val="auto"/>
        </w:rPr>
      </w:pPr>
    </w:p>
    <w:p>
      <w:pPr>
        <w:jc w:val="both"/>
        <w:ind w:left="980" w:right="1179"/>
        <w:spacing w:after="0" w:line="265" w:lineRule="auto"/>
        <w:rPr>
          <w:sz w:val="20"/>
          <w:szCs w:val="20"/>
          <w:color w:val="auto"/>
        </w:rPr>
      </w:pPr>
      <w:r>
        <w:rPr>
          <w:rFonts w:ascii="Times New Roman" w:cs="Times New Roman" w:eastAsia="Times New Roman" w:hAnsi="Times New Roman"/>
          <w:sz w:val="15"/>
          <w:szCs w:val="15"/>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02" w:lineRule="exact"/>
        <w:rPr>
          <w:sz w:val="20"/>
          <w:szCs w:val="20"/>
          <w:color w:val="auto"/>
        </w:rPr>
      </w:pPr>
    </w:p>
    <w:p>
      <w:pPr>
        <w:ind w:left="980" w:right="1119"/>
        <w:spacing w:after="0" w:line="258" w:lineRule="auto"/>
        <w:rPr>
          <w:sz w:val="20"/>
          <w:szCs w:val="20"/>
          <w:color w:val="auto"/>
        </w:rPr>
      </w:pPr>
      <w:r>
        <w:rPr>
          <w:rFonts w:ascii="Times New Roman" w:cs="Times New Roman" w:eastAsia="Times New Roman" w:hAnsi="Times New Roman"/>
          <w:sz w:val="15"/>
          <w:szCs w:val="15"/>
          <w:color w:val="auto"/>
        </w:rPr>
        <w:t>We have entered into a sales agreement with Cowen, under which we may issue and sell from time to time up to $50,000,000 of our common stock through Cowen as our sales agent. Sales of our common stock, if any, will be made at market prices by any method that is deemed to be an “at the market” offering as defined in Rule 415 under the Securities Act, including sales made directly on Nasdaq or any other trading market for our common stock. If authorized by us in writing, Cowen may purchase shares of our common stock as principal.</w:t>
      </w:r>
    </w:p>
    <w:p>
      <w:pPr>
        <w:spacing w:after="0" w:line="64" w:lineRule="exact"/>
        <w:rPr>
          <w:sz w:val="20"/>
          <w:szCs w:val="20"/>
          <w:color w:val="auto"/>
        </w:rPr>
      </w:pPr>
    </w:p>
    <w:p>
      <w:pPr>
        <w:ind w:left="980" w:right="999"/>
        <w:spacing w:after="0" w:line="254" w:lineRule="auto"/>
        <w:rPr>
          <w:sz w:val="20"/>
          <w:szCs w:val="20"/>
          <w:color w:val="auto"/>
        </w:rPr>
      </w:pPr>
      <w:r>
        <w:rPr>
          <w:rFonts w:ascii="Times New Roman" w:cs="Times New Roman" w:eastAsia="Times New Roman" w:hAnsi="Times New Roman"/>
          <w:sz w:val="15"/>
          <w:szCs w:val="15"/>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We and Cowen each have the right, by giving written notice as specified in the sales agreement, to terminate the sales agreement in either party’s sole discretion at any time.</w:t>
      </w:r>
    </w:p>
    <w:p>
      <w:pPr>
        <w:spacing w:after="0" w:line="70" w:lineRule="exact"/>
        <w:rPr>
          <w:sz w:val="20"/>
          <w:szCs w:val="20"/>
          <w:color w:val="auto"/>
        </w:rPr>
      </w:pPr>
    </w:p>
    <w:p>
      <w:pPr>
        <w:ind w:left="980" w:right="1019"/>
        <w:spacing w:after="0" w:line="256" w:lineRule="auto"/>
        <w:rPr>
          <w:sz w:val="20"/>
          <w:szCs w:val="20"/>
          <w:color w:val="auto"/>
        </w:rPr>
      </w:pPr>
      <w:r>
        <w:rPr>
          <w:rFonts w:ascii="Times New Roman" w:cs="Times New Roman" w:eastAsia="Times New Roman" w:hAnsi="Times New Roman"/>
          <w:sz w:val="15"/>
          <w:szCs w:val="15"/>
          <w:color w:val="auto"/>
        </w:rPr>
        <w:t>The aggregate compensation payable to Cowen as sales agent equals 3.0% of the gross sales price of the shares sold through Cowen pursuant to the sales agreement. We have also agreed to reimburse Cowen up to $75,000 of Cowen’s actual outside legal expenses incurred by Cowen in connection with this offering, and for certain other expenses, including Cowen’s FINRA counsel fees in an amount up to $10,000. We estimate that the total expenses of the offering payable by us, excluding commissions payable to Cowen under the sales agreement, will be approximately $250,000.</w:t>
      </w:r>
    </w:p>
    <w:p>
      <w:pPr>
        <w:spacing w:after="0" w:line="68" w:lineRule="exact"/>
        <w:rPr>
          <w:sz w:val="20"/>
          <w:szCs w:val="20"/>
          <w:color w:val="auto"/>
        </w:rPr>
      </w:pPr>
    </w:p>
    <w:p>
      <w:pPr>
        <w:ind w:left="980" w:right="1099"/>
        <w:spacing w:after="0" w:line="265" w:lineRule="auto"/>
        <w:rPr>
          <w:sz w:val="20"/>
          <w:szCs w:val="20"/>
          <w:color w:val="auto"/>
        </w:rPr>
      </w:pPr>
      <w:r>
        <w:rPr>
          <w:rFonts w:ascii="Times New Roman" w:cs="Times New Roman" w:eastAsia="Times New Roman" w:hAnsi="Times New Roman"/>
          <w:sz w:val="15"/>
          <w:szCs w:val="15"/>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60" w:lineRule="exact"/>
        <w:rPr>
          <w:sz w:val="20"/>
          <w:szCs w:val="20"/>
          <w:color w:val="auto"/>
        </w:rPr>
      </w:pPr>
    </w:p>
    <w:p>
      <w:pPr>
        <w:ind w:left="980" w:right="1119"/>
        <w:spacing w:after="0" w:line="260" w:lineRule="auto"/>
        <w:rPr>
          <w:sz w:val="20"/>
          <w:szCs w:val="20"/>
          <w:color w:val="auto"/>
        </w:rPr>
      </w:pPr>
      <w:r>
        <w:rPr>
          <w:rFonts w:ascii="Times New Roman" w:cs="Times New Roman" w:eastAsia="Times New Roman" w:hAnsi="Times New Roman"/>
          <w:sz w:val="15"/>
          <w:szCs w:val="15"/>
          <w:color w:val="auto"/>
        </w:rPr>
        <w:t>Cowen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64" w:lineRule="exact"/>
        <w:rPr>
          <w:sz w:val="20"/>
          <w:szCs w:val="20"/>
          <w:color w:val="auto"/>
        </w:rPr>
      </w:pPr>
    </w:p>
    <w:p>
      <w:pPr>
        <w:jc w:val="both"/>
        <w:ind w:left="980" w:right="1539"/>
        <w:spacing w:after="0" w:line="265" w:lineRule="auto"/>
        <w:rPr>
          <w:sz w:val="20"/>
          <w:szCs w:val="20"/>
          <w:color w:val="auto"/>
        </w:rPr>
      </w:pPr>
      <w:r>
        <w:rPr>
          <w:rFonts w:ascii="Times New Roman" w:cs="Times New Roman" w:eastAsia="Times New Roman" w:hAnsi="Times New Roman"/>
          <w:sz w:val="15"/>
          <w:szCs w:val="15"/>
          <w:color w:val="auto"/>
        </w:rPr>
        <w:t>We will report at least quarterly the number of shares of common stock sold through Cowen under the sales agreement, the net proceeds to us and the compensation paid by us to Cowen in connection with the sales of common stock.</w:t>
      </w:r>
    </w:p>
    <w:p>
      <w:pPr>
        <w:spacing w:after="0" w:line="60" w:lineRule="exact"/>
        <w:rPr>
          <w:sz w:val="20"/>
          <w:szCs w:val="20"/>
          <w:color w:val="auto"/>
        </w:rPr>
      </w:pPr>
    </w:p>
    <w:p>
      <w:pPr>
        <w:ind w:left="980" w:right="1419"/>
        <w:spacing w:after="0" w:line="265" w:lineRule="auto"/>
        <w:rPr>
          <w:sz w:val="20"/>
          <w:szCs w:val="20"/>
          <w:color w:val="auto"/>
        </w:rPr>
      </w:pPr>
      <w:r>
        <w:rPr>
          <w:rFonts w:ascii="Times New Roman" w:cs="Times New Roman" w:eastAsia="Times New Roman" w:hAnsi="Times New Roman"/>
          <w:sz w:val="15"/>
          <w:szCs w:val="15"/>
          <w:color w:val="auto"/>
        </w:rPr>
        <w:t>Settlement for sales of common stock will occur, unless the parties agree otherwise, on the second trading day following the date on which any sales were made in return for payment of the net proceeds to us. There is no arrangement for funds to be received in an escrow, trust or similar arrangement.</w:t>
      </w:r>
    </w:p>
    <w:p>
      <w:pPr>
        <w:spacing w:after="0" w:line="60" w:lineRule="exact"/>
        <w:rPr>
          <w:sz w:val="20"/>
          <w:szCs w:val="20"/>
          <w:color w:val="auto"/>
        </w:rPr>
      </w:pPr>
    </w:p>
    <w:p>
      <w:pPr>
        <w:ind w:left="980" w:right="1199"/>
        <w:spacing w:after="0" w:line="258" w:lineRule="auto"/>
        <w:rPr>
          <w:sz w:val="20"/>
          <w:szCs w:val="20"/>
          <w:color w:val="auto"/>
        </w:rPr>
      </w:pPr>
      <w:r>
        <w:rPr>
          <w:rFonts w:ascii="Times New Roman" w:cs="Times New Roman" w:eastAsia="Times New Roman" w:hAnsi="Times New Roman"/>
          <w:sz w:val="15"/>
          <w:szCs w:val="15"/>
          <w:color w:val="auto"/>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 that stabilizes our common stock.</w:t>
      </w:r>
    </w:p>
    <w:p>
      <w:pPr>
        <w:spacing w:after="0" w:line="64" w:lineRule="exact"/>
        <w:rPr>
          <w:sz w:val="20"/>
          <w:szCs w:val="20"/>
          <w:color w:val="auto"/>
        </w:rPr>
      </w:pPr>
    </w:p>
    <w:p>
      <w:pPr>
        <w:ind w:left="980" w:right="1259"/>
        <w:spacing w:after="0" w:line="280" w:lineRule="auto"/>
        <w:rPr>
          <w:sz w:val="20"/>
          <w:szCs w:val="20"/>
          <w:color w:val="auto"/>
        </w:rPr>
      </w:pPr>
      <w:r>
        <w:rPr>
          <w:rFonts w:ascii="Times New Roman" w:cs="Times New Roman" w:eastAsia="Times New Roman" w:hAnsi="Times New Roman"/>
          <w:sz w:val="15"/>
          <w:szCs w:val="15"/>
          <w:color w:val="auto"/>
        </w:rPr>
        <w:t>Our common stock is listed on Nasdaq and trades under the symbol “AVRO.” The transfer agent of our common stock is Computershare Trust Company, N.A.</w:t>
      </w:r>
    </w:p>
    <w:p>
      <w:pPr>
        <w:spacing w:after="0" w:line="48" w:lineRule="exact"/>
        <w:rPr>
          <w:sz w:val="20"/>
          <w:szCs w:val="20"/>
          <w:color w:val="auto"/>
        </w:rPr>
      </w:pPr>
    </w:p>
    <w:p>
      <w:pPr>
        <w:ind w:left="980" w:right="1359"/>
        <w:spacing w:after="0" w:line="280" w:lineRule="auto"/>
        <w:rPr>
          <w:sz w:val="20"/>
          <w:szCs w:val="20"/>
          <w:color w:val="auto"/>
        </w:rPr>
      </w:pPr>
      <w:r>
        <w:rPr>
          <w:rFonts w:ascii="Times New Roman" w:cs="Times New Roman" w:eastAsia="Times New Roman" w:hAnsi="Times New Roman"/>
          <w:sz w:val="15"/>
          <w:szCs w:val="15"/>
          <w:color w:val="auto"/>
        </w:rPr>
        <w:t>Cowen and/or its affiliates have provided, and may in the future provide, various investment banking and other financial services for us for which services they have received and, may in the future receive, customary fees.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3" w:name="page64"/>
    <w:bookmarkEnd w:id="63"/>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02" w:lineRule="exact"/>
        <w:rPr>
          <w:sz w:val="20"/>
          <w:szCs w:val="20"/>
          <w:color w:val="auto"/>
        </w:rPr>
      </w:pPr>
    </w:p>
    <w:p>
      <w:pPr>
        <w:ind w:left="980" w:right="1039"/>
        <w:spacing w:after="0" w:line="265" w:lineRule="auto"/>
        <w:rPr>
          <w:sz w:val="20"/>
          <w:szCs w:val="20"/>
          <w:color w:val="auto"/>
        </w:rPr>
      </w:pPr>
      <w:r>
        <w:rPr>
          <w:rFonts w:ascii="Times New Roman" w:cs="Times New Roman" w:eastAsia="Times New Roman" w:hAnsi="Times New Roman"/>
          <w:sz w:val="15"/>
          <w:szCs w:val="15"/>
          <w:color w:val="auto"/>
        </w:rPr>
        <w:t>Certain legal matters in connection with this offering and the validity of the securities offered by this prospectus will be passed upon for us by Goodwin Procter LLP, Boston, Massachusetts. Cowen and Company, LLC is being represented in connection with this offering by Ropes &amp; Gray LLP, Boston, Massachusetts.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The consolidated financial statements of AVROBIO, Inc. appearing in AVROBIO, Inc.’s Annual Report (Form 10-</w:t>
      </w:r>
    </w:p>
    <w:p>
      <w:pPr>
        <w:spacing w:after="0" w:line="33" w:lineRule="exact"/>
        <w:rPr>
          <w:sz w:val="20"/>
          <w:szCs w:val="20"/>
          <w:color w:val="auto"/>
        </w:rPr>
      </w:pPr>
    </w:p>
    <w:p>
      <w:pPr>
        <w:ind w:left="980" w:right="1059" w:firstLine="8"/>
        <w:spacing w:after="0" w:line="253" w:lineRule="auto"/>
        <w:tabs>
          <w:tab w:leader="none" w:pos="1176"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02" w:lineRule="exact"/>
        <w:rPr>
          <w:sz w:val="20"/>
          <w:szCs w:val="20"/>
          <w:color w:val="auto"/>
        </w:rPr>
      </w:pPr>
    </w:p>
    <w:p>
      <w:pPr>
        <w:ind w:left="980" w:right="1099"/>
        <w:spacing w:after="0" w:line="256" w:lineRule="auto"/>
        <w:rPr>
          <w:sz w:val="20"/>
          <w:szCs w:val="20"/>
          <w:color w:val="auto"/>
        </w:rPr>
      </w:pPr>
      <w:r>
        <w:rPr>
          <w:rFonts w:ascii="Times New Roman" w:cs="Times New Roman" w:eastAsia="Times New Roman" w:hAnsi="Times New Roman"/>
          <w:sz w:val="15"/>
          <w:szCs w:val="15"/>
          <w:color w:val="auto"/>
        </w:rPr>
        <w:t>This prospectus is part of a registration statement on Form S-3 that we have filed with the SEC.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 Certain information in the registration statement has been omitted from this prospectus in accordance with the rules of the SEC.</w:t>
      </w:r>
    </w:p>
    <w:p>
      <w:pPr>
        <w:spacing w:after="0" w:line="68" w:lineRule="exact"/>
        <w:rPr>
          <w:sz w:val="20"/>
          <w:szCs w:val="20"/>
          <w:color w:val="auto"/>
        </w:rPr>
      </w:pPr>
    </w:p>
    <w:p>
      <w:pPr>
        <w:ind w:left="980" w:right="1059"/>
        <w:spacing w:after="0" w:line="256" w:lineRule="auto"/>
        <w:rPr>
          <w:sz w:val="20"/>
          <w:szCs w:val="20"/>
          <w:color w:val="auto"/>
        </w:rPr>
      </w:pPr>
      <w:r>
        <w:rPr>
          <w:rFonts w:ascii="Times New Roman" w:cs="Times New Roman" w:eastAsia="Times New Roman" w:hAnsi="Times New Roman"/>
          <w:sz w:val="15"/>
          <w:szCs w:val="15"/>
          <w:color w:val="auto"/>
        </w:rPr>
        <w:t>We are subject to the reporting and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(www.sec.gov). Written requests for such copies should be directed to Investor Relations, AVROBIO, Inc., 100 Technology Square, Sixth Floor, Cambridge, Massachusetts 02139, and our website is located at www.avrobio.com.</w:t>
      </w:r>
    </w:p>
    <w:p>
      <w:pPr>
        <w:spacing w:after="0" w:line="68" w:lineRule="exact"/>
        <w:rPr>
          <w:sz w:val="20"/>
          <w:szCs w:val="20"/>
          <w:color w:val="auto"/>
        </w:rPr>
      </w:pPr>
    </w:p>
    <w:p>
      <w:pPr>
        <w:ind w:left="980" w:right="1019"/>
        <w:spacing w:after="0" w:line="255" w:lineRule="auto"/>
        <w:rPr>
          <w:sz w:val="20"/>
          <w:szCs w:val="20"/>
          <w:color w:val="auto"/>
        </w:rPr>
      </w:pPr>
      <w:r>
        <w:rPr>
          <w:rFonts w:ascii="Times New Roman" w:cs="Times New Roman" w:eastAsia="Times New Roman" w:hAnsi="Times New Roman"/>
          <w:sz w:val="15"/>
          <w:szCs w:val="15"/>
          <w:color w:val="auto"/>
        </w:rPr>
        <w:t>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Information contained on our website is not incorporated by reference into this prospectus and, therefore, is not part of this prospectus or any accompanying prospectus supplement.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4" w:name="page65"/>
    <w:bookmarkEnd w:id="64"/>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102" w:lineRule="exact"/>
        <w:rPr>
          <w:sz w:val="20"/>
          <w:szCs w:val="20"/>
          <w:color w:val="auto"/>
        </w:rPr>
      </w:pPr>
    </w:p>
    <w:p>
      <w:pPr>
        <w:ind w:left="980" w:right="1019"/>
        <w:spacing w:after="0" w:line="255" w:lineRule="auto"/>
        <w:rPr>
          <w:sz w:val="20"/>
          <w:szCs w:val="20"/>
          <w:color w:val="auto"/>
        </w:rPr>
      </w:pPr>
      <w:r>
        <w:rPr>
          <w:rFonts w:ascii="Times New Roman" w:cs="Times New Roman" w:eastAsia="Times New Roman" w:hAnsi="Times New Roman"/>
          <w:sz w:val="15"/>
          <w:szCs w:val="15"/>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between the date of this prospectus and the termination of the offering, except as to any portion of any future report or document that is not deemed filed under such provisions:</w:t>
      </w:r>
    </w:p>
    <w:p>
      <w:pPr>
        <w:spacing w:after="0" w:line="66" w:lineRule="exact"/>
        <w:rPr>
          <w:sz w:val="20"/>
          <w:szCs w:val="20"/>
          <w:color w:val="auto"/>
        </w:rPr>
      </w:pPr>
    </w:p>
    <w:p>
      <w:pPr>
        <w:ind w:left="1580" w:right="1039" w:hanging="291"/>
        <w:spacing w:after="0" w:line="280" w:lineRule="auto"/>
        <w:tabs>
          <w:tab w:leader="none" w:pos="1580" w:val="left"/>
        </w:tabs>
        <w:numPr>
          <w:ilvl w:val="0"/>
          <w:numId w:val="55"/>
        </w:numPr>
        <w:rPr>
          <w:rFonts w:ascii="Times New Roman" w:cs="Times New Roman" w:eastAsia="Times New Roman" w:hAnsi="Times New Roman"/>
          <w:sz w:val="15"/>
          <w:szCs w:val="15"/>
          <w:color w:val="0000EE"/>
        </w:rPr>
      </w:pPr>
      <w:hyperlink r:id="rId45">
        <w:r>
          <w:rPr>
            <w:rFonts w:ascii="Times New Roman" w:cs="Times New Roman" w:eastAsia="Times New Roman" w:hAnsi="Times New Roman"/>
            <w:sz w:val="15"/>
            <w:szCs w:val="15"/>
            <w:color w:val="auto"/>
          </w:rPr>
          <w:t xml:space="preserve">our Annual Report on Form 10-K for the year ended December 31, 2021, filed with the SEC on </w:t>
        </w:r>
        <w:r>
          <w:rPr>
            <w:rFonts w:ascii="Times New Roman" w:cs="Times New Roman" w:eastAsia="Times New Roman" w:hAnsi="Times New Roman"/>
            <w:sz w:val="15"/>
            <w:szCs w:val="15"/>
            <w:u w:val="single" w:color="auto"/>
            <w:color w:val="0000EE"/>
          </w:rPr>
          <w:t>March 17,</w:t>
        </w:r>
      </w:hyperlink>
      <w:r>
        <w:rPr>
          <w:rFonts w:ascii="Times New Roman" w:cs="Times New Roman" w:eastAsia="Times New Roman" w:hAnsi="Times New Roman"/>
          <w:sz w:val="15"/>
          <w:szCs w:val="15"/>
          <w:color w:val="auto"/>
        </w:rPr>
        <w:t xml:space="preserve"> </w:t>
      </w:r>
      <w:hyperlink r:id="rId45">
        <w:r>
          <w:rPr>
            <w:rFonts w:ascii="Times New Roman" w:cs="Times New Roman" w:eastAsia="Times New Roman" w:hAnsi="Times New Roman"/>
            <w:sz w:val="15"/>
            <w:szCs w:val="15"/>
            <w:u w:val="single" w:color="auto"/>
            <w:color w:val="0000EE"/>
          </w:rPr>
          <w:t>2022</w:t>
        </w:r>
        <w:r>
          <w:rPr>
            <w:rFonts w:ascii="Times New Roman" w:cs="Times New Roman" w:eastAsia="Times New Roman" w:hAnsi="Times New Roman"/>
            <w:sz w:val="15"/>
            <w:szCs w:val="15"/>
            <w:color w:val="000000"/>
          </w:rPr>
          <w:t>;</w:t>
        </w:r>
      </w:hyperlink>
    </w:p>
    <w:p>
      <w:pPr>
        <w:spacing w:after="0" w:line="48" w:lineRule="exact"/>
        <w:rPr>
          <w:rFonts w:ascii="Times New Roman" w:cs="Times New Roman" w:eastAsia="Times New Roman" w:hAnsi="Times New Roman"/>
          <w:sz w:val="15"/>
          <w:szCs w:val="15"/>
          <w:color w:val="0000EE"/>
        </w:rPr>
      </w:pPr>
    </w:p>
    <w:p>
      <w:pPr>
        <w:jc w:val="both"/>
        <w:ind w:left="1580" w:right="1139" w:hanging="291"/>
        <w:spacing w:after="0" w:line="265" w:lineRule="auto"/>
        <w:tabs>
          <w:tab w:leader="none" w:pos="15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specifically incorporated by reference into our Annual Report on Form 10-K for the year ended December 31, 2021 from our definitive proxy statement on Schedule 14A (other than information furnished rather than filed), which was filed with the SEC on </w:t>
      </w:r>
      <w:hyperlink r:id="rId46">
        <w:r>
          <w:rPr>
            <w:rFonts w:ascii="Times New Roman" w:cs="Times New Roman" w:eastAsia="Times New Roman" w:hAnsi="Times New Roman"/>
            <w:sz w:val="15"/>
            <w:szCs w:val="15"/>
            <w:u w:val="single" w:color="auto"/>
            <w:color w:val="0000EE"/>
          </w:rPr>
          <w:t>April 27, 2022</w:t>
        </w:r>
      </w:hyperlink>
      <w:r>
        <w:rPr>
          <w:rFonts w:ascii="Times New Roman" w:cs="Times New Roman" w:eastAsia="Times New Roman" w:hAnsi="Times New Roman"/>
          <w:sz w:val="15"/>
          <w:szCs w:val="15"/>
          <w:color w:val="auto"/>
        </w:rPr>
        <w:t>;</w:t>
      </w:r>
    </w:p>
    <w:p>
      <w:pPr>
        <w:spacing w:after="0" w:line="59"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Quarterly Reports on Form 10-Q for the quarters ended March 31, 2022, filed with the SEC on</w:t>
      </w:r>
    </w:p>
    <w:p>
      <w:pPr>
        <w:spacing w:after="0" w:line="21" w:lineRule="exact"/>
        <w:rPr>
          <w:rFonts w:ascii="Times New Roman" w:cs="Times New Roman" w:eastAsia="Times New Roman" w:hAnsi="Times New Roman"/>
          <w:sz w:val="15"/>
          <w:szCs w:val="15"/>
          <w:color w:val="auto"/>
        </w:rPr>
      </w:pPr>
    </w:p>
    <w:p>
      <w:pPr>
        <w:ind w:left="1580" w:right="1119"/>
        <w:spacing w:after="0" w:line="261" w:lineRule="auto"/>
        <w:rPr>
          <w:rFonts w:ascii="Times New Roman" w:cs="Times New Roman" w:eastAsia="Times New Roman" w:hAnsi="Times New Roman"/>
          <w:sz w:val="15"/>
          <w:szCs w:val="15"/>
          <w:color w:val="000000"/>
        </w:rPr>
      </w:pPr>
      <w:hyperlink r:id="rId47">
        <w:r>
          <w:rPr>
            <w:rFonts w:ascii="Times New Roman" w:cs="Times New Roman" w:eastAsia="Times New Roman" w:hAnsi="Times New Roman"/>
            <w:sz w:val="15"/>
            <w:szCs w:val="15"/>
            <w:u w:val="single" w:color="auto"/>
            <w:color w:val="0000EE"/>
          </w:rPr>
          <w:t>May 10, 2022</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June 30, 2022, filed with the SEC on</w:t>
      </w:r>
      <w:r>
        <w:rPr>
          <w:rFonts w:ascii="Times New Roman" w:cs="Times New Roman" w:eastAsia="Times New Roman" w:hAnsi="Times New Roman"/>
          <w:sz w:val="15"/>
          <w:szCs w:val="15"/>
          <w:color w:val="0000EE"/>
        </w:rPr>
        <w:t xml:space="preserve"> </w:t>
      </w:r>
      <w:hyperlink r:id="rId48">
        <w:r>
          <w:rPr>
            <w:rFonts w:ascii="Times New Roman" w:cs="Times New Roman" w:eastAsia="Times New Roman" w:hAnsi="Times New Roman"/>
            <w:sz w:val="15"/>
            <w:szCs w:val="15"/>
            <w:u w:val="single" w:color="auto"/>
            <w:color w:val="0000EE"/>
          </w:rPr>
          <w:t>August, 9, 2022</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 September 30, 2022, filed with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 xml:space="preserve">the SEC on </w:t>
      </w:r>
      <w:hyperlink r:id="rId49">
        <w:r>
          <w:rPr>
            <w:rFonts w:ascii="Times New Roman" w:cs="Times New Roman" w:eastAsia="Times New Roman" w:hAnsi="Times New Roman"/>
            <w:sz w:val="15"/>
            <w:szCs w:val="15"/>
            <w:u w:val="single" w:color="auto"/>
            <w:color w:val="0000EE"/>
          </w:rPr>
          <w:t>November 8, 2022</w:t>
        </w:r>
      </w:hyperlink>
      <w:r>
        <w:rPr>
          <w:rFonts w:ascii="Times New Roman" w:cs="Times New Roman" w:eastAsia="Times New Roman" w:hAnsi="Times New Roman"/>
          <w:sz w:val="15"/>
          <w:szCs w:val="15"/>
          <w:color w:val="000000"/>
        </w:rPr>
        <w:t>;</w:t>
      </w:r>
    </w:p>
    <w:p>
      <w:pPr>
        <w:spacing w:after="0" w:line="61" w:lineRule="exact"/>
        <w:rPr>
          <w:rFonts w:ascii="Times New Roman" w:cs="Times New Roman" w:eastAsia="Times New Roman" w:hAnsi="Times New Roman"/>
          <w:sz w:val="15"/>
          <w:szCs w:val="15"/>
          <w:color w:val="000000"/>
        </w:rPr>
      </w:pPr>
    </w:p>
    <w:p>
      <w:pPr>
        <w:ind w:left="1580" w:right="999" w:hanging="291"/>
        <w:spacing w:after="0" w:line="260" w:lineRule="auto"/>
        <w:tabs>
          <w:tab w:leader="none" w:pos="15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Current Report on Form 8-K filed with the SEC on </w:t>
      </w:r>
      <w:hyperlink r:id="rId50">
        <w:r>
          <w:rPr>
            <w:rFonts w:ascii="Times New Roman" w:cs="Times New Roman" w:eastAsia="Times New Roman" w:hAnsi="Times New Roman"/>
            <w:sz w:val="15"/>
            <w:szCs w:val="15"/>
            <w:u w:val="single" w:color="auto"/>
            <w:color w:val="0000EE"/>
          </w:rPr>
          <w:t>January 7, 2022</w:t>
        </w:r>
      </w:hyperlink>
      <w:r>
        <w:rPr>
          <w:rFonts w:ascii="Times New Roman" w:cs="Times New Roman" w:eastAsia="Times New Roman" w:hAnsi="Times New Roman"/>
          <w:sz w:val="15"/>
          <w:szCs w:val="15"/>
          <w:color w:val="auto"/>
        </w:rPr>
        <w:t xml:space="preserve">, our Current Report on Form 8-K filed with the SEC on </w:t>
      </w:r>
      <w:hyperlink r:id="rId51">
        <w:r>
          <w:rPr>
            <w:rFonts w:ascii="Times New Roman" w:cs="Times New Roman" w:eastAsia="Times New Roman" w:hAnsi="Times New Roman"/>
            <w:sz w:val="15"/>
            <w:szCs w:val="15"/>
            <w:u w:val="single" w:color="auto"/>
            <w:color w:val="0000EE"/>
          </w:rPr>
          <w:t>June 10, 2022</w:t>
        </w:r>
      </w:hyperlink>
      <w:r>
        <w:rPr>
          <w:rFonts w:ascii="Times New Roman" w:cs="Times New Roman" w:eastAsia="Times New Roman" w:hAnsi="Times New Roman"/>
          <w:sz w:val="15"/>
          <w:szCs w:val="15"/>
          <w:color w:val="auto"/>
        </w:rPr>
        <w:t xml:space="preserve">, our Current Report on Form 8-K filed with the SEC on </w:t>
      </w:r>
      <w:hyperlink r:id="rId52">
        <w:r>
          <w:rPr>
            <w:rFonts w:ascii="Times New Roman" w:cs="Times New Roman" w:eastAsia="Times New Roman" w:hAnsi="Times New Roman"/>
            <w:sz w:val="15"/>
            <w:szCs w:val="15"/>
            <w:u w:val="single" w:color="auto"/>
            <w:color w:val="0000EE"/>
          </w:rPr>
          <w:t>June 29, 2022</w:t>
        </w:r>
      </w:hyperlink>
      <w:r>
        <w:rPr>
          <w:rFonts w:ascii="Times New Roman" w:cs="Times New Roman" w:eastAsia="Times New Roman" w:hAnsi="Times New Roman"/>
          <w:sz w:val="15"/>
          <w:szCs w:val="15"/>
          <w:color w:val="auto"/>
        </w:rPr>
        <w:t xml:space="preserve"> (except for information contained therein which is furnished rather than filed) and our Current Report on Form 8-K filed with the SEC on </w:t>
      </w:r>
      <w:hyperlink r:id="rId53">
        <w:r>
          <w:rPr>
            <w:rFonts w:ascii="Times New Roman" w:cs="Times New Roman" w:eastAsia="Times New Roman" w:hAnsi="Times New Roman"/>
            <w:sz w:val="15"/>
            <w:szCs w:val="15"/>
            <w:u w:val="single" w:color="auto"/>
            <w:color w:val="0000EE"/>
          </w:rPr>
          <w:t>October 7, 2022</w:t>
        </w:r>
      </w:hyperlink>
      <w:r>
        <w:rPr>
          <w:rFonts w:ascii="Times New Roman" w:cs="Times New Roman" w:eastAsia="Times New Roman" w:hAnsi="Times New Roman"/>
          <w:sz w:val="15"/>
          <w:szCs w:val="15"/>
          <w:color w:val="auto"/>
        </w:rPr>
        <w:t>; and</w:t>
      </w:r>
    </w:p>
    <w:p>
      <w:pPr>
        <w:spacing w:after="0" w:line="63" w:lineRule="exact"/>
        <w:rPr>
          <w:rFonts w:ascii="Times New Roman" w:cs="Times New Roman" w:eastAsia="Times New Roman" w:hAnsi="Times New Roman"/>
          <w:sz w:val="15"/>
          <w:szCs w:val="15"/>
          <w:color w:val="auto"/>
        </w:rPr>
      </w:pPr>
    </w:p>
    <w:p>
      <w:pPr>
        <w:ind w:left="1580" w:right="1199" w:hanging="291"/>
        <w:spacing w:after="0" w:line="260" w:lineRule="auto"/>
        <w:tabs>
          <w:tab w:leader="none" w:pos="15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contained in our registration statement on Form 8-A filed with the SEC on </w:t>
      </w:r>
      <w:hyperlink r:id="rId54">
        <w:r>
          <w:rPr>
            <w:rFonts w:ascii="Times New Roman" w:cs="Times New Roman" w:eastAsia="Times New Roman" w:hAnsi="Times New Roman"/>
            <w:sz w:val="15"/>
            <w:szCs w:val="15"/>
            <w:u w:val="single" w:color="auto"/>
            <w:color w:val="0000EE"/>
          </w:rPr>
          <w:t>June 18, 2018</w:t>
        </w:r>
      </w:hyperlink>
      <w:r>
        <w:rPr>
          <w:rFonts w:ascii="Times New Roman" w:cs="Times New Roman" w:eastAsia="Times New Roman" w:hAnsi="Times New Roman"/>
          <w:sz w:val="15"/>
          <w:szCs w:val="15"/>
          <w:color w:val="auto"/>
        </w:rPr>
        <w:t xml:space="preserve">, including any amendments or reports filed for the purposes of updating this description, including </w:t>
      </w:r>
      <w:hyperlink r:id="rId55">
        <w:r>
          <w:rPr>
            <w:rFonts w:ascii="Times New Roman" w:cs="Times New Roman" w:eastAsia="Times New Roman" w:hAnsi="Times New Roman"/>
            <w:sz w:val="15"/>
            <w:szCs w:val="15"/>
            <w:u w:val="single" w:color="auto"/>
            <w:color w:val="0000EE"/>
          </w:rPr>
          <w:t>Exhibit 4.3</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to our Annual Report on Form 10-K for the year ended December 31, 2019, filed with the SEC on March 16, 2020.</w:t>
      </w:r>
    </w:p>
    <w:p>
      <w:pPr>
        <w:spacing w:after="0" w:line="64" w:lineRule="exact"/>
        <w:rPr>
          <w:rFonts w:ascii="Times New Roman" w:cs="Times New Roman" w:eastAsia="Times New Roman" w:hAnsi="Times New Roman"/>
          <w:sz w:val="15"/>
          <w:szCs w:val="15"/>
          <w:color w:val="auto"/>
        </w:rPr>
      </w:pPr>
    </w:p>
    <w:p>
      <w:pPr>
        <w:jc w:val="both"/>
        <w:ind w:left="980" w:right="1059"/>
        <w:spacing w:after="0" w:line="260" w:lineRule="auto"/>
        <w:rPr>
          <w:sz w:val="20"/>
          <w:szCs w:val="20"/>
          <w:color w:val="auto"/>
        </w:rPr>
      </w:pPr>
      <w:r>
        <w:rPr>
          <w:rFonts w:ascii="Times New Roman" w:cs="Times New Roman" w:eastAsia="Times New Roman" w:hAnsi="Times New Roman"/>
          <w:sz w:val="15"/>
          <w:szCs w:val="15"/>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64" w:lineRule="exact"/>
        <w:rPr>
          <w:rFonts w:ascii="Times New Roman" w:cs="Times New Roman" w:eastAsia="Times New Roman" w:hAnsi="Times New Roman"/>
          <w:sz w:val="15"/>
          <w:szCs w:val="15"/>
          <w:color w:val="auto"/>
        </w:rPr>
      </w:pPr>
    </w:p>
    <w:p>
      <w:pPr>
        <w:ind w:left="980" w:right="1119"/>
        <w:spacing w:after="0" w:line="255" w:lineRule="auto"/>
        <w:rPr>
          <w:sz w:val="20"/>
          <w:szCs w:val="20"/>
          <w:color w:val="auto"/>
        </w:rPr>
      </w:pPr>
      <w:r>
        <w:rPr>
          <w:rFonts w:ascii="Times New Roman" w:cs="Times New Roman" w:eastAsia="Times New Roman" w:hAnsi="Times New Roman"/>
          <w:sz w:val="15"/>
          <w:szCs w:val="15"/>
          <w:color w:val="auto"/>
        </w:rPr>
        <w:t>Any statement contained in a document that is incorporated by reference will be modified or superseded for all purposes to the extent that a statement contained in this prospectus, or in any other document that is subsequently filed with the SEC and incorporated by reference into this prospectus, modifies or is contrary to that previous statement. Any statement so modified or superseded will not be deemed a part of this prospectus,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in any documents previously incorporated by reference have been modified or superseded.</w:t>
      </w:r>
    </w:p>
    <w:p>
      <w:pPr>
        <w:spacing w:after="0" w:line="66" w:lineRule="exact"/>
        <w:rPr>
          <w:rFonts w:ascii="Times New Roman" w:cs="Times New Roman" w:eastAsia="Times New Roman" w:hAnsi="Times New Roman"/>
          <w:sz w:val="15"/>
          <w:szCs w:val="15"/>
          <w:color w:val="auto"/>
        </w:rPr>
      </w:pPr>
    </w:p>
    <w:p>
      <w:pPr>
        <w:ind w:left="980" w:right="1079"/>
        <w:spacing w:after="0" w:line="256" w:lineRule="auto"/>
        <w:rPr>
          <w:sz w:val="20"/>
          <w:szCs w:val="20"/>
          <w:color w:val="auto"/>
        </w:rPr>
      </w:pPr>
      <w:r>
        <w:rPr>
          <w:rFonts w:ascii="Times New Roman" w:cs="Times New Roman" w:eastAsia="Times New Roman" w:hAnsi="Times New Roman"/>
          <w:sz w:val="15"/>
          <w:szCs w:val="15"/>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100 Technology Square, Sixth Floor, Cambridge, Massachusetts 02139, or via telephone at (617) 914-8420.</w:t>
      </w:r>
    </w:p>
    <w:p>
      <w:pPr>
        <w:spacing w:after="0" w:line="68" w:lineRule="exact"/>
        <w:rPr>
          <w:rFonts w:ascii="Times New Roman" w:cs="Times New Roman" w:eastAsia="Times New Roman" w:hAnsi="Times New Roman"/>
          <w:sz w:val="15"/>
          <w:szCs w:val="15"/>
          <w:color w:val="auto"/>
        </w:rPr>
      </w:pPr>
    </w:p>
    <w:p>
      <w:pPr>
        <w:ind w:left="980" w:right="1279"/>
        <w:spacing w:after="0" w:line="280" w:lineRule="auto"/>
        <w:rPr>
          <w:sz w:val="20"/>
          <w:szCs w:val="20"/>
          <w:color w:val="auto"/>
        </w:rPr>
      </w:pPr>
      <w:r>
        <w:rPr>
          <w:rFonts w:ascii="Times New Roman" w:cs="Times New Roman" w:eastAsia="Times New Roman" w:hAnsi="Times New Roman"/>
          <w:sz w:val="15"/>
          <w:szCs w:val="15"/>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48" w:lineRule="exact"/>
        <w:rPr>
          <w:rFonts w:ascii="Times New Roman" w:cs="Times New Roman" w:eastAsia="Times New Roman" w:hAnsi="Times New Roman"/>
          <w:sz w:val="15"/>
          <w:szCs w:val="15"/>
          <w:color w:val="auto"/>
        </w:rPr>
      </w:pPr>
    </w:p>
    <w:p>
      <w:pPr>
        <w:jc w:val="both"/>
        <w:ind w:left="980" w:right="1119"/>
        <w:spacing w:after="0" w:line="258" w:lineRule="auto"/>
        <w:rPr>
          <w:sz w:val="20"/>
          <w:szCs w:val="20"/>
          <w:color w:val="auto"/>
        </w:rPr>
      </w:pPr>
      <w:r>
        <w:rPr>
          <w:rFonts w:ascii="Times New Roman" w:cs="Times New Roman" w:eastAsia="Times New Roman" w:hAnsi="Times New Roman"/>
          <w:sz w:val="15"/>
          <w:szCs w:val="15"/>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55"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SA-29</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5" w:name="page66"/>
    <w:bookmarkEnd w:id="65"/>
    <w:p>
      <w:pPr>
        <w:ind w:left="10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83820</wp:posOffset>
            </wp:positionV>
            <wp:extent cx="435038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4350385" cy="1460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140970</wp:posOffset>
            </wp:positionV>
            <wp:extent cx="435038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43503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Up to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147955</wp:posOffset>
            </wp:positionV>
            <wp:extent cx="2182495" cy="514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2182495" cy="51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293370</wp:posOffset>
            </wp:positionV>
            <wp:extent cx="583819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838190" cy="1460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135890</wp:posOffset>
            </wp:positionV>
            <wp:extent cx="435038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4350385" cy="698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186055</wp:posOffset>
            </wp:positionV>
            <wp:extent cx="435038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4350385"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6" w:name="page67"/>
    <w:bookmarkEnd w:id="66"/>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II-INFORMATION NOT REQUIRED IN PROSPECTUS</w:t>
      </w:r>
    </w:p>
    <w:p>
      <w:pPr>
        <w:spacing w:after="0" w:line="2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Item 14. Other Expenses of Issuance and Distribution</w:t>
      </w:r>
    </w:p>
    <w:p>
      <w:pPr>
        <w:spacing w:after="0" w:line="102" w:lineRule="exact"/>
        <w:rPr>
          <w:sz w:val="20"/>
          <w:szCs w:val="20"/>
          <w:color w:val="auto"/>
        </w:rPr>
      </w:pPr>
    </w:p>
    <w:p>
      <w:pPr>
        <w:ind w:left="980" w:right="1119"/>
        <w:spacing w:after="0" w:line="265" w:lineRule="auto"/>
        <w:rPr>
          <w:sz w:val="20"/>
          <w:szCs w:val="20"/>
          <w:color w:val="auto"/>
        </w:rPr>
      </w:pPr>
      <w:r>
        <w:rPr>
          <w:rFonts w:ascii="Times New Roman" w:cs="Times New Roman" w:eastAsia="Times New Roman" w:hAnsi="Times New Roman"/>
          <w:sz w:val="15"/>
          <w:szCs w:val="15"/>
          <w:color w:val="auto"/>
        </w:rPr>
        <w:t>The expenses payable by AVROBIO, Inc., or the Registrant, in connection with the issuance and distribution of the securities being registered (other than underwriting discounts and commissions, if any) are set forth below. Each item listed is estimated, except for the Securities and Exchange Commission, or the SEC, registration fee.</w:t>
      </w:r>
    </w:p>
    <w:p>
      <w:pPr>
        <w:spacing w:after="0" w:line="40" w:lineRule="exact"/>
        <w:rPr>
          <w:sz w:val="20"/>
          <w:szCs w:val="20"/>
          <w:color w:val="auto"/>
        </w:rPr>
      </w:pPr>
    </w:p>
    <w:tbl>
      <w:tblPr>
        <w:tblLayout w:type="fixed"/>
        <w:tblInd w:w="980" w:type="dxa"/>
        <w:tblCellMar>
          <w:top w:w="0" w:type="dxa"/>
          <w:left w:w="0" w:type="dxa"/>
          <w:bottom w:w="0" w:type="dxa"/>
          <w:right w:w="0" w:type="dxa"/>
        </w:tblCellMar>
      </w:tblPr>
      <w:tr>
        <w:trPr>
          <w:trHeight w:val="295"/>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$19,291</w:t>
            </w:r>
          </w:p>
        </w:tc>
      </w:tr>
      <w:tr>
        <w:trPr>
          <w:trHeight w:val="224"/>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FINRA filing fee</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26,758</w:t>
            </w:r>
          </w:p>
        </w:tc>
        <w:tc>
          <w:tcPr>
            <w:tcW w:w="80" w:type="dxa"/>
            <w:vAlign w:val="bottom"/>
          </w:tcPr>
          <w:p>
            <w:pPr>
              <w:spacing w:after="0"/>
              <w:rPr>
                <w:sz w:val="19"/>
                <w:szCs w:val="19"/>
                <w:color w:val="auto"/>
              </w:rPr>
            </w:pPr>
          </w:p>
        </w:tc>
      </w:tr>
      <w:tr>
        <w:trPr>
          <w:trHeight w:val="46"/>
        </w:trPr>
        <w:tc>
          <w:tcPr>
            <w:tcW w:w="6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24"/>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46"/>
        </w:trPr>
        <w:tc>
          <w:tcPr>
            <w:tcW w:w="6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Printing fees and expenses</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24"/>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Transfer agent and trustee fees</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46"/>
        </w:trPr>
        <w:tc>
          <w:tcPr>
            <w:tcW w:w="6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7"/>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Miscellaneous</w:t>
            </w:r>
          </w:p>
        </w:tc>
        <w:tc>
          <w:tcPr>
            <w:tcW w:w="4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36"/>
        </w:trPr>
        <w:tc>
          <w:tcPr>
            <w:tcW w:w="6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w:t>
            </w:r>
          </w:p>
        </w:tc>
        <w:tc>
          <w:tcPr>
            <w:tcW w:w="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151130</wp:posOffset>
            </wp:positionV>
            <wp:extent cx="68707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687070" cy="6985"/>
                    </a:xfrm>
                    <a:prstGeom prst="rect">
                      <a:avLst/>
                    </a:prstGeom>
                    <a:noFill/>
                  </pic:spPr>
                </pic:pic>
              </a:graphicData>
            </a:graphic>
          </wp:anchor>
        </w:drawing>
      </w:r>
    </w:p>
    <w:p>
      <w:pPr>
        <w:spacing w:after="0" w:line="256" w:lineRule="exact"/>
        <w:rPr>
          <w:sz w:val="20"/>
          <w:szCs w:val="20"/>
          <w:color w:val="auto"/>
        </w:rPr>
      </w:pPr>
    </w:p>
    <w:p>
      <w:pPr>
        <w:ind w:left="1280" w:hanging="292"/>
        <w:spacing w:after="0"/>
        <w:tabs>
          <w:tab w:leader="none" w:pos="12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expenses not presently known</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Item 15. Indemnification of Directors and Officers</w:t>
      </w:r>
    </w:p>
    <w:p>
      <w:pPr>
        <w:spacing w:after="0" w:line="102" w:lineRule="exact"/>
        <w:rPr>
          <w:sz w:val="20"/>
          <w:szCs w:val="20"/>
          <w:color w:val="auto"/>
        </w:rPr>
      </w:pPr>
    </w:p>
    <w:p>
      <w:pPr>
        <w:ind w:left="980" w:right="1099"/>
        <w:spacing w:after="0" w:line="253" w:lineRule="auto"/>
        <w:rPr>
          <w:sz w:val="20"/>
          <w:szCs w:val="20"/>
          <w:color w:val="auto"/>
        </w:rPr>
      </w:pPr>
      <w:r>
        <w:rPr>
          <w:rFonts w:ascii="Times New Roman" w:cs="Times New Roman" w:eastAsia="Times New Roman" w:hAnsi="Times New Roman"/>
          <w:sz w:val="15"/>
          <w:szCs w:val="15"/>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73" w:lineRule="exact"/>
        <w:rPr>
          <w:sz w:val="20"/>
          <w:szCs w:val="20"/>
          <w:color w:val="auto"/>
        </w:rPr>
      </w:pPr>
    </w:p>
    <w:p>
      <w:pPr>
        <w:ind w:left="980" w:right="1179"/>
        <w:spacing w:after="0" w:line="260" w:lineRule="auto"/>
        <w:rPr>
          <w:sz w:val="20"/>
          <w:szCs w:val="20"/>
          <w:color w:val="auto"/>
        </w:rPr>
      </w:pPr>
      <w:r>
        <w:rPr>
          <w:rFonts w:ascii="Times New Roman" w:cs="Times New Roman" w:eastAsia="Times New Roman" w:hAnsi="Times New Roman"/>
          <w:sz w:val="15"/>
          <w:szCs w:val="15"/>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64" w:lineRule="exact"/>
        <w:rPr>
          <w:sz w:val="20"/>
          <w:szCs w:val="20"/>
          <w:color w:val="auto"/>
        </w:rPr>
      </w:pPr>
    </w:p>
    <w:p>
      <w:pPr>
        <w:ind w:left="1580" w:hanging="291"/>
        <w:spacing w:after="0"/>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 director’s duty of loyalty to us or our stockholders;</w:t>
      </w:r>
    </w:p>
    <w:p>
      <w:pPr>
        <w:spacing w:after="0" w:line="97" w:lineRule="exact"/>
        <w:rPr>
          <w:rFonts w:ascii="Times New Roman" w:cs="Times New Roman" w:eastAsia="Times New Roman" w:hAnsi="Times New Roman"/>
          <w:sz w:val="15"/>
          <w:szCs w:val="15"/>
          <w:color w:val="auto"/>
        </w:rPr>
      </w:pPr>
    </w:p>
    <w:p>
      <w:pPr>
        <w:ind w:left="1580" w:right="1279" w:hanging="291"/>
        <w:spacing w:after="0" w:line="280"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 or omission not in good faith or that involves intentional misconduct or a knowing violation of law;</w:t>
      </w:r>
    </w:p>
    <w:p>
      <w:pPr>
        <w:spacing w:after="0" w:line="48" w:lineRule="exact"/>
        <w:rPr>
          <w:rFonts w:ascii="Times New Roman" w:cs="Times New Roman" w:eastAsia="Times New Roman" w:hAnsi="Times New Roman"/>
          <w:sz w:val="15"/>
          <w:szCs w:val="15"/>
          <w:color w:val="auto"/>
        </w:rPr>
      </w:pPr>
    </w:p>
    <w:p>
      <w:pPr>
        <w:ind w:left="1580" w:right="1779" w:hanging="291"/>
        <w:spacing w:after="0" w:line="280" w:lineRule="auto"/>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unlawful payments related to dividends or unlawful stock purchases, redemptions or other distributions; or</w:t>
      </w:r>
    </w:p>
    <w:p>
      <w:pPr>
        <w:spacing w:after="0" w:line="48" w:lineRule="exact"/>
        <w:rPr>
          <w:rFonts w:ascii="Times New Roman" w:cs="Times New Roman" w:eastAsia="Times New Roman" w:hAnsi="Times New Roman"/>
          <w:sz w:val="15"/>
          <w:szCs w:val="15"/>
          <w:color w:val="auto"/>
        </w:rPr>
      </w:pPr>
    </w:p>
    <w:p>
      <w:pPr>
        <w:ind w:left="1580" w:hanging="291"/>
        <w:spacing w:after="0"/>
        <w:tabs>
          <w:tab w:leader="none" w:pos="15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from which the director derived an improper personal benefit.</w:t>
      </w:r>
    </w:p>
    <w:p>
      <w:pPr>
        <w:spacing w:after="0" w:line="98" w:lineRule="exact"/>
        <w:rPr>
          <w:sz w:val="20"/>
          <w:szCs w:val="20"/>
          <w:color w:val="auto"/>
        </w:rPr>
      </w:pPr>
    </w:p>
    <w:p>
      <w:pPr>
        <w:ind w:left="980" w:right="1359"/>
        <w:spacing w:after="0" w:line="280" w:lineRule="auto"/>
        <w:rPr>
          <w:sz w:val="20"/>
          <w:szCs w:val="20"/>
          <w:color w:val="auto"/>
        </w:rPr>
      </w:pPr>
      <w:r>
        <w:rPr>
          <w:rFonts w:ascii="Times New Roman" w:cs="Times New Roman" w:eastAsia="Times New Roman" w:hAnsi="Times New Roman"/>
          <w:sz w:val="15"/>
          <w:szCs w:val="15"/>
          <w:color w:val="auto"/>
        </w:rPr>
        <w:t>These limitations of liability do not alter director liability under the federal securities laws and do not affect the availability of equitable remedies such as an injunction or rescission.</w:t>
      </w:r>
    </w:p>
    <w:p>
      <w:pPr>
        <w:spacing w:after="0" w:line="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In addition, our bylaws provide that:</w:t>
      </w:r>
    </w:p>
    <w:p>
      <w:pPr>
        <w:spacing w:after="0" w:line="98" w:lineRule="exact"/>
        <w:rPr>
          <w:sz w:val="20"/>
          <w:szCs w:val="20"/>
          <w:color w:val="auto"/>
        </w:rPr>
      </w:pPr>
    </w:p>
    <w:p>
      <w:pPr>
        <w:ind w:left="1580" w:right="1039" w:hanging="291"/>
        <w:spacing w:after="0" w:line="280"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indemnify our directors, officers and, in the discretion of our board of directors, certain employees to the fullest extent permitted by the DGCL, as it now exists or may in the future be amended; and</w:t>
      </w:r>
    </w:p>
    <w:p>
      <w:pPr>
        <w:spacing w:after="0" w:line="48" w:lineRule="exact"/>
        <w:rPr>
          <w:rFonts w:ascii="Times New Roman" w:cs="Times New Roman" w:eastAsia="Times New Roman" w:hAnsi="Times New Roman"/>
          <w:sz w:val="15"/>
          <w:szCs w:val="15"/>
          <w:color w:val="auto"/>
        </w:rPr>
      </w:pPr>
    </w:p>
    <w:p>
      <w:pPr>
        <w:ind w:left="1580" w:right="1039" w:hanging="291"/>
        <w:spacing w:after="0" w:line="265"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7" w:name="page68"/>
    <w:bookmarkEnd w:id="67"/>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980" w:right="1019"/>
        <w:spacing w:after="0" w:line="253" w:lineRule="auto"/>
        <w:rPr>
          <w:sz w:val="20"/>
          <w:szCs w:val="20"/>
          <w:color w:val="auto"/>
        </w:rPr>
      </w:pPr>
      <w:r>
        <w:rPr>
          <w:rFonts w:ascii="Times New Roman" w:cs="Times New Roman" w:eastAsia="Times New Roman" w:hAnsi="Times New Roman"/>
          <w:sz w:val="15"/>
          <w:szCs w:val="15"/>
          <w:color w:val="auto"/>
        </w:rPr>
        <w:t>We have entered into indemnification agreements with each of our directors and our executive officers. These agreements provide that we will indemnify each of our directors and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72" w:lineRule="exact"/>
        <w:rPr>
          <w:sz w:val="20"/>
          <w:szCs w:val="20"/>
          <w:color w:val="auto"/>
        </w:rPr>
      </w:pPr>
    </w:p>
    <w:p>
      <w:pPr>
        <w:ind w:left="980" w:right="1139"/>
        <w:spacing w:after="0" w:line="265" w:lineRule="auto"/>
        <w:rPr>
          <w:sz w:val="20"/>
          <w:szCs w:val="20"/>
          <w:color w:val="auto"/>
        </w:rPr>
      </w:pPr>
      <w:r>
        <w:rPr>
          <w:rFonts w:ascii="Times New Roman" w:cs="Times New Roman" w:eastAsia="Times New Roman" w:hAnsi="Times New Roman"/>
          <w:sz w:val="15"/>
          <w:szCs w:val="15"/>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8" w:name="page69"/>
    <w:bookmarkEnd w:id="68"/>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89" w:lineRule="exact"/>
        <w:rPr>
          <w:sz w:val="20"/>
          <w:szCs w:val="20"/>
          <w:color w:val="auto"/>
        </w:rPr>
      </w:pPr>
    </w:p>
    <w:tbl>
      <w:tblPr>
        <w:tblLayout w:type="fixed"/>
        <w:tblInd w:w="980" w:type="dxa"/>
        <w:tblCellMar>
          <w:top w:w="0" w:type="dxa"/>
          <w:left w:w="0" w:type="dxa"/>
          <w:bottom w:w="0" w:type="dxa"/>
          <w:right w:w="0" w:type="dxa"/>
        </w:tblCellMar>
      </w:tblPr>
      <w:tr>
        <w:trPr>
          <w:trHeight w:val="159"/>
        </w:trPr>
        <w:tc>
          <w:tcPr>
            <w:tcW w:w="7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43"/>
        </w:trPr>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253"/>
        </w:trPr>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w w:val="98"/>
              </w:rPr>
              <w:t>1.1*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Form of Underwriting Agreement</w:t>
            </w:r>
          </w:p>
        </w:tc>
      </w:tr>
      <w:tr>
        <w:trPr>
          <w:trHeight w:val="192"/>
        </w:trPr>
        <w:tc>
          <w:tcPr>
            <w:tcW w:w="36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1.</w:t>
            </w:r>
            <w:r>
              <w:rPr>
                <w:rFonts w:ascii="Times New Roman" w:cs="Times New Roman" w:eastAsia="Times New Roman" w:hAnsi="Times New Roman"/>
                <w:sz w:val="15"/>
                <w:szCs w:val="15"/>
                <w:u w:val="single" w:color="auto"/>
                <w:color w:val="0000EE"/>
              </w:rPr>
              <w:t>2+</w:t>
            </w:r>
          </w:p>
        </w:tc>
        <w:tc>
          <w:tcPr>
            <w:tcW w:w="380" w:type="dxa"/>
            <w:vAlign w:val="bottom"/>
          </w:tcPr>
          <w:p>
            <w:pPr>
              <w:spacing w:after="0"/>
              <w:rPr>
                <w:sz w:val="16"/>
                <w:szCs w:val="16"/>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Sales Agreement dated November 8, 2022 by and among the Registrant and Cowen and Company,</w:t>
            </w:r>
          </w:p>
        </w:tc>
      </w:tr>
      <w:tr>
        <w:trPr>
          <w:trHeight w:val="193"/>
        </w:trPr>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LLC</w:t>
            </w:r>
          </w:p>
        </w:tc>
      </w:tr>
      <w:tr>
        <w:trPr>
          <w:trHeight w:val="46"/>
        </w:trPr>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700" w:type="dxa"/>
            <w:vAlign w:val="bottom"/>
          </w:tcPr>
          <w:p>
            <w:pPr>
              <w:spacing w:after="0"/>
              <w:rPr>
                <w:sz w:val="4"/>
                <w:szCs w:val="4"/>
                <w:color w:val="auto"/>
              </w:rPr>
            </w:pPr>
          </w:p>
        </w:tc>
      </w:tr>
      <w:tr>
        <w:trPr>
          <w:trHeight w:val="192"/>
        </w:trPr>
        <w:tc>
          <w:tcPr>
            <w:tcW w:w="280" w:type="dxa"/>
            <w:vAlign w:val="bottom"/>
            <w:gridSpan w:val="2"/>
            <w:shd w:val="clear" w:color="auto" w:fill="CCEEFF"/>
          </w:tcPr>
          <w:p>
            <w:pPr>
              <w:spacing w:after="0"/>
              <w:rPr>
                <w:rFonts w:ascii="Times New Roman" w:cs="Times New Roman" w:eastAsia="Times New Roman" w:hAnsi="Times New Roman"/>
                <w:sz w:val="15"/>
                <w:szCs w:val="15"/>
                <w:color w:val="0000EE"/>
              </w:rPr>
            </w:pPr>
            <w:hyperlink r:id="rId109">
              <w:r>
                <w:rPr>
                  <w:rFonts w:ascii="Times New Roman" w:cs="Times New Roman" w:eastAsia="Times New Roman" w:hAnsi="Times New Roman"/>
                  <w:sz w:val="15"/>
                  <w:szCs w:val="15"/>
                  <w:color w:val="0000EE"/>
                </w:rPr>
                <w:t>3.</w:t>
              </w:r>
              <w:r>
                <w:rPr>
                  <w:rFonts w:ascii="Times New Roman" w:cs="Times New Roman" w:eastAsia="Times New Roman" w:hAnsi="Times New Roman"/>
                  <w:sz w:val="15"/>
                  <w:szCs w:val="15"/>
                  <w:u w:val="single" w:color="auto"/>
                  <w:color w:val="0000EE"/>
                </w:rPr>
                <w:t>1</w:t>
              </w:r>
            </w:hyperlink>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3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Fourth Amended and Restated Certificate of Incorporation of the Registrant, filed as Exhibit 3.1 to the</w:t>
            </w:r>
          </w:p>
        </w:tc>
      </w:tr>
      <w:tr>
        <w:trPr>
          <w:trHeight w:val="179"/>
        </w:trPr>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300" w:type="dxa"/>
            <w:vAlign w:val="bottom"/>
            <w:tcBorders>
              <w:top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Registrant’s Current Report on Form 8-K filed on June 25, 2018 (File No. 001-38537) and</w:t>
            </w:r>
          </w:p>
        </w:tc>
      </w:tr>
      <w:tr>
        <w:trPr>
          <w:trHeight w:val="220"/>
        </w:trPr>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incorporated herein by reference</w:t>
            </w:r>
          </w:p>
        </w:tc>
      </w:tr>
      <w:tr>
        <w:trPr>
          <w:trHeight w:val="192"/>
        </w:trPr>
        <w:tc>
          <w:tcPr>
            <w:tcW w:w="280" w:type="dxa"/>
            <w:vAlign w:val="bottom"/>
            <w:gridSpan w:val="2"/>
          </w:tcPr>
          <w:p>
            <w:pPr>
              <w:spacing w:after="0"/>
              <w:rPr>
                <w:rFonts w:ascii="Times New Roman" w:cs="Times New Roman" w:eastAsia="Times New Roman" w:hAnsi="Times New Roman"/>
                <w:sz w:val="15"/>
                <w:szCs w:val="15"/>
                <w:color w:val="0000EE"/>
              </w:rPr>
            </w:pPr>
            <w:hyperlink r:id="rId110">
              <w:r>
                <w:rPr>
                  <w:rFonts w:ascii="Times New Roman" w:cs="Times New Roman" w:eastAsia="Times New Roman" w:hAnsi="Times New Roman"/>
                  <w:sz w:val="15"/>
                  <w:szCs w:val="15"/>
                  <w:color w:val="0000EE"/>
                </w:rPr>
                <w:t>3.</w:t>
              </w:r>
              <w:r>
                <w:rPr>
                  <w:rFonts w:ascii="Times New Roman" w:cs="Times New Roman" w:eastAsia="Times New Roman" w:hAnsi="Times New Roman"/>
                  <w:sz w:val="15"/>
                  <w:szCs w:val="15"/>
                  <w:u w:val="single" w:color="auto"/>
                  <w:color w:val="0000EE"/>
                </w:rPr>
                <w:t>2</w:t>
              </w:r>
            </w:hyperlink>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Amended and Restated By-laws, filed as Exhibit 3.2 to the Registrant’s Current Report on Form 8-K</w:t>
            </w:r>
          </w:p>
        </w:tc>
      </w:tr>
      <w:tr>
        <w:trPr>
          <w:trHeight w:val="193"/>
        </w:trPr>
        <w:tc>
          <w:tcPr>
            <w:tcW w:w="2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filed on June 25, 2018 (File No. 001-38537) and incorporated herein by reference</w:t>
            </w:r>
          </w:p>
        </w:tc>
      </w:tr>
      <w:tr>
        <w:trPr>
          <w:trHeight w:val="46"/>
        </w:trPr>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700" w:type="dxa"/>
            <w:vAlign w:val="bottom"/>
          </w:tcPr>
          <w:p>
            <w:pPr>
              <w:spacing w:after="0"/>
              <w:rPr>
                <w:sz w:val="4"/>
                <w:szCs w:val="4"/>
                <w:color w:val="auto"/>
              </w:rPr>
            </w:pPr>
          </w:p>
        </w:tc>
      </w:tr>
      <w:tr>
        <w:trPr>
          <w:trHeight w:val="192"/>
        </w:trPr>
        <w:tc>
          <w:tcPr>
            <w:tcW w:w="280" w:type="dxa"/>
            <w:vAlign w:val="bottom"/>
            <w:gridSpan w:val="2"/>
            <w:shd w:val="clear" w:color="auto" w:fill="CCEEFF"/>
          </w:tcPr>
          <w:p>
            <w:pPr>
              <w:spacing w:after="0"/>
              <w:rPr>
                <w:rFonts w:ascii="Times New Roman" w:cs="Times New Roman" w:eastAsia="Times New Roman" w:hAnsi="Times New Roman"/>
                <w:sz w:val="15"/>
                <w:szCs w:val="15"/>
                <w:color w:val="0000EE"/>
              </w:rPr>
            </w:pPr>
            <w:hyperlink r:id="rId111">
              <w:r>
                <w:rPr>
                  <w:rFonts w:ascii="Times New Roman" w:cs="Times New Roman" w:eastAsia="Times New Roman" w:hAnsi="Times New Roman"/>
                  <w:sz w:val="15"/>
                  <w:szCs w:val="15"/>
                  <w:color w:val="0000EE"/>
                </w:rPr>
                <w:t>4.</w:t>
              </w:r>
              <w:r>
                <w:rPr>
                  <w:rFonts w:ascii="Times New Roman" w:cs="Times New Roman" w:eastAsia="Times New Roman" w:hAnsi="Times New Roman"/>
                  <w:sz w:val="15"/>
                  <w:szCs w:val="15"/>
                  <w:u w:val="single" w:color="auto"/>
                  <w:color w:val="0000EE"/>
                </w:rPr>
                <w:t>1</w:t>
              </w:r>
            </w:hyperlink>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3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Form of Specimen Common Stock Certificate, filed as Exhibit 4.1 to the Registrant’s Second</w:t>
            </w:r>
          </w:p>
        </w:tc>
      </w:tr>
      <w:tr>
        <w:trPr>
          <w:trHeight w:val="179"/>
        </w:trPr>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300" w:type="dxa"/>
            <w:vAlign w:val="bottom"/>
            <w:tcBorders>
              <w:top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Amendment to the Registration Statement on Form S-1 filed on June 11, 2018 (File No. 333-225213)</w:t>
            </w:r>
          </w:p>
        </w:tc>
      </w:tr>
      <w:tr>
        <w:trPr>
          <w:trHeight w:val="220"/>
        </w:trPr>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and incorporated herein by reference</w:t>
            </w:r>
          </w:p>
        </w:tc>
      </w:tr>
      <w:tr>
        <w:trPr>
          <w:trHeight w:val="192"/>
        </w:trPr>
        <w:tc>
          <w:tcPr>
            <w:tcW w:w="280" w:type="dxa"/>
            <w:vAlign w:val="bottom"/>
            <w:gridSpan w:val="2"/>
          </w:tcPr>
          <w:p>
            <w:pPr>
              <w:spacing w:after="0"/>
              <w:rPr>
                <w:rFonts w:ascii="Times New Roman" w:cs="Times New Roman" w:eastAsia="Times New Roman" w:hAnsi="Times New Roman"/>
                <w:sz w:val="15"/>
                <w:szCs w:val="15"/>
                <w:color w:val="0000EE"/>
              </w:rPr>
            </w:pPr>
            <w:hyperlink r:id="rId112">
              <w:r>
                <w:rPr>
                  <w:rFonts w:ascii="Times New Roman" w:cs="Times New Roman" w:eastAsia="Times New Roman" w:hAnsi="Times New Roman"/>
                  <w:sz w:val="15"/>
                  <w:szCs w:val="15"/>
                  <w:color w:val="0000EE"/>
                </w:rPr>
                <w:t>4.</w:t>
              </w:r>
              <w:r>
                <w:rPr>
                  <w:rFonts w:ascii="Times New Roman" w:cs="Times New Roman" w:eastAsia="Times New Roman" w:hAnsi="Times New Roman"/>
                  <w:sz w:val="15"/>
                  <w:szCs w:val="15"/>
                  <w:u w:val="single" w:color="auto"/>
                  <w:color w:val="0000EE"/>
                </w:rPr>
                <w:t>2</w:t>
              </w:r>
            </w:hyperlink>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Second Amended and Restated Investors’ Rights Agreement among the Registrant and certain of its</w:t>
            </w:r>
          </w:p>
        </w:tc>
      </w:tr>
      <w:tr>
        <w:trPr>
          <w:trHeight w:val="179"/>
        </w:trPr>
        <w:tc>
          <w:tcPr>
            <w:tcW w:w="2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stockholders, dated January 9, 2018, filed as Exhibit 4.2 to the Registrant’s Registration Statement on</w:t>
            </w:r>
          </w:p>
        </w:tc>
      </w:tr>
      <w:tr>
        <w:trPr>
          <w:trHeight w:val="194"/>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Form S-1 filed on May 25, 2018 (File No. 333-225213) and incorporated herein by reference</w:t>
            </w:r>
          </w:p>
        </w:tc>
      </w:tr>
      <w:tr>
        <w:trPr>
          <w:trHeight w:val="46"/>
        </w:trPr>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700" w:type="dxa"/>
            <w:vAlign w:val="bottom"/>
          </w:tcPr>
          <w:p>
            <w:pPr>
              <w:spacing w:after="0"/>
              <w:rPr>
                <w:sz w:val="4"/>
                <w:szCs w:val="4"/>
                <w:color w:val="auto"/>
              </w:rPr>
            </w:pPr>
          </w:p>
        </w:tc>
      </w:tr>
      <w:tr>
        <w:trPr>
          <w:trHeight w:val="192"/>
        </w:trPr>
        <w:tc>
          <w:tcPr>
            <w:tcW w:w="280" w:type="dxa"/>
            <w:vAlign w:val="bottom"/>
            <w:gridSpan w:val="2"/>
            <w:shd w:val="clear" w:color="auto" w:fill="CCEEFF"/>
          </w:tcPr>
          <w:p>
            <w:pPr>
              <w:spacing w:after="0"/>
              <w:rPr>
                <w:rFonts w:ascii="Times New Roman" w:cs="Times New Roman" w:eastAsia="Times New Roman" w:hAnsi="Times New Roman"/>
                <w:sz w:val="15"/>
                <w:szCs w:val="15"/>
                <w:color w:val="0000EE"/>
              </w:rPr>
            </w:pPr>
            <w:hyperlink r:id="rId55">
              <w:r>
                <w:rPr>
                  <w:rFonts w:ascii="Times New Roman" w:cs="Times New Roman" w:eastAsia="Times New Roman" w:hAnsi="Times New Roman"/>
                  <w:sz w:val="15"/>
                  <w:szCs w:val="15"/>
                  <w:color w:val="0000EE"/>
                </w:rPr>
                <w:t>4.</w:t>
              </w:r>
              <w:r>
                <w:rPr>
                  <w:rFonts w:ascii="Times New Roman" w:cs="Times New Roman" w:eastAsia="Times New Roman" w:hAnsi="Times New Roman"/>
                  <w:sz w:val="15"/>
                  <w:szCs w:val="15"/>
                  <w:u w:val="single" w:color="auto"/>
                  <w:color w:val="0000EE"/>
                </w:rPr>
                <w:t>3</w:t>
              </w:r>
            </w:hyperlink>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3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Description of Securities Registered Pursuant to Section 12 of the Securities Exchange Act of 1934, as</w:t>
            </w:r>
          </w:p>
        </w:tc>
      </w:tr>
      <w:tr>
        <w:trPr>
          <w:trHeight w:val="179"/>
        </w:trPr>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300" w:type="dxa"/>
            <w:vAlign w:val="bottom"/>
            <w:tcBorders>
              <w:top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amended, filed as Exhibit 4.3 to the to the Registrant’s Annual Report on Form 10-K filed on</w:t>
            </w:r>
          </w:p>
        </w:tc>
      </w:tr>
      <w:tr>
        <w:trPr>
          <w:trHeight w:val="220"/>
        </w:trPr>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March 16, 2020 (File No. 001-38537) and incorporated herein by reference</w:t>
            </w:r>
          </w:p>
        </w:tc>
      </w:tr>
      <w:tr>
        <w:trPr>
          <w:trHeight w:val="192"/>
        </w:trPr>
        <w:tc>
          <w:tcPr>
            <w:tcW w:w="36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4.</w:t>
            </w:r>
            <w:r>
              <w:rPr>
                <w:rFonts w:ascii="Times New Roman" w:cs="Times New Roman" w:eastAsia="Times New Roman" w:hAnsi="Times New Roman"/>
                <w:sz w:val="15"/>
                <w:szCs w:val="15"/>
                <w:u w:val="single" w:color="auto"/>
                <w:color w:val="0000EE"/>
              </w:rPr>
              <w:t>4+</w:t>
            </w:r>
          </w:p>
        </w:tc>
        <w:tc>
          <w:tcPr>
            <w:tcW w:w="380" w:type="dxa"/>
            <w:vAlign w:val="bottom"/>
          </w:tcPr>
          <w:p>
            <w:pPr>
              <w:spacing w:after="0"/>
              <w:rPr>
                <w:sz w:val="16"/>
                <w:szCs w:val="16"/>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Form of Senior Indenture between the Registrant and one or more trustees to be named</w:t>
            </w:r>
          </w:p>
        </w:tc>
      </w:tr>
      <w:tr>
        <w:trPr>
          <w:trHeight w:val="59"/>
        </w:trPr>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r>
      <w:tr>
        <w:trPr>
          <w:trHeight w:val="250"/>
        </w:trPr>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0000EE"/>
              </w:rPr>
              <w:t>4.</w:t>
            </w:r>
            <w:r>
              <w:rPr>
                <w:rFonts w:ascii="Times New Roman" w:cs="Times New Roman" w:eastAsia="Times New Roman" w:hAnsi="Times New Roman"/>
                <w:sz w:val="15"/>
                <w:szCs w:val="15"/>
                <w:u w:val="single" w:color="auto"/>
                <w:color w:val="0000EE"/>
              </w:rPr>
              <w:t>5+</w:t>
            </w:r>
          </w:p>
        </w:tc>
        <w:tc>
          <w:tcPr>
            <w:tcW w:w="380" w:type="dxa"/>
            <w:vAlign w:val="bottom"/>
            <w:shd w:val="clear" w:color="auto" w:fill="CCEEFF"/>
          </w:tcPr>
          <w:p>
            <w:pPr>
              <w:spacing w:after="0"/>
              <w:rPr>
                <w:sz w:val="21"/>
                <w:szCs w:val="21"/>
                <w:color w:val="auto"/>
              </w:rPr>
            </w:pPr>
          </w:p>
        </w:tc>
        <w:tc>
          <w:tcPr>
            <w:tcW w:w="63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Form of Subordinated Indenture between the Registrant and one or more trustees to be named</w:t>
            </w:r>
          </w:p>
        </w:tc>
      </w:tr>
      <w:tr>
        <w:trPr>
          <w:trHeight w:val="224"/>
        </w:trPr>
        <w:tc>
          <w:tcPr>
            <w:tcW w:w="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auto"/>
                <w:w w:val="98"/>
              </w:rPr>
              <w:t>4.6*</w:t>
            </w: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6300" w:type="dxa"/>
            <w:vAlign w:val="bottom"/>
            <w:tcBorders>
              <w:top w:val="single" w:sz="8" w:color="CCEEFF"/>
            </w:tcBorders>
            <w:gridSpan w:val="6"/>
          </w:tcPr>
          <w:p>
            <w:pPr>
              <w:ind w:left="100"/>
              <w:spacing w:after="0"/>
              <w:rPr>
                <w:sz w:val="20"/>
                <w:szCs w:val="20"/>
                <w:color w:val="auto"/>
              </w:rPr>
            </w:pPr>
            <w:r>
              <w:rPr>
                <w:rFonts w:ascii="Times New Roman" w:cs="Times New Roman" w:eastAsia="Times New Roman" w:hAnsi="Times New Roman"/>
                <w:sz w:val="15"/>
                <w:szCs w:val="15"/>
                <w:color w:val="auto"/>
              </w:rPr>
              <w:t>Form of Certificate of Designations</w:t>
            </w:r>
          </w:p>
        </w:tc>
      </w:tr>
      <w:tr>
        <w:trPr>
          <w:trHeight w:val="46"/>
        </w:trPr>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700" w:type="dxa"/>
            <w:vAlign w:val="bottom"/>
          </w:tcPr>
          <w:p>
            <w:pPr>
              <w:spacing w:after="0"/>
              <w:rPr>
                <w:sz w:val="4"/>
                <w:szCs w:val="4"/>
                <w:color w:val="auto"/>
              </w:rPr>
            </w:pPr>
          </w:p>
        </w:tc>
      </w:tr>
      <w:tr>
        <w:trPr>
          <w:trHeight w:val="250"/>
        </w:trPr>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w w:val="98"/>
              </w:rPr>
              <w:t>4.7*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Form of Warrant Agreements</w:t>
            </w:r>
          </w:p>
        </w:tc>
      </w:tr>
      <w:tr>
        <w:trPr>
          <w:trHeight w:val="224"/>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8"/>
              </w:rPr>
              <w:t>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Form of Unit Agreement and Unit Certificate</w:t>
            </w:r>
          </w:p>
        </w:tc>
      </w:tr>
      <w:tr>
        <w:trPr>
          <w:trHeight w:val="46"/>
        </w:trPr>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700" w:type="dxa"/>
            <w:vAlign w:val="bottom"/>
          </w:tcPr>
          <w:p>
            <w:pPr>
              <w:spacing w:after="0"/>
              <w:rPr>
                <w:sz w:val="4"/>
                <w:szCs w:val="4"/>
                <w:color w:val="auto"/>
              </w:rPr>
            </w:pPr>
          </w:p>
        </w:tc>
      </w:tr>
      <w:tr>
        <w:trPr>
          <w:trHeight w:val="250"/>
        </w:trPr>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w w:val="98"/>
              </w:rPr>
              <w:t>4.9*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Form of Preferred Stock Certificate</w:t>
            </w:r>
          </w:p>
        </w:tc>
      </w:tr>
      <w:tr>
        <w:trPr>
          <w:trHeight w:val="192"/>
        </w:trPr>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8"/>
              </w:rPr>
              <w:t>4.10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 xml:space="preserve">Reference is made to Exhibits </w:t>
            </w:r>
            <w:r>
              <w:rPr>
                <w:rFonts w:ascii="Times New Roman" w:cs="Times New Roman" w:eastAsia="Times New Roman" w:hAnsi="Times New Roman"/>
                <w:sz w:val="15"/>
                <w:szCs w:val="15"/>
                <w:color w:val="0000EE"/>
              </w:rPr>
              <w:t>3.1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color w:val="0000EE"/>
              </w:rPr>
              <w:t>3.2</w:t>
            </w:r>
          </w:p>
        </w:tc>
      </w:tr>
      <w:tr>
        <w:trPr>
          <w:trHeight w:val="59"/>
        </w:trPr>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700" w:type="dxa"/>
            <w:vAlign w:val="bottom"/>
          </w:tcPr>
          <w:p>
            <w:pPr>
              <w:spacing w:after="0"/>
              <w:rPr>
                <w:sz w:val="5"/>
                <w:szCs w:val="5"/>
                <w:color w:val="auto"/>
              </w:rPr>
            </w:pPr>
          </w:p>
        </w:tc>
      </w:tr>
      <w:tr>
        <w:trPr>
          <w:trHeight w:val="192"/>
        </w:trPr>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0000EE"/>
              </w:rPr>
              <w:t>5.</w:t>
            </w:r>
            <w:r>
              <w:rPr>
                <w:rFonts w:ascii="Times New Roman" w:cs="Times New Roman" w:eastAsia="Times New Roman" w:hAnsi="Times New Roman"/>
                <w:sz w:val="15"/>
                <w:szCs w:val="15"/>
                <w:u w:val="single" w:color="auto"/>
                <w:color w:val="0000EE"/>
              </w:rPr>
              <w:t>1+</w:t>
            </w:r>
          </w:p>
        </w:tc>
        <w:tc>
          <w:tcPr>
            <w:tcW w:w="380" w:type="dxa"/>
            <w:vAlign w:val="bottom"/>
            <w:shd w:val="clear" w:color="auto" w:fill="CCEEFF"/>
          </w:tcPr>
          <w:p>
            <w:pPr>
              <w:spacing w:after="0"/>
              <w:rPr>
                <w:sz w:val="16"/>
                <w:szCs w:val="16"/>
                <w:color w:val="auto"/>
              </w:rPr>
            </w:pPr>
          </w:p>
        </w:tc>
        <w:tc>
          <w:tcPr>
            <w:tcW w:w="63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Opinion of Goodwin Procter LLP</w:t>
            </w:r>
          </w:p>
        </w:tc>
      </w:tr>
      <w:tr>
        <w:trPr>
          <w:trHeight w:val="59"/>
        </w:trPr>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700" w:type="dxa"/>
            <w:vAlign w:val="bottom"/>
            <w:tcBorders>
              <w:top w:val="single" w:sz="8" w:color="CCEEFF"/>
            </w:tcBorders>
            <w:shd w:val="clear" w:color="auto" w:fill="CCEEFF"/>
          </w:tcPr>
          <w:p>
            <w:pPr>
              <w:spacing w:after="0"/>
              <w:rPr>
                <w:sz w:val="5"/>
                <w:szCs w:val="5"/>
                <w:color w:val="auto"/>
              </w:rPr>
            </w:pPr>
          </w:p>
        </w:tc>
      </w:tr>
      <w:tr>
        <w:trPr>
          <w:trHeight w:val="192"/>
        </w:trPr>
        <w:tc>
          <w:tcPr>
            <w:tcW w:w="36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5.</w:t>
            </w:r>
            <w:r>
              <w:rPr>
                <w:rFonts w:ascii="Times New Roman" w:cs="Times New Roman" w:eastAsia="Times New Roman" w:hAnsi="Times New Roman"/>
                <w:sz w:val="15"/>
                <w:szCs w:val="15"/>
                <w:u w:val="single" w:color="auto"/>
                <w:color w:val="0000EE"/>
              </w:rPr>
              <w:t>2+</w:t>
            </w:r>
          </w:p>
        </w:tc>
        <w:tc>
          <w:tcPr>
            <w:tcW w:w="380" w:type="dxa"/>
            <w:vAlign w:val="bottom"/>
          </w:tcPr>
          <w:p>
            <w:pPr>
              <w:spacing w:after="0"/>
              <w:rPr>
                <w:sz w:val="16"/>
                <w:szCs w:val="16"/>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Opinion of Goodwin Procter LLP relating to the sales agreement prospectus</w:t>
            </w:r>
          </w:p>
        </w:tc>
      </w:tr>
      <w:tr>
        <w:trPr>
          <w:trHeight w:val="59"/>
        </w:trPr>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r>
      <w:tr>
        <w:trPr>
          <w:trHeight w:val="250"/>
        </w:trPr>
        <w:tc>
          <w:tcPr>
            <w:tcW w:w="36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0000EE"/>
                <w:w w:val="97"/>
              </w:rPr>
              <w:t>23.</w:t>
            </w:r>
            <w:r>
              <w:rPr>
                <w:rFonts w:ascii="Times New Roman" w:cs="Times New Roman" w:eastAsia="Times New Roman" w:hAnsi="Times New Roman"/>
                <w:sz w:val="15"/>
                <w:szCs w:val="15"/>
                <w:u w:val="single" w:color="auto"/>
                <w:color w:val="0000EE"/>
                <w:w w:val="97"/>
              </w:rPr>
              <w:t>1+</w:t>
            </w:r>
          </w:p>
        </w:tc>
        <w:tc>
          <w:tcPr>
            <w:tcW w:w="38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Consent of Ernst &amp; Young LLP</w:t>
            </w:r>
          </w:p>
        </w:tc>
      </w:tr>
      <w:tr>
        <w:trPr>
          <w:trHeight w:val="192"/>
        </w:trPr>
        <w:tc>
          <w:tcPr>
            <w:tcW w:w="740" w:type="dxa"/>
            <w:vAlign w:val="bottom"/>
            <w:gridSpan w:val="4"/>
          </w:tcPr>
          <w:p>
            <w:pPr>
              <w:spacing w:after="0"/>
              <w:rPr>
                <w:sz w:val="20"/>
                <w:szCs w:val="20"/>
                <w:color w:val="auto"/>
              </w:rPr>
            </w:pPr>
            <w:r>
              <w:rPr>
                <w:rFonts w:ascii="Times New Roman" w:cs="Times New Roman" w:eastAsia="Times New Roman" w:hAnsi="Times New Roman"/>
                <w:sz w:val="15"/>
                <w:szCs w:val="15"/>
                <w:color w:val="0000EE"/>
              </w:rPr>
              <w:t>23.</w:t>
            </w:r>
            <w:r>
              <w:rPr>
                <w:rFonts w:ascii="Times New Roman" w:cs="Times New Roman" w:eastAsia="Times New Roman" w:hAnsi="Times New Roman"/>
                <w:sz w:val="15"/>
                <w:szCs w:val="15"/>
                <w:u w:val="single" w:color="auto"/>
                <w:color w:val="0000EE"/>
              </w:rPr>
              <w:t>2+</w:t>
            </w: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Consent of Goodwin Procter LLP (included in Exhibit 5.1)</w:t>
            </w:r>
          </w:p>
        </w:tc>
      </w:tr>
      <w:tr>
        <w:trPr>
          <w:trHeight w:val="59"/>
        </w:trPr>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r>
      <w:tr>
        <w:trPr>
          <w:trHeight w:val="250"/>
        </w:trPr>
        <w:tc>
          <w:tcPr>
            <w:tcW w:w="36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0000EE"/>
                <w:w w:val="97"/>
              </w:rPr>
              <w:t>23.</w:t>
            </w:r>
            <w:r>
              <w:rPr>
                <w:rFonts w:ascii="Times New Roman" w:cs="Times New Roman" w:eastAsia="Times New Roman" w:hAnsi="Times New Roman"/>
                <w:sz w:val="15"/>
                <w:szCs w:val="15"/>
                <w:u w:val="single" w:color="auto"/>
                <w:color w:val="0000EE"/>
                <w:w w:val="97"/>
              </w:rPr>
              <w:t>3+</w:t>
            </w:r>
          </w:p>
        </w:tc>
        <w:tc>
          <w:tcPr>
            <w:tcW w:w="38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Consent of Goodwin Procter LLP (included in Exhibit 5.2)</w:t>
            </w:r>
          </w:p>
        </w:tc>
      </w:tr>
      <w:tr>
        <w:trPr>
          <w:trHeight w:val="192"/>
        </w:trPr>
        <w:tc>
          <w:tcPr>
            <w:tcW w:w="740" w:type="dxa"/>
            <w:vAlign w:val="bottom"/>
            <w:gridSpan w:val="4"/>
          </w:tcPr>
          <w:p>
            <w:pPr>
              <w:spacing w:after="0"/>
              <w:rPr>
                <w:sz w:val="20"/>
                <w:szCs w:val="20"/>
                <w:color w:val="auto"/>
              </w:rPr>
            </w:pPr>
            <w:r>
              <w:rPr>
                <w:rFonts w:ascii="Times New Roman" w:cs="Times New Roman" w:eastAsia="Times New Roman" w:hAnsi="Times New Roman"/>
                <w:sz w:val="15"/>
                <w:szCs w:val="15"/>
                <w:color w:val="0000EE"/>
              </w:rPr>
              <w:t>24.</w:t>
            </w:r>
            <w:r>
              <w:rPr>
                <w:rFonts w:ascii="Times New Roman" w:cs="Times New Roman" w:eastAsia="Times New Roman" w:hAnsi="Times New Roman"/>
                <w:sz w:val="15"/>
                <w:szCs w:val="15"/>
                <w:u w:val="single" w:color="auto"/>
                <w:color w:val="0000EE"/>
              </w:rPr>
              <w:t>1+</w:t>
            </w: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Power of Attorney (included on the signature page to this registration statement)</w:t>
            </w:r>
          </w:p>
        </w:tc>
      </w:tr>
      <w:tr>
        <w:trPr>
          <w:trHeight w:val="59"/>
        </w:trPr>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r>
      <w:tr>
        <w:trPr>
          <w:trHeight w:val="211"/>
        </w:trPr>
        <w:tc>
          <w:tcPr>
            <w:tcW w:w="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25.1**</w:t>
            </w:r>
          </w:p>
        </w:tc>
        <w:tc>
          <w:tcPr>
            <w:tcW w:w="63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Form T-1 Statement of Eligibility of Trustee for Senior Indenture under the Trust Indenture Act of</w:t>
            </w:r>
          </w:p>
        </w:tc>
      </w:tr>
      <w:tr>
        <w:trPr>
          <w:trHeight w:val="220"/>
        </w:trPr>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1939</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r>
      <w:tr>
        <w:trPr>
          <w:trHeight w:val="211"/>
        </w:trPr>
        <w:tc>
          <w:tcPr>
            <w:tcW w:w="7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25.2**</w:t>
            </w: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Form T-1 Statement of Eligibility of Trustee for Subordinated Indenture under the Trust Indenture Act</w:t>
            </w:r>
          </w:p>
        </w:tc>
      </w:tr>
      <w:tr>
        <w:trPr>
          <w:trHeight w:val="194"/>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3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29210</wp:posOffset>
            </wp:positionV>
            <wp:extent cx="446468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4464685" cy="171450"/>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-5135880</wp:posOffset>
            </wp:positionV>
            <wp:extent cx="571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57150" cy="6985"/>
                    </a:xfrm>
                    <a:prstGeom prst="rect">
                      <a:avLst/>
                    </a:prstGeom>
                    <a:noFill/>
                  </pic:spPr>
                </pic:pic>
              </a:graphicData>
            </a:graphic>
          </wp:anchor>
        </w:drawing>
      </w:r>
    </w:p>
    <w:p>
      <w:pPr>
        <w:spacing w:after="0" w:line="57" w:lineRule="exact"/>
        <w:rPr>
          <w:sz w:val="20"/>
          <w:szCs w:val="20"/>
          <w:color w:val="auto"/>
        </w:rPr>
      </w:pPr>
    </w:p>
    <w:p>
      <w:pPr>
        <w:ind w:left="1820" w:hanging="832"/>
        <w:spacing w:after="0"/>
        <w:tabs>
          <w:tab w:leader="none" w:pos="1820" w:val="left"/>
        </w:tabs>
        <w:numPr>
          <w:ilvl w:val="0"/>
          <w:numId w:val="59"/>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200025</wp:posOffset>
            </wp:positionV>
            <wp:extent cx="68707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687070" cy="6985"/>
                    </a:xfrm>
                    <a:prstGeom prst="rect">
                      <a:avLst/>
                    </a:prstGeom>
                    <a:noFill/>
                  </pic:spPr>
                </pic:pic>
              </a:graphicData>
            </a:graphic>
          </wp:anchor>
        </w:drawing>
      </w:r>
    </w:p>
    <w:p>
      <w:pPr>
        <w:spacing w:after="0" w:line="334" w:lineRule="exact"/>
        <w:rPr>
          <w:sz w:val="20"/>
          <w:szCs w:val="20"/>
          <w:color w:val="auto"/>
        </w:rPr>
      </w:pPr>
    </w:p>
    <w:p>
      <w:pPr>
        <w:ind w:left="1280" w:right="1059" w:hanging="292"/>
        <w:spacing w:after="0" w:line="245" w:lineRule="auto"/>
        <w:tabs>
          <w:tab w:leader="none" w:pos="12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filed, if necessary, by amendment or as an exhibit to a document to be incorporated or deemed to be incorporated by reference in this registration statement, including a Current Report on Form 8-K.</w:t>
      </w:r>
    </w:p>
    <w:p>
      <w:pPr>
        <w:spacing w:after="0" w:line="11" w:lineRule="exact"/>
        <w:rPr>
          <w:sz w:val="20"/>
          <w:szCs w:val="20"/>
          <w:color w:val="auto"/>
        </w:rPr>
      </w:pPr>
    </w:p>
    <w:p>
      <w:pPr>
        <w:ind w:left="980" w:right="3319" w:firstLine="8"/>
        <w:spacing w:after="0" w:line="323" w:lineRule="auto"/>
        <w:tabs>
          <w:tab w:leader="none" w:pos="1273"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filed by amendment pursuant to Section 305(b)(2) of the Trust Indenture Act of 1939. + Filed herewith.</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9" w:name="page70"/>
    <w:bookmarkEnd w:id="69"/>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The undersigned registrant hereby undertakes:</w:t>
      </w:r>
    </w:p>
    <w:p>
      <w:pPr>
        <w:spacing w:after="0" w:line="98" w:lineRule="exact"/>
        <w:rPr>
          <w:sz w:val="20"/>
          <w:szCs w:val="20"/>
          <w:color w:val="auto"/>
        </w:rPr>
      </w:pPr>
    </w:p>
    <w:p>
      <w:pPr>
        <w:ind w:left="980" w:right="1019" w:firstLine="8"/>
        <w:spacing w:after="0" w:line="280" w:lineRule="auto"/>
        <w:tabs>
          <w:tab w:leader="none" w:pos="1193"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93" w:lineRule="exact"/>
        <w:rPr>
          <w:rFonts w:ascii="Times New Roman" w:cs="Times New Roman" w:eastAsia="Times New Roman" w:hAnsi="Times New Roman"/>
          <w:sz w:val="15"/>
          <w:szCs w:val="15"/>
          <w:color w:val="auto"/>
        </w:rPr>
      </w:pPr>
    </w:p>
    <w:p>
      <w:pPr>
        <w:ind w:left="1460" w:hanging="171"/>
        <w:spacing w:after="0"/>
        <w:tabs>
          <w:tab w:leader="none" w:pos="1460"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 of 1933;</w:t>
      </w:r>
    </w:p>
    <w:p>
      <w:pPr>
        <w:spacing w:after="0" w:line="97" w:lineRule="exact"/>
        <w:rPr>
          <w:rFonts w:ascii="Times New Roman" w:cs="Times New Roman" w:eastAsia="Times New Roman" w:hAnsi="Times New Roman"/>
          <w:sz w:val="15"/>
          <w:szCs w:val="15"/>
          <w:color w:val="auto"/>
        </w:rPr>
      </w:pPr>
    </w:p>
    <w:p>
      <w:pPr>
        <w:ind w:left="980" w:right="1159" w:firstLine="309"/>
        <w:spacing w:after="0" w:line="254" w:lineRule="auto"/>
        <w:tabs>
          <w:tab w:leader="none" w:pos="1501"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9" w:lineRule="exact"/>
        <w:rPr>
          <w:rFonts w:ascii="Times New Roman" w:cs="Times New Roman" w:eastAsia="Times New Roman" w:hAnsi="Times New Roman"/>
          <w:sz w:val="15"/>
          <w:szCs w:val="15"/>
          <w:color w:val="auto"/>
        </w:rPr>
      </w:pPr>
    </w:p>
    <w:p>
      <w:pPr>
        <w:ind w:left="980" w:right="1099" w:firstLine="309"/>
        <w:spacing w:after="0" w:line="255" w:lineRule="auto"/>
        <w:tabs>
          <w:tab w:leader="none" w:pos="1543"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paragraphs (1)(i), (1)(ii) and (1)(iii)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9" w:lineRule="exact"/>
        <w:rPr>
          <w:rFonts w:ascii="Times New Roman" w:cs="Times New Roman" w:eastAsia="Times New Roman" w:hAnsi="Times New Roman"/>
          <w:sz w:val="15"/>
          <w:szCs w:val="15"/>
          <w:color w:val="auto"/>
        </w:rPr>
      </w:pPr>
    </w:p>
    <w:p>
      <w:pPr>
        <w:jc w:val="both"/>
        <w:ind w:left="980" w:right="1359" w:firstLine="8"/>
        <w:spacing w:after="0" w:line="265" w:lineRule="auto"/>
        <w:tabs>
          <w:tab w:leader="none" w:pos="1193"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59" w:lineRule="exact"/>
        <w:rPr>
          <w:rFonts w:ascii="Times New Roman" w:cs="Times New Roman" w:eastAsia="Times New Roman" w:hAnsi="Times New Roman"/>
          <w:sz w:val="15"/>
          <w:szCs w:val="15"/>
          <w:color w:val="auto"/>
        </w:rPr>
      </w:pPr>
    </w:p>
    <w:p>
      <w:pPr>
        <w:ind w:left="980" w:right="999" w:firstLine="8"/>
        <w:spacing w:after="0" w:line="280" w:lineRule="auto"/>
        <w:tabs>
          <w:tab w:leader="none" w:pos="1193"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82" w:lineRule="exact"/>
        <w:rPr>
          <w:rFonts w:ascii="Times New Roman" w:cs="Times New Roman" w:eastAsia="Times New Roman" w:hAnsi="Times New Roman"/>
          <w:sz w:val="15"/>
          <w:szCs w:val="15"/>
          <w:color w:val="auto"/>
        </w:rPr>
      </w:pPr>
    </w:p>
    <w:p>
      <w:pPr>
        <w:ind w:left="1200" w:hanging="212"/>
        <w:spacing w:after="0"/>
        <w:tabs>
          <w:tab w:leader="none" w:pos="12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of 1933 to any purchaser:</w:t>
      </w:r>
    </w:p>
    <w:p>
      <w:pPr>
        <w:spacing w:after="0" w:line="97" w:lineRule="exact"/>
        <w:rPr>
          <w:rFonts w:ascii="Times New Roman" w:cs="Times New Roman" w:eastAsia="Times New Roman" w:hAnsi="Times New Roman"/>
          <w:sz w:val="15"/>
          <w:szCs w:val="15"/>
          <w:color w:val="auto"/>
        </w:rPr>
      </w:pPr>
    </w:p>
    <w:p>
      <w:pPr>
        <w:jc w:val="both"/>
        <w:ind w:left="980" w:right="1579" w:firstLine="309"/>
        <w:spacing w:after="0" w:line="265" w:lineRule="auto"/>
        <w:tabs>
          <w:tab w:leader="none" w:pos="1460"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9" w:lineRule="exact"/>
        <w:rPr>
          <w:rFonts w:ascii="Times New Roman" w:cs="Times New Roman" w:eastAsia="Times New Roman" w:hAnsi="Times New Roman"/>
          <w:sz w:val="15"/>
          <w:szCs w:val="15"/>
          <w:color w:val="auto"/>
        </w:rPr>
      </w:pPr>
    </w:p>
    <w:p>
      <w:pPr>
        <w:ind w:left="980" w:right="1079" w:firstLine="309"/>
        <w:spacing w:after="0" w:line="253" w:lineRule="auto"/>
        <w:tabs>
          <w:tab w:leader="none" w:pos="1501"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107315</wp:posOffset>
            </wp:positionV>
            <wp:extent cx="583819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70" w:name="page71"/>
    <w:bookmarkEnd w:id="70"/>
    <w:p>
      <w:pPr>
        <w:ind w:left="9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6" w:lineRule="exact"/>
        <w:rPr>
          <w:sz w:val="20"/>
          <w:szCs w:val="20"/>
          <w:color w:val="auto"/>
        </w:rPr>
      </w:pPr>
    </w:p>
    <w:p>
      <w:pPr>
        <w:ind w:left="980" w:right="1039" w:firstLine="8"/>
        <w:spacing w:after="0" w:line="256" w:lineRule="auto"/>
        <w:tabs>
          <w:tab w:leader="none" w:pos="1193"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7" w:lineRule="exact"/>
        <w:rPr>
          <w:rFonts w:ascii="Times New Roman" w:cs="Times New Roman" w:eastAsia="Times New Roman" w:hAnsi="Times New Roman"/>
          <w:sz w:val="15"/>
          <w:szCs w:val="15"/>
          <w:color w:val="auto"/>
        </w:rPr>
      </w:pPr>
    </w:p>
    <w:p>
      <w:pPr>
        <w:ind w:left="980" w:right="1019" w:firstLine="309"/>
        <w:spacing w:after="0" w:line="280" w:lineRule="auto"/>
        <w:tabs>
          <w:tab w:leader="none" w:pos="1460"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w:t>
      </w:r>
    </w:p>
    <w:p>
      <w:pPr>
        <w:spacing w:after="0" w:line="48" w:lineRule="exact"/>
        <w:rPr>
          <w:rFonts w:ascii="Times New Roman" w:cs="Times New Roman" w:eastAsia="Times New Roman" w:hAnsi="Times New Roman"/>
          <w:sz w:val="15"/>
          <w:szCs w:val="15"/>
          <w:color w:val="auto"/>
        </w:rPr>
      </w:pPr>
    </w:p>
    <w:p>
      <w:pPr>
        <w:ind w:left="980" w:right="999" w:firstLine="309"/>
        <w:spacing w:after="0" w:line="280" w:lineRule="auto"/>
        <w:tabs>
          <w:tab w:leader="none" w:pos="1501"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 writing prospectus relating to the offering prepared by or on behalf of the undersigned registrant or used or referred to by the undersigned registrant;</w:t>
      </w:r>
    </w:p>
    <w:p>
      <w:pPr>
        <w:spacing w:after="0" w:line="48" w:lineRule="exact"/>
        <w:rPr>
          <w:rFonts w:ascii="Times New Roman" w:cs="Times New Roman" w:eastAsia="Times New Roman" w:hAnsi="Times New Roman"/>
          <w:sz w:val="15"/>
          <w:szCs w:val="15"/>
          <w:color w:val="auto"/>
        </w:rPr>
      </w:pPr>
    </w:p>
    <w:p>
      <w:pPr>
        <w:ind w:left="980" w:right="1239" w:firstLine="309"/>
        <w:spacing w:after="0" w:line="280" w:lineRule="auto"/>
        <w:tabs>
          <w:tab w:leader="none" w:pos="1543"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48" w:lineRule="exact"/>
        <w:rPr>
          <w:rFonts w:ascii="Times New Roman" w:cs="Times New Roman" w:eastAsia="Times New Roman" w:hAnsi="Times New Roman"/>
          <w:sz w:val="15"/>
          <w:szCs w:val="15"/>
          <w:color w:val="auto"/>
        </w:rPr>
      </w:pPr>
    </w:p>
    <w:p>
      <w:pPr>
        <w:ind w:left="980" w:right="1579" w:firstLine="309"/>
        <w:spacing w:after="0" w:line="280" w:lineRule="auto"/>
        <w:tabs>
          <w:tab w:leader="none" w:pos="1535"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48" w:lineRule="exact"/>
        <w:rPr>
          <w:rFonts w:ascii="Times New Roman" w:cs="Times New Roman" w:eastAsia="Times New Roman" w:hAnsi="Times New Roman"/>
          <w:sz w:val="15"/>
          <w:szCs w:val="15"/>
          <w:color w:val="auto"/>
        </w:rPr>
      </w:pPr>
    </w:p>
    <w:p>
      <w:pPr>
        <w:ind w:left="980" w:right="1019" w:firstLine="8"/>
        <w:spacing w:after="0" w:line="256" w:lineRule="auto"/>
        <w:tabs>
          <w:tab w:leader="none" w:pos="1193"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67" w:lineRule="exact"/>
        <w:rPr>
          <w:rFonts w:ascii="Times New Roman" w:cs="Times New Roman" w:eastAsia="Times New Roman" w:hAnsi="Times New Roman"/>
          <w:sz w:val="15"/>
          <w:szCs w:val="15"/>
          <w:color w:val="auto"/>
        </w:rPr>
      </w:pPr>
    </w:p>
    <w:p>
      <w:pPr>
        <w:ind w:left="980" w:right="999" w:firstLine="8"/>
        <w:spacing w:after="0" w:line="254" w:lineRule="auto"/>
        <w:tabs>
          <w:tab w:leader="none" w:pos="1193"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67" w:lineRule="exact"/>
        <w:rPr>
          <w:rFonts w:ascii="Times New Roman" w:cs="Times New Roman" w:eastAsia="Times New Roman" w:hAnsi="Times New Roman"/>
          <w:sz w:val="15"/>
          <w:szCs w:val="15"/>
          <w:color w:val="auto"/>
        </w:rPr>
      </w:pPr>
    </w:p>
    <w:p>
      <w:pPr>
        <w:ind w:left="1200" w:hanging="212"/>
        <w:spacing w:after="0"/>
        <w:tabs>
          <w:tab w:leader="none" w:pos="12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purposes of determining any liability under the Securities Act of 1933, the information omitted from</w:t>
      </w:r>
    </w:p>
    <w:p>
      <w:pPr>
        <w:spacing w:after="0" w:line="21" w:lineRule="exact"/>
        <w:rPr>
          <w:rFonts w:ascii="Times New Roman" w:cs="Times New Roman" w:eastAsia="Times New Roman" w:hAnsi="Times New Roman"/>
          <w:sz w:val="15"/>
          <w:szCs w:val="15"/>
          <w:color w:val="auto"/>
        </w:rPr>
      </w:pPr>
    </w:p>
    <w:p>
      <w:pPr>
        <w:ind w:left="980" w:right="1019"/>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65" w:lineRule="exact"/>
        <w:rPr>
          <w:rFonts w:ascii="Times New Roman" w:cs="Times New Roman" w:eastAsia="Times New Roman" w:hAnsi="Times New Roman"/>
          <w:sz w:val="15"/>
          <w:szCs w:val="15"/>
          <w:color w:val="auto"/>
        </w:rPr>
      </w:pPr>
    </w:p>
    <w:p>
      <w:pPr>
        <w:ind w:left="980" w:right="1159" w:firstLine="8"/>
        <w:spacing w:after="0" w:line="260" w:lineRule="auto"/>
        <w:tabs>
          <w:tab w:leader="none" w:pos="1193"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 and</w:t>
      </w:r>
    </w:p>
    <w:p>
      <w:pPr>
        <w:spacing w:after="0" w:line="63" w:lineRule="exact"/>
        <w:rPr>
          <w:rFonts w:ascii="Times New Roman" w:cs="Times New Roman" w:eastAsia="Times New Roman" w:hAnsi="Times New Roman"/>
          <w:sz w:val="15"/>
          <w:szCs w:val="15"/>
          <w:color w:val="auto"/>
        </w:rPr>
      </w:pPr>
    </w:p>
    <w:p>
      <w:pPr>
        <w:ind w:left="980" w:right="1139" w:firstLine="8"/>
        <w:spacing w:after="0" w:line="265" w:lineRule="auto"/>
        <w:tabs>
          <w:tab w:leader="none" w:pos="1268"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583819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5838190" cy="1460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71" w:name="page72"/>
    <w:bookmarkEnd w:id="71"/>
    <w:p>
      <w:pPr>
        <w:ind w:left="108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02" w:lineRule="exact"/>
        <w:rPr>
          <w:sz w:val="20"/>
          <w:szCs w:val="20"/>
          <w:color w:val="auto"/>
        </w:rPr>
      </w:pPr>
    </w:p>
    <w:p>
      <w:pPr>
        <w:ind w:left="1080" w:right="1160"/>
        <w:spacing w:after="0" w:line="260"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the 8th day of November, 2022.</w:t>
      </w:r>
    </w:p>
    <w:p>
      <w:pPr>
        <w:spacing w:after="0" w:line="1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5"/>
          <w:szCs w:val="15"/>
          <w:b w:val="1"/>
          <w:bCs w:val="1"/>
          <w:color w:val="auto"/>
        </w:rPr>
        <w:t>AVROBIO, INC.</w:t>
      </w:r>
    </w:p>
    <w:p>
      <w:pPr>
        <w:spacing w:after="0" w:line="372" w:lineRule="exact"/>
        <w:rPr>
          <w:sz w:val="20"/>
          <w:szCs w:val="20"/>
          <w:color w:val="auto"/>
        </w:rPr>
      </w:pPr>
    </w:p>
    <w:p>
      <w:pPr>
        <w:ind w:left="4840"/>
        <w:spacing w:after="0"/>
        <w:tabs>
          <w:tab w:leader="none" w:pos="5200" w:val="left"/>
        </w:tabs>
        <w:rPr>
          <w:sz w:val="20"/>
          <w:szCs w:val="20"/>
          <w:color w:val="auto"/>
        </w:rPr>
      </w:pPr>
      <w:r>
        <w:rPr>
          <w:rFonts w:ascii="Times New Roman" w:cs="Times New Roman" w:eastAsia="Times New Roman" w:hAnsi="Times New Roman"/>
          <w:sz w:val="15"/>
          <w:szCs w:val="15"/>
          <w:color w:val="auto"/>
        </w:rPr>
        <w:t>By:</w:t>
        <w:tab/>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50165</wp:posOffset>
            </wp:positionV>
            <wp:extent cx="18389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1838960" cy="6985"/>
                    </a:xfrm>
                    <a:prstGeom prst="rect">
                      <a:avLst/>
                    </a:prstGeom>
                    <a:noFill/>
                  </pic:spPr>
                </pic:pic>
              </a:graphicData>
            </a:graphic>
          </wp:anchor>
        </w:drawing>
      </w:r>
    </w:p>
    <w:p>
      <w:pPr>
        <w:spacing w:after="0" w:line="1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Geoff MacKay</w:t>
      </w:r>
    </w:p>
    <w:p>
      <w:pPr>
        <w:spacing w:after="0" w:line="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i w:val="1"/>
          <w:iCs w:val="1"/>
          <w:color w:val="auto"/>
        </w:rPr>
        <w:t>President, Chief Executive Officer and</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p>
      <w:pPr>
        <w:spacing w:after="0" w:line="129" w:lineRule="exact"/>
        <w:rPr>
          <w:sz w:val="20"/>
          <w:szCs w:val="20"/>
          <w:color w:val="auto"/>
        </w:rPr>
      </w:pPr>
    </w:p>
    <w:p>
      <w:pPr>
        <w:ind w:left="1080" w:right="1100"/>
        <w:spacing w:after="0" w:line="253" w:lineRule="auto"/>
        <w:rPr>
          <w:sz w:val="20"/>
          <w:szCs w:val="20"/>
          <w:color w:val="auto"/>
        </w:rPr>
      </w:pPr>
      <w:r>
        <w:rPr>
          <w:rFonts w:ascii="Times New Roman" w:cs="Times New Roman" w:eastAsia="Times New Roman" w:hAnsi="Times New Roman"/>
          <w:sz w:val="15"/>
          <w:szCs w:val="15"/>
          <w:color w:val="auto"/>
        </w:rPr>
        <w:t>KNOW ALL BY THESE PRESENTS, that each person whose signature appears below hereby severally constitutes and appoints each of Geoff MacKay and Erik Ostrowski and each of them singly, as such person’s true and lawful attorneys-in-fact and agents,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73" w:lineRule="exact"/>
        <w:rPr>
          <w:sz w:val="20"/>
          <w:szCs w:val="20"/>
          <w:color w:val="auto"/>
        </w:rPr>
      </w:pPr>
    </w:p>
    <w:p>
      <w:pPr>
        <w:ind w:left="1080" w:right="1600"/>
        <w:spacing w:after="0" w:line="280"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this registration statement has been signed by the following persons in the capacities and on the dates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8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NAME</w:t>
            </w:r>
          </w:p>
        </w:tc>
        <w:tc>
          <w:tcPr>
            <w:tcW w:w="160" w:type="dxa"/>
            <w:vAlign w:val="bottom"/>
          </w:tcPr>
          <w:p>
            <w:pPr>
              <w:spacing w:after="0"/>
              <w:rPr>
                <w:sz w:val="13"/>
                <w:szCs w:val="13"/>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TITLE</w:t>
            </w:r>
          </w:p>
        </w:tc>
        <w:tc>
          <w:tcPr>
            <w:tcW w:w="3080" w:type="dxa"/>
            <w:vAlign w:val="bottom"/>
            <w:gridSpan w:val="2"/>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5"/>
              </w:rPr>
              <w:t>DATE</w:t>
            </w:r>
          </w:p>
        </w:tc>
        <w:tc>
          <w:tcPr>
            <w:tcW w:w="0" w:type="dxa"/>
            <w:vAlign w:val="bottom"/>
          </w:tcPr>
          <w:p>
            <w:pPr>
              <w:spacing w:after="0"/>
              <w:rPr>
                <w:sz w:val="1"/>
                <w:szCs w:val="1"/>
                <w:color w:val="auto"/>
              </w:rPr>
            </w:pPr>
          </w:p>
        </w:tc>
      </w:tr>
      <w:tr>
        <w:trPr>
          <w:trHeight w:val="43"/>
        </w:trPr>
        <w:tc>
          <w:tcPr>
            <w:tcW w:w="108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 Geoff MacKay</w:t>
            </w:r>
          </w:p>
        </w:tc>
        <w:tc>
          <w:tcPr>
            <w:tcW w:w="160" w:type="dxa"/>
            <w:vAlign w:val="bottom"/>
          </w:tcPr>
          <w:p>
            <w:pPr>
              <w:spacing w:after="0"/>
              <w:rPr>
                <w:sz w:val="18"/>
                <w:szCs w:val="18"/>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w w:val="98"/>
              </w:rPr>
              <w:t>Director, President, Chief Executive Officer,</w:t>
            </w:r>
          </w:p>
        </w:tc>
        <w:tc>
          <w:tcPr>
            <w:tcW w:w="3080" w:type="dxa"/>
            <w:vAlign w:val="bottom"/>
            <w:gridSpan w:val="2"/>
          </w:tcPr>
          <w:p>
            <w:pPr>
              <w:jc w:val="center"/>
              <w:ind w:right="1080"/>
              <w:spacing w:after="0"/>
              <w:rPr>
                <w:sz w:val="20"/>
                <w:szCs w:val="20"/>
                <w:color w:val="auto"/>
              </w:rPr>
            </w:pPr>
            <w:r>
              <w:rPr>
                <w:rFonts w:ascii="Times New Roman" w:cs="Times New Roman" w:eastAsia="Times New Roman" w:hAnsi="Times New Roman"/>
                <w:sz w:val="15"/>
                <w:szCs w:val="15"/>
                <w:color w:val="auto"/>
                <w:w w:val="99"/>
              </w:rPr>
              <w:t>November 8, 2022</w:t>
            </w:r>
          </w:p>
        </w:tc>
        <w:tc>
          <w:tcPr>
            <w:tcW w:w="0" w:type="dxa"/>
            <w:vAlign w:val="bottom"/>
          </w:tcPr>
          <w:p>
            <w:pPr>
              <w:spacing w:after="0"/>
              <w:rPr>
                <w:sz w:val="1"/>
                <w:szCs w:val="1"/>
                <w:color w:val="auto"/>
              </w:rPr>
            </w:pPr>
          </w:p>
        </w:tc>
      </w:tr>
      <w:tr>
        <w:trPr>
          <w:trHeight w:val="73"/>
        </w:trPr>
        <w:tc>
          <w:tcPr>
            <w:tcW w:w="1080" w:type="dxa"/>
            <w:vAlign w:val="bottom"/>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60" w:type="dxa"/>
            <w:vAlign w:val="bottom"/>
            <w:vMerge w:val="restart"/>
          </w:tcPr>
          <w:p>
            <w:pPr>
              <w:spacing w:after="0"/>
              <w:rPr>
                <w:sz w:val="6"/>
                <w:szCs w:val="6"/>
                <w:color w:val="auto"/>
              </w:rPr>
            </w:pPr>
          </w:p>
        </w:tc>
        <w:tc>
          <w:tcPr>
            <w:tcW w:w="2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rPr>
              <w:t>and Principal Executive Officer</w:t>
            </w:r>
          </w:p>
        </w:tc>
        <w:tc>
          <w:tcPr>
            <w:tcW w:w="2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080" w:type="dxa"/>
            <w:vAlign w:val="bottom"/>
          </w:tcPr>
          <w:p>
            <w:pPr>
              <w:spacing w:after="0"/>
              <w:rPr>
                <w:sz w:val="8"/>
                <w:szCs w:val="8"/>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Geoff MacKay</w:t>
            </w:r>
          </w:p>
        </w:tc>
        <w:tc>
          <w:tcPr>
            <w:tcW w:w="160" w:type="dxa"/>
            <w:vAlign w:val="bottom"/>
            <w:vMerge w:val="continue"/>
          </w:tcPr>
          <w:p>
            <w:pPr>
              <w:spacing w:after="0"/>
              <w:rPr>
                <w:sz w:val="8"/>
                <w:szCs w:val="8"/>
                <w:color w:val="auto"/>
              </w:rPr>
            </w:pPr>
          </w:p>
        </w:tc>
        <w:tc>
          <w:tcPr>
            <w:tcW w:w="288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8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5"/>
        </w:trPr>
        <w:tc>
          <w:tcPr>
            <w:tcW w:w="10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Erik Ostrowski</w:t>
            </w:r>
          </w:p>
        </w:tc>
        <w:tc>
          <w:tcPr>
            <w:tcW w:w="160" w:type="dxa"/>
            <w:vAlign w:val="bottom"/>
          </w:tcPr>
          <w:p>
            <w:pPr>
              <w:spacing w:after="0"/>
              <w:rPr>
                <w:sz w:val="24"/>
                <w:szCs w:val="24"/>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rPr>
              <w:t>Chief Financial Officer and Principal</w:t>
            </w:r>
          </w:p>
        </w:tc>
        <w:tc>
          <w:tcPr>
            <w:tcW w:w="3080" w:type="dxa"/>
            <w:vAlign w:val="bottom"/>
            <w:gridSpan w:val="2"/>
          </w:tcPr>
          <w:p>
            <w:pPr>
              <w:jc w:val="center"/>
              <w:ind w:right="1080"/>
              <w:spacing w:after="0"/>
              <w:rPr>
                <w:sz w:val="20"/>
                <w:szCs w:val="20"/>
                <w:color w:val="auto"/>
              </w:rPr>
            </w:pPr>
            <w:r>
              <w:rPr>
                <w:rFonts w:ascii="Times New Roman" w:cs="Times New Roman" w:eastAsia="Times New Roman" w:hAnsi="Times New Roman"/>
                <w:sz w:val="15"/>
                <w:szCs w:val="15"/>
                <w:color w:val="auto"/>
                <w:w w:val="99"/>
              </w:rPr>
              <w:t>November 8, 2022</w:t>
            </w:r>
          </w:p>
        </w:tc>
        <w:tc>
          <w:tcPr>
            <w:tcW w:w="0" w:type="dxa"/>
            <w:vAlign w:val="bottom"/>
          </w:tcPr>
          <w:p>
            <w:pPr>
              <w:spacing w:after="0"/>
              <w:rPr>
                <w:sz w:val="1"/>
                <w:szCs w:val="1"/>
                <w:color w:val="auto"/>
              </w:rPr>
            </w:pPr>
          </w:p>
        </w:tc>
      </w:tr>
      <w:tr>
        <w:trPr>
          <w:trHeight w:val="73"/>
        </w:trPr>
        <w:tc>
          <w:tcPr>
            <w:tcW w:w="1080" w:type="dxa"/>
            <w:vAlign w:val="bottom"/>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60" w:type="dxa"/>
            <w:vAlign w:val="bottom"/>
            <w:vMerge w:val="restart"/>
          </w:tcPr>
          <w:p>
            <w:pPr>
              <w:spacing w:after="0"/>
              <w:rPr>
                <w:sz w:val="6"/>
                <w:szCs w:val="6"/>
                <w:color w:val="auto"/>
              </w:rPr>
            </w:pPr>
          </w:p>
        </w:tc>
        <w:tc>
          <w:tcPr>
            <w:tcW w:w="2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rPr>
              <w:t>Financial and Accounting Officer</w:t>
            </w:r>
          </w:p>
        </w:tc>
        <w:tc>
          <w:tcPr>
            <w:tcW w:w="2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080" w:type="dxa"/>
            <w:vAlign w:val="bottom"/>
          </w:tcPr>
          <w:p>
            <w:pPr>
              <w:spacing w:after="0"/>
              <w:rPr>
                <w:sz w:val="8"/>
                <w:szCs w:val="8"/>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Erik Ostrowski</w:t>
            </w:r>
          </w:p>
        </w:tc>
        <w:tc>
          <w:tcPr>
            <w:tcW w:w="160" w:type="dxa"/>
            <w:vAlign w:val="bottom"/>
            <w:vMerge w:val="continue"/>
          </w:tcPr>
          <w:p>
            <w:pPr>
              <w:spacing w:after="0"/>
              <w:rPr>
                <w:sz w:val="8"/>
                <w:szCs w:val="8"/>
                <w:color w:val="auto"/>
              </w:rPr>
            </w:pPr>
          </w:p>
        </w:tc>
        <w:tc>
          <w:tcPr>
            <w:tcW w:w="288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8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1"/>
        </w:trPr>
        <w:tc>
          <w:tcPr>
            <w:tcW w:w="10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 Bruce Booth</w:t>
            </w:r>
          </w:p>
        </w:tc>
        <w:tc>
          <w:tcPr>
            <w:tcW w:w="160" w:type="dxa"/>
            <w:vAlign w:val="bottom"/>
          </w:tcPr>
          <w:p>
            <w:pPr>
              <w:spacing w:after="0"/>
              <w:rPr>
                <w:sz w:val="24"/>
                <w:szCs w:val="24"/>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w w:val="99"/>
              </w:rPr>
              <w:t>Chairman of the Board of Directors</w:t>
            </w:r>
          </w:p>
        </w:tc>
        <w:tc>
          <w:tcPr>
            <w:tcW w:w="3080" w:type="dxa"/>
            <w:vAlign w:val="bottom"/>
            <w:gridSpan w:val="2"/>
          </w:tcPr>
          <w:p>
            <w:pPr>
              <w:jc w:val="center"/>
              <w:ind w:right="1080"/>
              <w:spacing w:after="0"/>
              <w:rPr>
                <w:sz w:val="20"/>
                <w:szCs w:val="20"/>
                <w:color w:val="auto"/>
              </w:rPr>
            </w:pPr>
            <w:r>
              <w:rPr>
                <w:rFonts w:ascii="Times New Roman" w:cs="Times New Roman" w:eastAsia="Times New Roman" w:hAnsi="Times New Roman"/>
                <w:sz w:val="15"/>
                <w:szCs w:val="15"/>
                <w:color w:val="auto"/>
                <w:w w:val="99"/>
              </w:rPr>
              <w:t>November 8, 2022</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Bruce Booth, D.Phil.</w:t>
            </w: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1"/>
        </w:trPr>
        <w:tc>
          <w:tcPr>
            <w:tcW w:w="10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 Ian T. Clark</w:t>
            </w:r>
          </w:p>
        </w:tc>
        <w:tc>
          <w:tcPr>
            <w:tcW w:w="160" w:type="dxa"/>
            <w:vAlign w:val="bottom"/>
          </w:tcPr>
          <w:p>
            <w:pPr>
              <w:spacing w:after="0"/>
              <w:rPr>
                <w:sz w:val="24"/>
                <w:szCs w:val="24"/>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rPr>
              <w:t>Director</w:t>
            </w:r>
          </w:p>
        </w:tc>
        <w:tc>
          <w:tcPr>
            <w:tcW w:w="3080" w:type="dxa"/>
            <w:vAlign w:val="bottom"/>
            <w:gridSpan w:val="2"/>
          </w:tcPr>
          <w:p>
            <w:pPr>
              <w:jc w:val="center"/>
              <w:ind w:right="1080"/>
              <w:spacing w:after="0"/>
              <w:rPr>
                <w:sz w:val="20"/>
                <w:szCs w:val="20"/>
                <w:color w:val="auto"/>
              </w:rPr>
            </w:pPr>
            <w:r>
              <w:rPr>
                <w:rFonts w:ascii="Times New Roman" w:cs="Times New Roman" w:eastAsia="Times New Roman" w:hAnsi="Times New Roman"/>
                <w:sz w:val="15"/>
                <w:szCs w:val="15"/>
                <w:color w:val="auto"/>
                <w:w w:val="99"/>
              </w:rPr>
              <w:t>November 8, 2022</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Ian T. Clark</w:t>
            </w: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1"/>
        </w:trPr>
        <w:tc>
          <w:tcPr>
            <w:tcW w:w="10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Phillip B. Donenberg</w:t>
            </w:r>
          </w:p>
        </w:tc>
        <w:tc>
          <w:tcPr>
            <w:tcW w:w="160" w:type="dxa"/>
            <w:vAlign w:val="bottom"/>
          </w:tcPr>
          <w:p>
            <w:pPr>
              <w:spacing w:after="0"/>
              <w:rPr>
                <w:sz w:val="24"/>
                <w:szCs w:val="24"/>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rPr>
              <w:t>Director</w:t>
            </w:r>
          </w:p>
        </w:tc>
        <w:tc>
          <w:tcPr>
            <w:tcW w:w="3080" w:type="dxa"/>
            <w:vAlign w:val="bottom"/>
            <w:gridSpan w:val="2"/>
          </w:tcPr>
          <w:p>
            <w:pPr>
              <w:jc w:val="center"/>
              <w:ind w:right="1080"/>
              <w:spacing w:after="0"/>
              <w:rPr>
                <w:sz w:val="20"/>
                <w:szCs w:val="20"/>
                <w:color w:val="auto"/>
              </w:rPr>
            </w:pPr>
            <w:r>
              <w:rPr>
                <w:rFonts w:ascii="Times New Roman" w:cs="Times New Roman" w:eastAsia="Times New Roman" w:hAnsi="Times New Roman"/>
                <w:sz w:val="15"/>
                <w:szCs w:val="15"/>
                <w:color w:val="auto"/>
                <w:w w:val="99"/>
              </w:rPr>
              <w:t>November 8, 2022</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Phillip B. Donenberg</w:t>
            </w: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1"/>
        </w:trPr>
        <w:tc>
          <w:tcPr>
            <w:tcW w:w="10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 Gail M. Farfel</w:t>
            </w:r>
          </w:p>
        </w:tc>
        <w:tc>
          <w:tcPr>
            <w:tcW w:w="160" w:type="dxa"/>
            <w:vAlign w:val="bottom"/>
          </w:tcPr>
          <w:p>
            <w:pPr>
              <w:spacing w:after="0"/>
              <w:rPr>
                <w:sz w:val="24"/>
                <w:szCs w:val="24"/>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rPr>
              <w:t>Director</w:t>
            </w:r>
          </w:p>
        </w:tc>
        <w:tc>
          <w:tcPr>
            <w:tcW w:w="3080" w:type="dxa"/>
            <w:vAlign w:val="bottom"/>
            <w:gridSpan w:val="2"/>
          </w:tcPr>
          <w:p>
            <w:pPr>
              <w:jc w:val="center"/>
              <w:ind w:right="1080"/>
              <w:spacing w:after="0"/>
              <w:rPr>
                <w:sz w:val="20"/>
                <w:szCs w:val="20"/>
                <w:color w:val="auto"/>
              </w:rPr>
            </w:pPr>
            <w:r>
              <w:rPr>
                <w:rFonts w:ascii="Times New Roman" w:cs="Times New Roman" w:eastAsia="Times New Roman" w:hAnsi="Times New Roman"/>
                <w:sz w:val="15"/>
                <w:szCs w:val="15"/>
                <w:color w:val="auto"/>
                <w:w w:val="99"/>
              </w:rPr>
              <w:t>November 8, 2022</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Gail M. Farfel, Ph.D.</w:t>
            </w: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1"/>
        </w:trPr>
        <w:tc>
          <w:tcPr>
            <w:tcW w:w="10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 Annalisa Jenkins</w:t>
            </w:r>
          </w:p>
        </w:tc>
        <w:tc>
          <w:tcPr>
            <w:tcW w:w="160" w:type="dxa"/>
            <w:vAlign w:val="bottom"/>
          </w:tcPr>
          <w:p>
            <w:pPr>
              <w:spacing w:after="0"/>
              <w:rPr>
                <w:sz w:val="24"/>
                <w:szCs w:val="24"/>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rPr>
              <w:t>Director</w:t>
            </w:r>
          </w:p>
        </w:tc>
        <w:tc>
          <w:tcPr>
            <w:tcW w:w="3080" w:type="dxa"/>
            <w:vAlign w:val="bottom"/>
            <w:gridSpan w:val="2"/>
          </w:tcPr>
          <w:p>
            <w:pPr>
              <w:jc w:val="center"/>
              <w:ind w:right="1080"/>
              <w:spacing w:after="0"/>
              <w:rPr>
                <w:sz w:val="20"/>
                <w:szCs w:val="20"/>
                <w:color w:val="auto"/>
              </w:rPr>
            </w:pPr>
            <w:r>
              <w:rPr>
                <w:rFonts w:ascii="Times New Roman" w:cs="Times New Roman" w:eastAsia="Times New Roman" w:hAnsi="Times New Roman"/>
                <w:sz w:val="15"/>
                <w:szCs w:val="15"/>
                <w:color w:val="auto"/>
                <w:w w:val="99"/>
              </w:rPr>
              <w:t>November 8, 2022</w:t>
            </w: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Annalisa Jenkins, M.B.B.S.,</w:t>
            </w: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F.R.C.P</w:t>
            </w:r>
          </w:p>
        </w:tc>
        <w:tc>
          <w:tcPr>
            <w:tcW w:w="1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6"/>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7"/>
              </w:rPr>
              <w:t>II-6</w:t>
            </w: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0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200"/>
          </w:cols>
          <w:pgMar w:left="1340" w:top="242" w:right="1359" w:bottom="1440" w:gutter="0" w:footer="0" w:header="0"/>
        </w:sectPr>
      </w:pPr>
    </w:p>
    <w:bookmarkStart w:id="72" w:name="page73"/>
    <w:bookmarkEnd w:id="72"/>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38"/>
        </w:trPr>
        <w:tc>
          <w:tcPr>
            <w:tcW w:w="1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b w:val="1"/>
                <w:bCs w:val="1"/>
                <w:color w:val="0000EE"/>
                <w:w w:val="98"/>
              </w:rPr>
              <w:t>TABLE OF CONTENTS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331"/>
        </w:trPr>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NAME</w:t>
            </w:r>
          </w:p>
        </w:tc>
        <w:tc>
          <w:tcPr>
            <w:tcW w:w="160" w:type="dxa"/>
            <w:vAlign w:val="bottom"/>
          </w:tcPr>
          <w:p>
            <w:pPr>
              <w:spacing w:after="0"/>
              <w:rPr>
                <w:sz w:val="24"/>
                <w:szCs w:val="24"/>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TITLE</w:t>
            </w:r>
          </w:p>
        </w:tc>
        <w:tc>
          <w:tcPr>
            <w:tcW w:w="2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DATE</w:t>
            </w:r>
          </w:p>
        </w:tc>
      </w:tr>
      <w:tr>
        <w:trPr>
          <w:trHeight w:val="43"/>
        </w:trPr>
        <w:tc>
          <w:tcPr>
            <w:tcW w:w="1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7"/>
        </w:trPr>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/s/ Christopher Paige</w:t>
            </w:r>
          </w:p>
        </w:tc>
        <w:tc>
          <w:tcPr>
            <w:tcW w:w="160" w:type="dxa"/>
            <w:vAlign w:val="bottom"/>
          </w:tcPr>
          <w:p>
            <w:pPr>
              <w:spacing w:after="0"/>
              <w:rPr>
                <w:sz w:val="19"/>
                <w:szCs w:val="19"/>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November 8, 2022</w:t>
            </w:r>
          </w:p>
        </w:tc>
      </w:tr>
      <w:tr>
        <w:trPr>
          <w:trHeight w:val="57"/>
        </w:trPr>
        <w:tc>
          <w:tcPr>
            <w:tcW w:w="1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27"/>
        </w:trPr>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Christopher Paige, Ph.D.</w:t>
            </w: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41"/>
        </w:trPr>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8"/>
              </w:rPr>
              <w:t>/s/ Philip J. Vickers</w:t>
            </w:r>
          </w:p>
        </w:tc>
        <w:tc>
          <w:tcPr>
            <w:tcW w:w="160" w:type="dxa"/>
            <w:vAlign w:val="bottom"/>
          </w:tcPr>
          <w:p>
            <w:pPr>
              <w:spacing w:after="0"/>
              <w:rPr>
                <w:sz w:val="24"/>
                <w:szCs w:val="24"/>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November 8, 2022</w:t>
            </w:r>
          </w:p>
        </w:tc>
      </w:tr>
      <w:tr>
        <w:trPr>
          <w:trHeight w:val="57"/>
        </w:trPr>
        <w:tc>
          <w:tcPr>
            <w:tcW w:w="1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227"/>
        </w:trPr>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Philip J. Vickers, Ph.D.</w:t>
            </w: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06"/>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7"/>
              </w:rPr>
              <w:t>II-7</w:t>
            </w:r>
          </w:p>
        </w:tc>
        <w:tc>
          <w:tcPr>
            <w:tcW w:w="2000" w:type="dxa"/>
            <w:vAlign w:val="bottom"/>
          </w:tcPr>
          <w:p>
            <w:pPr>
              <w:spacing w:after="0"/>
              <w:rPr>
                <w:sz w:val="24"/>
                <w:szCs w:val="24"/>
                <w:color w:val="auto"/>
              </w:rPr>
            </w:pPr>
          </w:p>
        </w:tc>
      </w:tr>
    </w:tbl>
    <w:p>
      <w:pPr>
        <w:sectPr>
          <w:pgSz w:w="11900" w:h="16838" w:orient="portrait"/>
          <w:cols w:equalWidth="0" w:num="1">
            <w:col w:w="9019"/>
          </w:cols>
          <w:pgMar w:left="1440" w:top="238" w:right="1440" w:bottom="1440" w:gutter="0" w:footer="0" w:header="0"/>
        </w:sectPr>
      </w:pPr>
    </w:p>
    <w:bookmarkStart w:id="73" w:name="page74"/>
    <w:bookmarkEnd w:id="73"/>
    <w:p>
      <w:pPr>
        <w:ind w:left="10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1.2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8,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599 Lexington Avenue</w:t>
      </w: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AVROBIO, 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Cowen and Company, LLC (“</w:t>
      </w:r>
      <w:r>
        <w:rPr>
          <w:rFonts w:ascii="Times New Roman" w:cs="Times New Roman" w:eastAsia="Times New Roman" w:hAnsi="Times New Roman"/>
          <w:sz w:val="18"/>
          <w:szCs w:val="18"/>
          <w:b w:val="1"/>
          <w:bCs w:val="1"/>
          <w:u w:val="single" w:color="auto"/>
          <w:color w:val="auto"/>
        </w:rPr>
        <w:t>Cowen</w:t>
      </w:r>
      <w:r>
        <w:rPr>
          <w:rFonts w:ascii="Times New Roman" w:cs="Times New Roman" w:eastAsia="Times New Roman" w:hAnsi="Times New Roman"/>
          <w:sz w:val="18"/>
          <w:szCs w:val="18"/>
          <w:color w:val="auto"/>
        </w:rPr>
        <w:t>”), as follows:</w:t>
      </w:r>
    </w:p>
    <w:p>
      <w:pPr>
        <w:spacing w:after="0" w:line="203" w:lineRule="exact"/>
        <w:rPr>
          <w:sz w:val="20"/>
          <w:szCs w:val="20"/>
          <w:color w:val="auto"/>
        </w:rPr>
      </w:pPr>
    </w:p>
    <w:p>
      <w:pPr>
        <w:ind w:firstLine="531"/>
        <w:spacing w:after="0" w:line="239" w:lineRule="auto"/>
        <w:tabs>
          <w:tab w:leader="none" w:pos="112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Cowen, acting as agent and/or principal, shares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having an aggregate offering price of up to $50,000,000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number of shares of Common Stock issued and sold under this Agreement shall be the sole responsibility of the Company, and Cowen shall have no obligation in connection with such compliance. The issuance and sale of Common Stock through Cowen will be effected pursuant to the Registration Statement (as defined below) filed by the Company and after such Registration Statement has been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use the Registration Statement (as defined below) to issue the Common Stock.</w:t>
      </w:r>
    </w:p>
    <w:p>
      <w:pPr>
        <w:spacing w:after="0" w:line="173" w:lineRule="exact"/>
        <w:rPr>
          <w:sz w:val="20"/>
          <w:szCs w:val="20"/>
          <w:color w:val="auto"/>
        </w:rPr>
      </w:pPr>
    </w:p>
    <w:p>
      <w:pPr>
        <w:ind w:right="40" w:firstLine="541"/>
        <w:spacing w:after="0" w:line="236" w:lineRule="auto"/>
        <w:rPr>
          <w:sz w:val="20"/>
          <w:szCs w:val="20"/>
          <w:color w:val="auto"/>
        </w:rPr>
      </w:pPr>
      <w:r>
        <w:rPr>
          <w:rFonts w:ascii="Times New Roman" w:cs="Times New Roman" w:eastAsia="Times New Roman" w:hAnsi="Times New Roman"/>
          <w:sz w:val="18"/>
          <w:szCs w:val="18"/>
          <w:color w:val="auto"/>
        </w:rPr>
        <w:t>The Company shall file,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registration statement on Form S-3, including a base prospectus relating to certain securities, including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has prepared a prospectus specifically relating to the Placement Shares (the “</w:t>
      </w:r>
      <w:r>
        <w:rPr>
          <w:rFonts w:ascii="Times New Roman" w:cs="Times New Roman" w:eastAsia="Times New Roman" w:hAnsi="Times New Roman"/>
          <w:sz w:val="18"/>
          <w:szCs w:val="18"/>
          <w:b w:val="1"/>
          <w:bCs w:val="1"/>
          <w:u w:val="single" w:color="auto"/>
          <w:color w:val="auto"/>
        </w:rPr>
        <w:t>Sales Prospectus</w:t>
      </w:r>
      <w:r>
        <w:rPr>
          <w:rFonts w:ascii="Times New Roman" w:cs="Times New Roman" w:eastAsia="Times New Roman" w:hAnsi="Times New Roman"/>
          <w:sz w:val="18"/>
          <w:szCs w:val="18"/>
          <w:color w:val="auto"/>
        </w:rPr>
        <w:t>”) to the base prospectus included as part of such registration statement, and shall, if necessary, prepare a prospectus supplement specifically relating to the Placement Shares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to the base prospectus included as part of such registration statement. The Company shall furnish to Cowen, for use by Cowen, copies of the Sales Prospectus included as part of such registration statement, as supplemented from time to time by the Prospectus Supplement, if any, relating to the Placement Shares. Except where the context otherwise requires, such registration statement, as amended when it becomes effective,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including all documents incorporated therein by reference, included in the Registration Statement, as it may be supplemented by the Sales Prospectus and the Prospectus Supplement, if any, in the form in which such prospectus, Sales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consented to by Cowen,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via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5518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248" w:right="319" w:bottom="1440" w:gutter="0" w:footer="0" w:header="0"/>
        </w:sectPr>
      </w:pPr>
    </w:p>
    <w:bookmarkStart w:id="74" w:name="page75"/>
    <w:bookmarkEnd w:id="74"/>
    <w:p>
      <w:pPr>
        <w:ind w:left="-531" w:right="20" w:firstLine="531"/>
        <w:spacing w:after="0" w:line="237" w:lineRule="auto"/>
        <w:tabs>
          <w:tab w:leader="none" w:pos="5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the Placement Shares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Cowen by email notice (or other method mutually agreed to in writing by the parties)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The Placement Notice shall originate from any of the individuals from the Company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copy to each of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individuals from the Company listed on such schedule), and shall be addressed to each of the individuals from Cowen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from time to time. The Placement Notice shall be effective upon receipt by Cowen unless and until (i)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Cowen declines to accept the terms contained therein for any reason, in its sole discretion, (ii) the entire amount of the Placement Shares thereunder have been sold, (iii)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Company suspends or terminates the Placement Notice, for any reason, in its sole discretion, (iv) the Company issues a subsequent Placement Notice with parameters superseding those on the earlier dated Placement Notice, or (v) this Agreement has been terminated under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amount of any discount, commission or other compensation to be paid by the Company to Cowen in connection with the sale of the Placement Shares shall be calculated in accordance with the 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is expressly acknowledged and agreed that neither the Company nor Cowen will have any obligation whatsoever with respect to a Placement or any Placement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79" w:lineRule="exact"/>
        <w:rPr>
          <w:rFonts w:ascii="Times New Roman" w:cs="Times New Roman" w:eastAsia="Times New Roman" w:hAnsi="Times New Roman"/>
          <w:sz w:val="18"/>
          <w:szCs w:val="18"/>
          <w:color w:val="auto"/>
        </w:rPr>
      </w:pPr>
    </w:p>
    <w:p>
      <w:pPr>
        <w:ind w:left="-531" w:firstLine="531"/>
        <w:spacing w:after="0" w:line="237" w:lineRule="auto"/>
        <w:tabs>
          <w:tab w:leader="none" w:pos="5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Cowen</w:t>
      </w:r>
      <w:r>
        <w:rPr>
          <w:rFonts w:ascii="Times New Roman" w:cs="Times New Roman" w:eastAsia="Times New Roman" w:hAnsi="Times New Roman"/>
          <w:sz w:val="18"/>
          <w:szCs w:val="18"/>
          <w:color w:val="auto"/>
        </w:rPr>
        <w:t>. Subject to the terms and conditions herein set forth, upon the Company’s delivery of a Placement Notice, and unless the sale of the Placement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Stock Market, LLC (“</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xml:space="preserve">”) to sell such Placement Shares up to the amount specified, and otherwise in accordance with the terms of such Placement Notice. Cowen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Cowen for a sale of Placement Shares that would constitute a “block” within the meaning of Rule 10b-18(a)(5) under the Exchange Act, the Company will provide Cowen, at Cowen’s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each dated the Settlement Date, and such other documents and information as Cowen shall reasonably request. Cowen may sell Placement Shares by any method permitted by law deemed to be an “at the market” offering as defined in Rule 415 of the Securities Act, including without limitation sales made through Nasdaq or on any other existing trading market for the Common Stock. Cowen shall not purchase Placement Shares for its own account as principal unless expressly authorized to do so by the Company in a Placement Notice. The Company acknowledges and agrees that (i) there can be no assurance that Cowen will be successful in selling Placement Shares, and (ii) Cowen will incur no liability or obligation to the Company or any other person or entity if it does not sell Placement Shares for any reason other than a failure by Cowen to use its commercially reasonable efforts consistent with its normal trading and sales practices to sell such Placement Shares as required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Company’s Common Stock is purchased and sold on the principal market on which the Common Stock is listed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87630</wp:posOffset>
            </wp:positionV>
            <wp:extent cx="715518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9"/>
          </w:cols>
          <w:pgMar w:left="851" w:top="114" w:right="319" w:bottom="1440" w:gutter="0" w:footer="0" w:header="0"/>
        </w:sectPr>
      </w:pPr>
    </w:p>
    <w:bookmarkStart w:id="75" w:name="page76"/>
    <w:bookmarkEnd w:id="75"/>
    <w:p>
      <w:pPr>
        <w:ind w:firstLine="541"/>
        <w:spacing w:after="0"/>
        <w:rPr>
          <w:sz w:val="20"/>
          <w:szCs w:val="20"/>
          <w:color w:val="auto"/>
        </w:rPr>
      </w:pPr>
      <w:r>
        <w:rPr>
          <w:rFonts w:ascii="Times New Roman" w:cs="Times New Roman" w:eastAsia="Times New Roman" w:hAnsi="Times New Roman"/>
          <w:sz w:val="18"/>
          <w:szCs w:val="18"/>
          <w:color w:val="auto"/>
        </w:rPr>
        <w:t>Notwithstanding any other provision of this Agreement, the Company shall not offer, sell or deliver, or request the offer or sale, of any Placement Shares pursuant to this Agreement and, by notice to Cowen given by telephone (confirmed promptly by email), shall cancel any instructions for the offer or sale of any Placement Shares, and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8"/>
          <w:szCs w:val="18"/>
          <w:b w:val="1"/>
          <w:bCs w:val="1"/>
          <w:u w:val="single" w:color="auto"/>
          <w:color w:val="auto"/>
        </w:rPr>
        <w:t>Earnings Announcement</w:t>
      </w:r>
      <w:r>
        <w:rPr>
          <w:rFonts w:ascii="Times New Roman" w:cs="Times New Roman" w:eastAsia="Times New Roman" w:hAnsi="Times New Roman"/>
          <w:sz w:val="18"/>
          <w:szCs w:val="18"/>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173" w:lineRule="exact"/>
        <w:rPr>
          <w:sz w:val="20"/>
          <w:szCs w:val="20"/>
          <w:color w:val="auto"/>
        </w:rPr>
      </w:pPr>
    </w:p>
    <w:p>
      <w:pPr>
        <w:ind w:left="1120" w:hanging="589"/>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31"/>
        <w:spacing w:after="0"/>
        <w:tabs>
          <w:tab w:leader="none" w:pos="11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Cowen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suspend any sale of Placement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suspension shall not affect or impair either party’s obligations with respect to any Placement Shares sold hereunder prior to the receipt of such notice.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the other unless it is made to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as such schedule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88900</wp:posOffset>
            </wp:positionV>
            <wp:extent cx="715518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ind w:left="-531" w:right="20" w:firstLine="531"/>
        <w:spacing w:after="0" w:line="250" w:lineRule="auto"/>
        <w:tabs>
          <w:tab w:leader="none" w:pos="67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Cowen or the Company has reason to believe that the exemptive provisions set forth in Rule 101(c)(1) of Regulation M under the Exchange Act are not satisfied with respect to the Common Stock, it shall promptly notify the other party, and Cowen may, at its sole discretion, suspend sales of the Placement Shares under this Agreement.</w:t>
      </w:r>
    </w:p>
    <w:p>
      <w:pPr>
        <w:spacing w:after="0" w:line="163" w:lineRule="exact"/>
        <w:rPr>
          <w:rFonts w:ascii="Times New Roman" w:cs="Times New Roman" w:eastAsia="Times New Roman" w:hAnsi="Times New Roman"/>
          <w:sz w:val="18"/>
          <w:szCs w:val="18"/>
          <w:color w:val="auto"/>
        </w:rPr>
      </w:pPr>
    </w:p>
    <w:p>
      <w:pPr>
        <w:ind w:left="-531" w:right="20" w:firstLine="531"/>
        <w:spacing w:after="0" w:line="245" w:lineRule="auto"/>
        <w:tabs>
          <w:tab w:leader="none" w:pos="6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Agreement, during any period in which the Registration Statement is not effective under the Securities Act, the Company shall promptly notify Cowen, the Company shall not request the sale of any Placement Shares, and Cowen shall not be obligated to sell or offer to sell any Placement Shares. The requirement to promptly notify Cowen pursuant to this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shall be waived during any period in which no Placement Notice is pending.</w:t>
      </w:r>
    </w:p>
    <w:p>
      <w:pPr>
        <w:spacing w:after="0" w:line="169" w:lineRule="exact"/>
        <w:rPr>
          <w:sz w:val="20"/>
          <w:szCs w:val="20"/>
          <w:color w:val="auto"/>
        </w:rPr>
      </w:pPr>
    </w:p>
    <w:p>
      <w:pPr>
        <w:ind w:left="589" w:hanging="589"/>
        <w:spacing w:after="0"/>
        <w:tabs>
          <w:tab w:leader="none" w:pos="58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531" w:right="80" w:firstLine="531"/>
        <w:spacing w:after="0"/>
        <w:tabs>
          <w:tab w:leader="none" w:pos="66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second (2nd) Trading Day (or such earlier day as is industry practice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and the first such settlement date, the “</w:t>
      </w:r>
      <w:r>
        <w:rPr>
          <w:rFonts w:ascii="Times New Roman" w:cs="Times New Roman" w:eastAsia="Times New Roman" w:hAnsi="Times New Roman"/>
          <w:sz w:val="18"/>
          <w:szCs w:val="18"/>
          <w:b w:val="1"/>
          <w:bCs w:val="1"/>
          <w:u w:val="single" w:color="auto"/>
          <w:color w:val="auto"/>
        </w:rPr>
        <w:t>First Delivery Date</w:t>
      </w:r>
      <w:r>
        <w:rPr>
          <w:rFonts w:ascii="Times New Roman" w:cs="Times New Roman" w:eastAsia="Times New Roman" w:hAnsi="Times New Roman"/>
          <w:sz w:val="18"/>
          <w:szCs w:val="18"/>
          <w:color w:val="auto"/>
        </w:rPr>
        <w:t>”).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Cowen at which such Placement Shares were sold, after deduction for (i) Cowen’s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(ii) any other amounts due and payable by the Company to Cowen hereunder pursuant to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hereof, and (iii) any transaction fees imposed by any governmental or self-regulatory organization in respect of such sales.</w:t>
      </w:r>
    </w:p>
    <w:p>
      <w:pPr>
        <w:spacing w:after="0" w:line="173" w:lineRule="exact"/>
        <w:rPr>
          <w:rFonts w:ascii="Times New Roman" w:cs="Times New Roman" w:eastAsia="Times New Roman" w:hAnsi="Times New Roman"/>
          <w:sz w:val="18"/>
          <w:szCs w:val="18"/>
          <w:color w:val="auto"/>
        </w:rPr>
      </w:pPr>
    </w:p>
    <w:p>
      <w:pPr>
        <w:ind w:left="-531" w:firstLine="531"/>
        <w:spacing w:after="0" w:line="238" w:lineRule="auto"/>
        <w:tabs>
          <w:tab w:leader="none" w:pos="6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Cowen’s or its designee’s account (provided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through no fault of Cowen, the Company agrees that in addition to and in no way limiting the rights and obligations set forth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(Indemnification and Contribution) hereto, it will (i) hold Cowen harmless against any loss, claim, damage, or reasonable and documented expense (including reasonable and documented legal fees and expenses), as incurred, arising out of or in connection with such default by the Company and (ii) pay to Cowen (without duplication) any commission, discount, or other compensation to which it would otherwise have been entitled absent such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90805</wp:posOffset>
            </wp:positionV>
            <wp:extent cx="715518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649"/>
          </w:cols>
          <w:pgMar w:left="851" w:top="118" w:right="399" w:bottom="1440" w:gutter="0" w:footer="0" w:header="0"/>
        </w:sectPr>
      </w:pPr>
    </w:p>
    <w:bookmarkStart w:id="77" w:name="page78"/>
    <w:bookmarkEnd w:id="77"/>
    <w:p>
      <w:pPr>
        <w:ind w:left="-531" w:right="380" w:firstLine="531"/>
        <w:spacing w:after="0" w:line="250" w:lineRule="auto"/>
        <w:tabs>
          <w:tab w:leader="none" w:pos="5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Cowen that, unless such representation, warrant or agreement specifies otherwise,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531" w:right="60" w:firstLine="531"/>
        <w:spacing w:after="0" w:line="241" w:lineRule="auto"/>
        <w:tabs>
          <w:tab w:leader="none" w:pos="6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of the date of this Agreement, the Registration Statement and any Rule 462(b) Registration Statement shall have been declared effective by the Commission under the Securities Act. The Company shall have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Form S-3 under the Securities Act. The sale of the Placement Shares hereunder meets the requirements of General Instruction I.B.1 or I.B.6. of Form S-3.</w:t>
      </w:r>
    </w:p>
    <w:p>
      <w:pPr>
        <w:spacing w:after="0" w:line="172" w:lineRule="exact"/>
        <w:rPr>
          <w:rFonts w:ascii="Times New Roman" w:cs="Times New Roman" w:eastAsia="Times New Roman" w:hAnsi="Times New Roman"/>
          <w:sz w:val="18"/>
          <w:szCs w:val="18"/>
          <w:color w:val="auto"/>
        </w:rPr>
      </w:pPr>
    </w:p>
    <w:p>
      <w:pPr>
        <w:ind w:left="-531" w:right="20" w:firstLine="531"/>
        <w:spacing w:after="0" w:line="238" w:lineRule="auto"/>
        <w:tabs>
          <w:tab w:leader="none" w:pos="66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when filed with the Commission will comply or complied and, as amended or supplemented, if applicable, will comply in all material respects with the Securities Act. Each of the Registration Statement, any Rule 462(b) Registration Statement, the Prospectus and any post-effective amendments or supplements thereto, at the time it becomes effective or its date, as applicable, will comply or complied and as of each Representation Date, will comply or complied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at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18"/>
          <w:szCs w:val="18"/>
          <w:b w:val="1"/>
          <w:bCs w:val="1"/>
          <w:u w:val="single" w:color="auto"/>
          <w:color w:val="auto"/>
        </w:rPr>
        <w:t>Time of Sale</w:t>
      </w:r>
      <w:r>
        <w:rPr>
          <w:rFonts w:ascii="Times New Roman" w:cs="Times New Roman" w:eastAsia="Times New Roman" w:hAnsi="Times New Roman"/>
          <w:sz w:val="18"/>
          <w:szCs w:val="18"/>
          <w:color w:val="auto"/>
        </w:rPr>
        <w:t>” means with respect to each offering of Placement Shares pursuant to this Agreement, the time of Cowen’s initial entry into contracts with purchasers for the sale of such Placement Shares.</w:t>
      </w:r>
    </w:p>
    <w:p>
      <w:pPr>
        <w:spacing w:after="0" w:line="171" w:lineRule="exact"/>
        <w:rPr>
          <w:rFonts w:ascii="Times New Roman" w:cs="Times New Roman" w:eastAsia="Times New Roman" w:hAnsi="Times New Roman"/>
          <w:sz w:val="18"/>
          <w:szCs w:val="18"/>
          <w:color w:val="auto"/>
        </w:rPr>
      </w:pPr>
    </w:p>
    <w:p>
      <w:pPr>
        <w:ind w:left="-531" w:right="80" w:firstLine="531"/>
        <w:spacing w:after="0" w:line="241" w:lineRule="auto"/>
        <w:tabs>
          <w:tab w:leader="none" w:pos="6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Cowen has reasonably requested. The Registration Statement, the Prospectus and any Permitted Free Writing Prospectus (to the extent any such Permitted Free Writing Prospectus was required to be filed with the Commission) delivered to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72" w:lineRule="exact"/>
        <w:rPr>
          <w:rFonts w:ascii="Times New Roman" w:cs="Times New Roman" w:eastAsia="Times New Roman" w:hAnsi="Times New Roman"/>
          <w:sz w:val="18"/>
          <w:szCs w:val="18"/>
          <w:color w:val="auto"/>
        </w:rPr>
      </w:pPr>
    </w:p>
    <w:p>
      <w:pPr>
        <w:ind w:left="-531" w:right="80" w:firstLine="531"/>
        <w:spacing w:after="0" w:line="267" w:lineRule="auto"/>
        <w:tabs>
          <w:tab w:leader="none" w:pos="66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“emerging growth company,” as defined in Section 2(a) of the Securities Act. The Company agrees to notify Cowen promptly upon the Company ceasing to be an emerging growth company.</w:t>
      </w:r>
    </w:p>
    <w:p>
      <w:pPr>
        <w:spacing w:after="0" w:line="147" w:lineRule="exact"/>
        <w:rPr>
          <w:rFonts w:ascii="Times New Roman" w:cs="Times New Roman" w:eastAsia="Times New Roman" w:hAnsi="Times New Roman"/>
          <w:sz w:val="18"/>
          <w:szCs w:val="18"/>
          <w:color w:val="auto"/>
        </w:rPr>
      </w:pPr>
    </w:p>
    <w:p>
      <w:pPr>
        <w:ind w:left="-531" w:firstLine="531"/>
        <w:spacing w:after="0" w:line="267" w:lineRule="auto"/>
        <w:tabs>
          <w:tab w:leader="none" w:pos="6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is not an “ineligible issuer,” as defined in Rule 405 of the rules and regulation of the Commission. The Company agrees to notify Cowen promptly upon the Company becoming an “ineligible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72390</wp:posOffset>
            </wp:positionV>
            <wp:extent cx="715518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609"/>
          </w:cols>
          <w:pgMar w:left="851" w:top="118" w:right="439" w:bottom="1440" w:gutter="0" w:footer="0" w:header="0"/>
        </w:sectPr>
      </w:pPr>
    </w:p>
    <w:bookmarkStart w:id="78" w:name="page79"/>
    <w:bookmarkEnd w:id="78"/>
    <w:p>
      <w:pPr>
        <w:ind w:left="-531" w:right="440" w:firstLine="531"/>
        <w:spacing w:after="0" w:line="266" w:lineRule="auto"/>
        <w:tabs>
          <w:tab w:leader="none" w:pos="6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will not distribute, prior to the completion of Cowen’s distribution of the Placement Shares, any offering material in connection with the offering and sale of the Placement Shares other than the Prospectus or the Registration Statement.</w:t>
      </w:r>
    </w:p>
    <w:p>
      <w:pPr>
        <w:spacing w:after="0" w:line="148" w:lineRule="exact"/>
        <w:rPr>
          <w:rFonts w:ascii="Times New Roman" w:cs="Times New Roman" w:eastAsia="Times New Roman" w:hAnsi="Times New Roman"/>
          <w:sz w:val="18"/>
          <w:szCs w:val="18"/>
          <w:color w:val="auto"/>
        </w:rPr>
      </w:pPr>
    </w:p>
    <w:p>
      <w:pPr>
        <w:jc w:val="both"/>
        <w:ind w:left="-531" w:right="160" w:firstLine="531"/>
        <w:spacing w:after="0" w:line="245" w:lineRule="auto"/>
        <w:tabs>
          <w:tab w:leader="none" w:pos="6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68" w:lineRule="exact"/>
        <w:rPr>
          <w:rFonts w:ascii="Times New Roman" w:cs="Times New Roman" w:eastAsia="Times New Roman" w:hAnsi="Times New Roman"/>
          <w:sz w:val="18"/>
          <w:szCs w:val="18"/>
          <w:color w:val="auto"/>
        </w:rPr>
      </w:pPr>
    </w:p>
    <w:p>
      <w:pPr>
        <w:ind w:left="-531" w:right="160" w:firstLine="531"/>
        <w:spacing w:after="0" w:line="267" w:lineRule="auto"/>
        <w:tabs>
          <w:tab w:leader="none" w:pos="6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outstanding prior to the issuance of the Placement Shares have been duly authorized and are validly issued, fully paid and nonassessable.</w:t>
      </w:r>
    </w:p>
    <w:p>
      <w:pPr>
        <w:spacing w:after="0" w:line="147" w:lineRule="exact"/>
        <w:rPr>
          <w:rFonts w:ascii="Times New Roman" w:cs="Times New Roman" w:eastAsia="Times New Roman" w:hAnsi="Times New Roman"/>
          <w:sz w:val="18"/>
          <w:szCs w:val="18"/>
          <w:color w:val="auto"/>
        </w:rPr>
      </w:pPr>
    </w:p>
    <w:p>
      <w:pPr>
        <w:ind w:left="-531" w:right="220" w:firstLine="531"/>
        <w:spacing w:after="0" w:line="245" w:lineRule="auto"/>
        <w:tabs>
          <w:tab w:leader="none" w:pos="62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Shares to be issued and sold by the Company hereunder have been duly authorized and, when issued and delivered by the Company and paid for as provided herein, will be duly and validly issued, fully paid and nonassessable and will conform in all material respects to the descriptions thereof in the Registration Statement or the Prospectus; and the issuance of the Placement Shares is not subject to any preemptive or similar rights that have not been duly waived or satisfied.</w:t>
      </w:r>
    </w:p>
    <w:p>
      <w:pPr>
        <w:spacing w:after="0" w:line="168" w:lineRule="exact"/>
        <w:rPr>
          <w:rFonts w:ascii="Times New Roman" w:cs="Times New Roman" w:eastAsia="Times New Roman" w:hAnsi="Times New Roman"/>
          <w:sz w:val="18"/>
          <w:szCs w:val="18"/>
          <w:color w:val="auto"/>
        </w:rPr>
      </w:pPr>
    </w:p>
    <w:p>
      <w:pPr>
        <w:ind w:left="-531" w:right="40" w:firstLine="531"/>
        <w:spacing w:after="0" w:line="239" w:lineRule="auto"/>
        <w:tabs>
          <w:tab w:leader="none" w:pos="62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(as defined below), taken as a whole.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176" w:lineRule="exact"/>
        <w:rPr>
          <w:rFonts w:ascii="Times New Roman" w:cs="Times New Roman" w:eastAsia="Times New Roman" w:hAnsi="Times New Roman"/>
          <w:sz w:val="18"/>
          <w:szCs w:val="18"/>
          <w:color w:val="auto"/>
        </w:rPr>
      </w:pPr>
    </w:p>
    <w:p>
      <w:pPr>
        <w:ind w:left="-531" w:firstLine="531"/>
        <w:spacing w:after="0" w:line="239" w:lineRule="auto"/>
        <w:tabs>
          <w:tab w:leader="none" w:pos="6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AVROBIO Inc., a Canadian corporation, AVROBIO Australia Pty Ltd, an Australian company, and AVROBIO Securities Corporation, a Massachusetts corporation (each a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has been duly incorporated, is validly existing as a corporation in good standing under the laws of the jurisdiction of its incorporation, has the corporate power and authority to own or lease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taken as a whole. All of the issued shares of capital stock of each Subsidiary have been duly and validly authorized and issued, are fully paid and non-assessable (to the extent that such concepts are applicable in such jurisdiction) and are owned directly by the Company, free and clear of all liens, encumbrances, equities or claims, other than as disclosed in the Prospectus.</w:t>
      </w:r>
    </w:p>
    <w:p>
      <w:pPr>
        <w:spacing w:after="0" w:line="173" w:lineRule="exact"/>
        <w:rPr>
          <w:rFonts w:ascii="Times New Roman" w:cs="Times New Roman" w:eastAsia="Times New Roman" w:hAnsi="Times New Roman"/>
          <w:sz w:val="18"/>
          <w:szCs w:val="18"/>
          <w:color w:val="auto"/>
        </w:rPr>
      </w:pPr>
    </w:p>
    <w:p>
      <w:pPr>
        <w:ind w:left="609" w:hanging="609"/>
        <w:spacing w:after="0"/>
        <w:tabs>
          <w:tab w:leader="none" w:pos="60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as to legal matters to the description thereof contained in the Prospectus.</w:t>
      </w:r>
    </w:p>
    <w:p>
      <w:pPr>
        <w:spacing w:after="0" w:line="198" w:lineRule="exact"/>
        <w:rPr>
          <w:rFonts w:ascii="Times New Roman" w:cs="Times New Roman" w:eastAsia="Times New Roman" w:hAnsi="Times New Roman"/>
          <w:sz w:val="18"/>
          <w:szCs w:val="18"/>
          <w:color w:val="auto"/>
        </w:rPr>
      </w:pPr>
    </w:p>
    <w:p>
      <w:pPr>
        <w:ind w:left="-531" w:right="20" w:firstLine="531"/>
        <w:spacing w:after="0" w:line="239" w:lineRule="auto"/>
        <w:tabs>
          <w:tab w:leader="none" w:pos="7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Subsidiary that is material to the Company and the Subsidiaries, taken as a whole, or (iv) any judgment, order or decree of any governmental body, agency or court having jurisdiction over the Company or the Subsidiaries, except, in the case of clauses (i), (iii) and (iv), as would not, individually or in the aggregate, reasonably be expected to have a material adverse effect on the Company and its Subsidiaries, taken as a whole, or on the power and ability of the Company to perform its obligations under this Agreement. No consent, approval, authorization or order of, or qualification with, any governmental body or agency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or The Nasdaq Global Select Market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in connection with the offer and sale of the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88900</wp:posOffset>
            </wp:positionV>
            <wp:extent cx="715518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9"/>
          </w:cols>
          <w:pgMar w:left="851" w:top="118" w:right="319" w:bottom="1440" w:gutter="0" w:footer="0" w:header="0"/>
        </w:sectPr>
      </w:pPr>
    </w:p>
    <w:bookmarkStart w:id="79" w:name="page80"/>
    <w:bookmarkEnd w:id="79"/>
    <w:p>
      <w:pPr>
        <w:ind w:left="-531" w:right="80" w:firstLine="531"/>
        <w:spacing w:after="0" w:line="250" w:lineRule="auto"/>
        <w:tabs>
          <w:tab w:leader="none" w:pos="6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that, singly or in the aggregate, would reasonably be expected to result in a material adverse change in the condition, financial or otherwise, or in the earnings, business, prospects or operations of the Company and the Subsidiaries, taken as a whole, from that set forth in the Prospectus (any such change is called a “</w:t>
      </w:r>
      <w:r>
        <w:rPr>
          <w:rFonts w:ascii="Times New Roman" w:cs="Times New Roman" w:eastAsia="Times New Roman" w:hAnsi="Times New Roman"/>
          <w:sz w:val="18"/>
          <w:szCs w:val="18"/>
          <w:b w:val="1"/>
          <w:bCs w:val="1"/>
          <w:u w:val="single" w:color="auto"/>
          <w:color w:val="auto"/>
        </w:rPr>
        <w:t>Material Adverse Change</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531" w:right="20" w:firstLine="531"/>
        <w:spacing w:after="0"/>
        <w:tabs>
          <w:tab w:leader="none" w:pos="6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Company, threatened to which the Company or any Subsidiary is a party or to which any of the properties of the Company or any Subsidiary is subject (i) other than proceedings accurately described in all material respects in the Prospectus and proceedings that would not reasonably be expected to have a material adverse effect on the Company and the Subsidiaries, taken as a whole, or on the power or ability of the Company to perform its obligations under this Agreement or to consummate the transactions contemplated by the Prospectus or (ii) that are required to be described in the Registration Statement or the Prospectus and are not so described in all material respects.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73" w:lineRule="exact"/>
        <w:rPr>
          <w:rFonts w:ascii="Times New Roman" w:cs="Times New Roman" w:eastAsia="Times New Roman" w:hAnsi="Times New Roman"/>
          <w:sz w:val="18"/>
          <w:szCs w:val="18"/>
          <w:color w:val="auto"/>
        </w:rPr>
      </w:pPr>
    </w:p>
    <w:p>
      <w:pPr>
        <w:ind w:left="-531" w:firstLine="531"/>
        <w:spacing w:after="0" w:line="251" w:lineRule="auto"/>
        <w:tabs>
          <w:tab w:leader="none" w:pos="6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Placement Shares and the application of the proceeds thereof as described in the Prospectus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left="-531" w:firstLine="531"/>
        <w:spacing w:after="0"/>
        <w:tabs>
          <w:tab w:leader="none" w:pos="6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the Subsidiaries, taken as a whole.</w:t>
      </w:r>
    </w:p>
    <w:p>
      <w:pPr>
        <w:spacing w:after="0" w:line="173" w:lineRule="exact"/>
        <w:rPr>
          <w:rFonts w:ascii="Times New Roman" w:cs="Times New Roman" w:eastAsia="Times New Roman" w:hAnsi="Times New Roman"/>
          <w:sz w:val="18"/>
          <w:szCs w:val="18"/>
          <w:color w:val="auto"/>
        </w:rPr>
      </w:pPr>
    </w:p>
    <w:p>
      <w:pPr>
        <w:ind w:left="-531" w:right="20" w:firstLine="531"/>
        <w:spacing w:after="0" w:line="245" w:lineRule="auto"/>
        <w:tabs>
          <w:tab w:leader="none" w:pos="6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the Subsidiaries,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85725</wp:posOffset>
            </wp:positionV>
            <wp:extent cx="715518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09"/>
          </w:cols>
          <w:pgMar w:left="851" w:top="118" w:right="339" w:bottom="1440" w:gutter="0" w:footer="0" w:header="0"/>
        </w:sectPr>
      </w:pPr>
    </w:p>
    <w:bookmarkStart w:id="80" w:name="page81"/>
    <w:bookmarkEnd w:id="80"/>
    <w:p>
      <w:pPr>
        <w:ind w:left="-531" w:right="40" w:firstLine="531"/>
        <w:spacing w:after="0" w:line="245" w:lineRule="auto"/>
        <w:tabs>
          <w:tab w:leader="none" w:pos="6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Prospectus or as have been waived with respect to the Registration Statement,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w:t>
      </w:r>
    </w:p>
    <w:p>
      <w:pPr>
        <w:spacing w:after="0" w:line="167" w:lineRule="exact"/>
        <w:rPr>
          <w:rFonts w:ascii="Times New Roman" w:cs="Times New Roman" w:eastAsia="Times New Roman" w:hAnsi="Times New Roman"/>
          <w:sz w:val="18"/>
          <w:szCs w:val="18"/>
          <w:color w:val="auto"/>
        </w:rPr>
      </w:pPr>
    </w:p>
    <w:p>
      <w:pPr>
        <w:ind w:left="-531" w:right="20" w:firstLine="531"/>
        <w:spacing w:after="0" w:line="238" w:lineRule="auto"/>
        <w:tabs>
          <w:tab w:leader="none" w:pos="63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Subsidiaries or the Company’s controlled affiliates, nor any director, officer or employee thereof, nor, to the Company’s knowledge, any agent or representative of the Company, the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The Company, the Subsidiaries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Neither the Company nor the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75" w:lineRule="exact"/>
        <w:rPr>
          <w:rFonts w:ascii="Times New Roman" w:cs="Times New Roman" w:eastAsia="Times New Roman" w:hAnsi="Times New Roman"/>
          <w:sz w:val="18"/>
          <w:szCs w:val="18"/>
          <w:color w:val="auto"/>
        </w:rPr>
      </w:pPr>
    </w:p>
    <w:p>
      <w:pPr>
        <w:ind w:left="-531" w:right="20" w:firstLine="531"/>
        <w:spacing w:after="0"/>
        <w:tabs>
          <w:tab w:leader="none" w:pos="6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the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any Subsidiary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Subsidiary with respect to the Anti-Money Laundering Laws is pending or, to the knowledge of the Company, threatened.</w:t>
      </w:r>
    </w:p>
    <w:p>
      <w:pPr>
        <w:spacing w:after="0" w:line="173" w:lineRule="exact"/>
        <w:rPr>
          <w:rFonts w:ascii="Times New Roman" w:cs="Times New Roman" w:eastAsia="Times New Roman" w:hAnsi="Times New Roman"/>
          <w:sz w:val="18"/>
          <w:szCs w:val="18"/>
          <w:color w:val="auto"/>
        </w:rPr>
      </w:pPr>
    </w:p>
    <w:p>
      <w:pPr>
        <w:ind w:left="-531" w:firstLine="531"/>
        <w:spacing w:after="0" w:line="297" w:lineRule="auto"/>
        <w:tabs>
          <w:tab w:leader="none" w:pos="67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None of the Company, the Subsidiaries or any director, officer or employee thereof, or, to the Company’s knowledge, any agent, affiliate or representative of the Company or any Subsidiary, is an individual or entity (“</w:t>
      </w:r>
      <w:r>
        <w:rPr>
          <w:rFonts w:ascii="Times New Roman" w:cs="Times New Roman" w:eastAsia="Times New Roman" w:hAnsi="Times New Roman"/>
          <w:sz w:val="17"/>
          <w:szCs w:val="17"/>
          <w:b w:val="1"/>
          <w:bCs w:val="1"/>
          <w:u w:val="single" w:color="auto"/>
          <w:color w:val="auto"/>
        </w:rPr>
        <w:t>Person</w:t>
      </w:r>
      <w:r>
        <w:rPr>
          <w:rFonts w:ascii="Times New Roman" w:cs="Times New Roman" w:eastAsia="Times New Roman" w:hAnsi="Times New Roman"/>
          <w:sz w:val="17"/>
          <w:szCs w:val="17"/>
          <w:color w:val="auto"/>
        </w:rPr>
        <w:t>”) that is, or is owned or controlled by one or more Persons that are:</w:t>
      </w:r>
    </w:p>
    <w:p>
      <w:pPr>
        <w:spacing w:after="0" w:line="124" w:lineRule="exact"/>
        <w:rPr>
          <w:rFonts w:ascii="Times New Roman" w:cs="Times New Roman" w:eastAsia="Times New Roman" w:hAnsi="Times New Roman"/>
          <w:sz w:val="17"/>
          <w:szCs w:val="17"/>
          <w:color w:val="auto"/>
        </w:rPr>
      </w:pPr>
    </w:p>
    <w:p>
      <w:pPr>
        <w:ind w:left="549" w:right="260" w:hanging="8"/>
        <w:spacing w:after="0" w:line="251" w:lineRule="auto"/>
        <w:tabs>
          <w:tab w:leader="none" w:pos="84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549" w:right="260" w:hanging="8"/>
        <w:spacing w:after="0" w:line="297" w:lineRule="auto"/>
        <w:tabs>
          <w:tab w:leader="none" w:pos="834"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located, organized or resident in a country or territory that is the subject of Sanctions (including, without limitation, the so-called Donetsk People’s Republic, the so-called Luhansk People’s Republic, the Crimea Region of Ukraine, Cuba, Iran, North Korea and Syria).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57785</wp:posOffset>
            </wp:positionV>
            <wp:extent cx="715518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9"/>
          </w:cols>
          <w:pgMar w:left="851" w:top="118" w:right="319" w:bottom="1440" w:gutter="0" w:footer="0" w:header="0"/>
        </w:sectPr>
      </w:pPr>
    </w:p>
    <w:bookmarkStart w:id="81" w:name="page82"/>
    <w:bookmarkEnd w:id="81"/>
    <w:p>
      <w:pPr>
        <w:ind w:left="-531" w:right="500" w:firstLine="1072"/>
        <w:spacing w:after="0" w:line="266" w:lineRule="auto"/>
        <w:tabs>
          <w:tab w:leader="none" w:pos="8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direct or indirect subsidiary, joint venture partner or other Person:</w:t>
      </w:r>
    </w:p>
    <w:p>
      <w:pPr>
        <w:spacing w:after="0" w:line="149" w:lineRule="exact"/>
        <w:rPr>
          <w:sz w:val="20"/>
          <w:szCs w:val="20"/>
          <w:color w:val="auto"/>
        </w:rPr>
      </w:pPr>
    </w:p>
    <w:p>
      <w:pPr>
        <w:ind w:left="549" w:right="400" w:hanging="8"/>
        <w:spacing w:after="0" w:line="267" w:lineRule="auto"/>
        <w:tabs>
          <w:tab w:leader="none" w:pos="8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147" w:lineRule="exact"/>
        <w:rPr>
          <w:rFonts w:ascii="Times New Roman" w:cs="Times New Roman" w:eastAsia="Times New Roman" w:hAnsi="Times New Roman"/>
          <w:sz w:val="18"/>
          <w:szCs w:val="18"/>
          <w:color w:val="auto"/>
        </w:rPr>
      </w:pPr>
    </w:p>
    <w:p>
      <w:pPr>
        <w:ind w:left="549" w:right="40" w:hanging="8"/>
        <w:spacing w:after="0" w:line="267" w:lineRule="auto"/>
        <w:tabs>
          <w:tab w:leader="none" w:pos="8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48" w:lineRule="exact"/>
        <w:rPr>
          <w:sz w:val="20"/>
          <w:szCs w:val="20"/>
          <w:color w:val="auto"/>
        </w:rPr>
      </w:pPr>
    </w:p>
    <w:p>
      <w:pPr>
        <w:ind w:left="-531" w:right="400" w:firstLine="1072"/>
        <w:spacing w:after="0" w:line="267" w:lineRule="auto"/>
        <w:tabs>
          <w:tab w:leader="none" w:pos="86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47" w:lineRule="exact"/>
        <w:rPr>
          <w:rFonts w:ascii="Times New Roman" w:cs="Times New Roman" w:eastAsia="Times New Roman" w:hAnsi="Times New Roman"/>
          <w:sz w:val="18"/>
          <w:szCs w:val="18"/>
          <w:color w:val="auto"/>
        </w:rPr>
      </w:pPr>
    </w:p>
    <w:p>
      <w:pPr>
        <w:ind w:left="-531" w:right="80" w:firstLine="531"/>
        <w:spacing w:after="0"/>
        <w:tabs>
          <w:tab w:leader="none" w:pos="71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and the Prospectus, (i) the Company and the Subsidiaries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equity compensation plans or agreements, as applicable, described in the Prospectus), nor declared, paid or otherwise made any dividend or distribution of any kind on its capital stock other than ordinary and customary dividends; and (iii) there has not been any material change in the capital stock, short-term debt or long-term debt of the Company and the Subsidiaries, except in each case as described in each of the Registration Statement and the Prospectus, respectively.</w:t>
      </w:r>
    </w:p>
    <w:p>
      <w:pPr>
        <w:spacing w:after="0" w:line="173" w:lineRule="exact"/>
        <w:rPr>
          <w:rFonts w:ascii="Times New Roman" w:cs="Times New Roman" w:eastAsia="Times New Roman" w:hAnsi="Times New Roman"/>
          <w:sz w:val="18"/>
          <w:szCs w:val="18"/>
          <w:color w:val="auto"/>
        </w:rPr>
      </w:pPr>
    </w:p>
    <w:p>
      <w:pPr>
        <w:ind w:left="-531" w:firstLine="531"/>
        <w:spacing w:after="0"/>
        <w:tabs>
          <w:tab w:leader="none" w:pos="6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do not own any real property. The Company and the Subsidiaries have good and marketable title to all personal property owned by them which is material to the business of the Company and the Subsidiaries, in each case free and clear of all liens, encumbrances and defects except such as are described in the Prospectus or such as do not materially affect the value of such property and do not interfere with the use made and proposed to be made of such property by the Company and the Subsidiaries. Any real property and buildings held under lease by the Company or any Subsidiary are held by them, as applicable, under valid, subsisting and, to the Company’s knowledge, enforceable leases with such exceptions as are not material and do not materially interfere with the use made and proposed to be made of such property and buildings by the Company and the Subsidiaries, in each case except as described in the Prospectus.</w:t>
      </w:r>
    </w:p>
    <w:p>
      <w:pPr>
        <w:spacing w:after="0" w:line="173" w:lineRule="exact"/>
        <w:rPr>
          <w:rFonts w:ascii="Times New Roman" w:cs="Times New Roman" w:eastAsia="Times New Roman" w:hAnsi="Times New Roman"/>
          <w:sz w:val="18"/>
          <w:szCs w:val="18"/>
          <w:color w:val="auto"/>
        </w:rPr>
      </w:pPr>
    </w:p>
    <w:p>
      <w:pPr>
        <w:ind w:left="-531" w:right="60" w:firstLine="531"/>
        <w:spacing w:after="0" w:line="236" w:lineRule="auto"/>
        <w:tabs>
          <w:tab w:leader="none" w:pos="6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valid, binding and enforceable rights or licenses under all patents, patent applications, patent rights, licenses, inventions, copyrights, know-how (including trade secrets and other unpatented and/or unpatentable proprietary or confidential information, systems or procedures), trademarks, service marks, trade names and other intellectual property used in or necessary for the conduct of the business of the Company and the Subsidiaries in the manner described in the Prospectus (collectively, the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except as enforceability of any licenses may be limited by bankruptcy and other similar laws affecting the rights of creditors generally and general principles of equity. To the knowledge of the Company, the patents, trademarks and copyrights, if any, included within the Intellectual Property are valid, enforceable and subsisting, other than as disclosed in the Prospectus. (i) Except as disclosed in the Prospectus, neither the Company nor any Subsidiary is obligated to pay a material royalty, grant a license to or provide other material consideration to any third party in connection with the Intellectual Property; (ii) neither the Company nor any Subsidiary has received any notice of any claim of infringement, misappropriation of or conflict with asserted rights of others with respect to any of the Company’s or any Subsidiary’s product candidates, processes or Intellectual Property; (iii) no action, suit, claim or other proceeding is pending or, to the knowledge of the Company, is threatened, challenging the Company’s or any Subsidiary’s rights in or to any Intellectual Property or challenging the validity, enforceability or scope of any Intellectual Property; (iv) except as disclosed in the Prospectus, none of the development, manufacture, sale or use of any of the discoveries, inventions, product candidates or processes of the Company referred to in the Prospectus do or will infringe or violate any right or issued patent claim of any third party in any material respect; (v) no third party has any ownership right in or to any Intellectual Property that is owned by the Company other than any co-owner of any patent constituting Intellectual Property who is listed on the records of the U.S. Patent and Trademark Office and any co-owner of any patent application constituting Intellectual Property who is named in such patent application; (vi) except as disclosed in the Prospectus or as would not, singly or in the aggregate, have a material adverse effect on the Company and the Subsidiaries, taken as a whole, the Intellectual Property owned by the Company or any Subsidiary is free and clear of all liens or encumbrances; (vii) none of the technology employed by the Company or any Subsidiary in the conduct of the business in the manner described in the Prospectus has been obtained or is being used by the Company or any Subsidiary in material violation of any contractual obligation binding on the Company or, to the knowledge of the Company, upon any of its officers, consultants, directors or employees and (viii) the Company has taken reasonable measures to protect its confidential information and trade secrets and to maintain and safeguard the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97790</wp:posOffset>
            </wp:positionV>
            <wp:extent cx="715518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9"/>
          </w:cols>
          <w:pgMar w:left="851" w:top="118" w:right="319" w:bottom="1440" w:gutter="0" w:footer="0" w:header="0"/>
        </w:sectPr>
      </w:pPr>
    </w:p>
    <w:bookmarkStart w:id="82" w:name="page83"/>
    <w:bookmarkEnd w:id="82"/>
    <w:p>
      <w:pPr>
        <w:ind w:left="-531" w:right="520" w:firstLine="531"/>
        <w:spacing w:after="0" w:line="266" w:lineRule="auto"/>
        <w:tabs>
          <w:tab w:leader="none" w:pos="65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all patent and patent applications licensed to the Company or any Subsidiary have been duly and properly filed, prosecuted and maintained in all material respects.</w:t>
      </w:r>
    </w:p>
    <w:p>
      <w:pPr>
        <w:spacing w:after="0" w:line="149" w:lineRule="exact"/>
        <w:rPr>
          <w:sz w:val="20"/>
          <w:szCs w:val="20"/>
          <w:color w:val="auto"/>
        </w:rPr>
      </w:pPr>
    </w:p>
    <w:p>
      <w:pPr>
        <w:ind w:left="-531" w:firstLine="531"/>
        <w:spacing w:after="0" w:line="236" w:lineRule="auto"/>
        <w:tabs>
          <w:tab w:leader="none" w:pos="73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operated and currently are in compliance in all material respects with all applicable laws, rules and regulations of the jurisdictions in which they are conducting business. The Company and each Subsidiary (i) is and at all times has been in material compliance with all statutes, rules or regulations applicable to the ownership, testing, development, manufacture, packaging, processing, use, distribution, marketing, labeling, promotion, sale, offer for sale, storage, import, export or disposal of any product candidate under development, manufactured or distributed by the Company (“</w:t>
      </w:r>
      <w:r>
        <w:rPr>
          <w:rFonts w:ascii="Times New Roman" w:cs="Times New Roman" w:eastAsia="Times New Roman" w:hAnsi="Times New Roman"/>
          <w:sz w:val="18"/>
          <w:szCs w:val="18"/>
          <w:b w:val="1"/>
          <w:bCs w:val="1"/>
          <w:u w:val="single" w:color="auto"/>
          <w:color w:val="auto"/>
        </w:rPr>
        <w:t>Applicable Laws</w:t>
      </w:r>
      <w:r>
        <w:rPr>
          <w:rFonts w:ascii="Times New Roman" w:cs="Times New Roman" w:eastAsia="Times New Roman" w:hAnsi="Times New Roman"/>
          <w:sz w:val="18"/>
          <w:szCs w:val="18"/>
          <w:color w:val="auto"/>
        </w:rPr>
        <w:t>”); (ii) has not received any FDA Form 483, notice of adverse finding, warning letter, untitled letter or other written correspondence or notice from the U.S. Food and Drug Administration (the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Applicable Laws to conduct the Company’s business as described in the Prospectus (“</w:t>
      </w:r>
      <w:r>
        <w:rPr>
          <w:rFonts w:ascii="Times New Roman" w:cs="Times New Roman" w:eastAsia="Times New Roman" w:hAnsi="Times New Roman"/>
          <w:sz w:val="18"/>
          <w:szCs w:val="18"/>
          <w:b w:val="1"/>
          <w:bCs w:val="1"/>
          <w:u w:val="single" w:color="auto"/>
          <w:color w:val="auto"/>
        </w:rPr>
        <w:t>Authorizations</w:t>
      </w:r>
      <w:r>
        <w:rPr>
          <w:rFonts w:ascii="Times New Roman" w:cs="Times New Roman" w:eastAsia="Times New Roman" w:hAnsi="Times New Roman"/>
          <w:sz w:val="18"/>
          <w:szCs w:val="18"/>
          <w:color w:val="auto"/>
        </w:rPr>
        <w:t>”); (iii) possesses all material Authorizations and such Authorizations are valid and in full force and effect and neither the Company nor any Subsidiary is in material violation of any such Authorizations; (iv) has not received notice of any pending or completed claim, action, suit, proceeding, hearing, enforcement, investigation, arbitration or other action from the FDA or any other federal, state, local or foreign governmental or regulatory authority or third party alleging that any product candidate operation or activity is in material violation of any Applicable Laws or Authorizations and the Company has no knowledge that the FDA or any other federal, state, local or foreign governmental or regulatory authority or third party is considering any such claim, litigation, arbitration, action, suit, investigation or proceeding; (v) has not received notice that the FDA or any other federal, state, local or foreign governmental or regulatory authority has taken, is taking or intends to take action to limit, suspend, modify or revoke any material Authorizations and has no knowledge that the FDA or any other federal, state, local or foreign governmental or regulatory authority is considering such action; (vi) has filed, obtained, maintained or submitted all material reports, documents, forms, notices, applications, records, claims, submissions and supplements or amendments as required by any Applicable Laws or Authorizations and all such reports, documents, forms, notices, applications, records, claims, submissions and supplements or amendments were materially complete and correct on the date filed (or were corrected or supplemented by a subsequent submission) and (vii) has not, either voluntarily or involuntarily, initiated, conducted or issued or caused to be initiated, conducted or issued, any recall, market withdrawal or replacement, safety alert, “dear doctor” letter or other notice or action relating to the alleged lack of safety or efficacy of any product candidate or any alleged product candidate defect or violation and, to the Company’s knowledge, no third party has initiated, conducted or intends to initiate any such notice 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97155</wp:posOffset>
            </wp:positionV>
            <wp:extent cx="715518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09"/>
          </w:cols>
          <w:pgMar w:left="851" w:top="118" w:right="339" w:bottom="1440" w:gutter="0" w:footer="0" w:header="0"/>
        </w:sectPr>
      </w:pPr>
    </w:p>
    <w:bookmarkStart w:id="83" w:name="page84"/>
    <w:bookmarkEnd w:id="83"/>
    <w:p>
      <w:pPr>
        <w:ind w:left="-531" w:right="20" w:firstLine="531"/>
        <w:spacing w:after="0" w:line="238" w:lineRule="auto"/>
        <w:tabs>
          <w:tab w:leader="none" w:pos="7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tests and preclinical and clinical trials conducted by the Company that are described in the Registration Statement and the Prospectus and, to the Company’s knowledge, those studies, tests and preclinical and clinical trials conducted on behalf of the Company, were and, if still pending, are being conducted in all material respects in accordance with experimental protocols, procedures and controls pursuant to accepted professional scientific standards and all Applicable Laws and Authorizations, including, without limitation, the Federal Food, Drug and Cosmetic Act and the rules and regulations promulgated thereunder. The descriptions of the results of such studies, tests and trials contained in the Registration Statement and the Prospectus are accurate and complete and fairly present the data derived from such studies, tests and trials in all material respects. The Company is not aware of any studies, tests or trials, the results of which the Company believes are materially inconsistent with the study, test or trial results described or referred to in the Registration Statement and the Prospectus when viewed in the context in which such results are described and the clinical state of development. The Company has not received any notices or written correspondence from the FDA or any other federal, state, local or foreign governmental or regulatory authority requiring the termination, suspension or material modification of any studies, tests or preclinical or clinical trials conducted by or on behalf of the Company.</w:t>
      </w:r>
    </w:p>
    <w:p>
      <w:pPr>
        <w:spacing w:after="0" w:line="174" w:lineRule="exact"/>
        <w:rPr>
          <w:rFonts w:ascii="Times New Roman" w:cs="Times New Roman" w:eastAsia="Times New Roman" w:hAnsi="Times New Roman"/>
          <w:sz w:val="18"/>
          <w:szCs w:val="18"/>
          <w:color w:val="auto"/>
        </w:rPr>
      </w:pPr>
    </w:p>
    <w:p>
      <w:pPr>
        <w:ind w:left="-531" w:right="40" w:firstLine="531"/>
        <w:spacing w:after="0" w:line="239" w:lineRule="auto"/>
        <w:tabs>
          <w:tab w:leader="none" w:pos="73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has filed and received approval of all Authorizations issued by, and have made all declarations and filings with, the FDA or any other federal, state, local or foreign governmental or regulatory authority that are necessary for the ownership or lease of their respective properties or the conduct of their respective businesses as described in the Prospectus, or to permit all clinical and nonclinical studies and trials conducted by or on behalf of the Company or any Subsidiary, including, without limitation, all necessary FDA and applicable foreign regulatory agency approvals. The Company and each Subsidiary is in compliance with and are not in violation of, or in default under, any such Authorization. To the knowledge of the Company, no event has occurred which allows, or after notice or lapse of time would allow, revocation, termination or modification of any Authorization or result in any other material impairment of the rights of the holder of any Authorization and the Company does not have any reason to believe that any Authorization will not be renewed in the ordinary course. All Authorizations are in full force and effect.</w:t>
      </w:r>
    </w:p>
    <w:p>
      <w:pPr>
        <w:spacing w:after="0" w:line="176" w:lineRule="exact"/>
        <w:rPr>
          <w:rFonts w:ascii="Times New Roman" w:cs="Times New Roman" w:eastAsia="Times New Roman" w:hAnsi="Times New Roman"/>
          <w:sz w:val="18"/>
          <w:szCs w:val="18"/>
          <w:color w:val="auto"/>
        </w:rPr>
      </w:pPr>
    </w:p>
    <w:p>
      <w:pPr>
        <w:ind w:left="-531" w:right="20" w:firstLine="531"/>
        <w:spacing w:after="0" w:line="245" w:lineRule="auto"/>
        <w:tabs>
          <w:tab w:leader="none" w:pos="7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of its officers, directors or managing employees (as defined in 42 U.S.C. § 1320a-5(b)) is or has been excluded, suspended or debarred from participation in any state or federal health care program, or made subject to any pending or, to the Company’s knowledge, threatened or contemplated action which could reasonably be expected to result in such exclusion, suspension or debarment.</w:t>
      </w:r>
    </w:p>
    <w:p>
      <w:pPr>
        <w:spacing w:after="0" w:line="168" w:lineRule="exact"/>
        <w:rPr>
          <w:rFonts w:ascii="Times New Roman" w:cs="Times New Roman" w:eastAsia="Times New Roman" w:hAnsi="Times New Roman"/>
          <w:sz w:val="18"/>
          <w:szCs w:val="18"/>
          <w:color w:val="auto"/>
        </w:rPr>
      </w:pPr>
    </w:p>
    <w:p>
      <w:pPr>
        <w:ind w:left="-531" w:right="120" w:firstLine="531"/>
        <w:spacing w:after="0" w:line="267" w:lineRule="auto"/>
        <w:tabs>
          <w:tab w:leader="none" w:pos="73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manufacturing facilities and operations of its suppliers are operated in compliance in all material respects with all Applicable Laws.</w:t>
      </w:r>
    </w:p>
    <w:p>
      <w:pPr>
        <w:spacing w:after="0" w:line="147" w:lineRule="exact"/>
        <w:rPr>
          <w:rFonts w:ascii="Times New Roman" w:cs="Times New Roman" w:eastAsia="Times New Roman" w:hAnsi="Times New Roman"/>
          <w:sz w:val="18"/>
          <w:szCs w:val="18"/>
          <w:color w:val="auto"/>
        </w:rPr>
      </w:pPr>
    </w:p>
    <w:p>
      <w:pPr>
        <w:ind w:left="-531" w:right="340" w:firstLine="531"/>
        <w:spacing w:after="0" w:line="267" w:lineRule="auto"/>
        <w:tabs>
          <w:tab w:leader="none" w:pos="69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Company’s or any Subsidiary’s product candidates have received marketing approval from the FDA or any other federal, state, local or foreign governmental or regulatory authority.</w:t>
      </w:r>
    </w:p>
    <w:p>
      <w:pPr>
        <w:spacing w:after="0" w:line="147" w:lineRule="exact"/>
        <w:rPr>
          <w:rFonts w:ascii="Times New Roman" w:cs="Times New Roman" w:eastAsia="Times New Roman" w:hAnsi="Times New Roman"/>
          <w:sz w:val="18"/>
          <w:szCs w:val="18"/>
          <w:color w:val="auto"/>
        </w:rPr>
      </w:pPr>
    </w:p>
    <w:p>
      <w:pPr>
        <w:ind w:left="-531" w:firstLine="531"/>
        <w:spacing w:after="0" w:line="251" w:lineRule="auto"/>
        <w:tabs>
          <w:tab w:leader="none" w:pos="7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Subsidiary exists, except as described in the Prospectus, or, to the knowledge of the Company, is imminent. The Company is not aware of any existing, threatened or imminent labor disturbance by the employees of any of its principal suppliers, manufacturers or contractors that could have a material adverse effect on the Company and the Subsidiaries,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81280</wp:posOffset>
            </wp:positionV>
            <wp:extent cx="715518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649"/>
          </w:cols>
          <w:pgMar w:left="851" w:top="118" w:right="399" w:bottom="1440" w:gutter="0" w:footer="0" w:header="0"/>
        </w:sectPr>
      </w:pPr>
    </w:p>
    <w:bookmarkStart w:id="84" w:name="page85"/>
    <w:bookmarkEnd w:id="84"/>
    <w:p>
      <w:pPr>
        <w:ind w:left="-531" w:right="80" w:firstLine="531"/>
        <w:spacing w:after="0" w:line="241" w:lineRule="auto"/>
        <w:tabs>
          <w:tab w:leader="none" w:pos="76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described in the Prospectus or (ii) as would not, singly or in the aggregate, have, or reasonably be expected to have, a material adverse effect on the Company and the Subsidiaries, taken as a whole,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that the Company or any member of its “Controlled Group” (defined as any organization which is under common control with the Company within the meaning of Section 414 of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sponsors or maintains has been maintained in compliance with its terms and the requirements of any applicable statutes, orders, rules and regulations, including but not limited to ERISA and the Code.</w:t>
      </w:r>
    </w:p>
    <w:p>
      <w:pPr>
        <w:spacing w:after="0" w:line="171" w:lineRule="exact"/>
        <w:rPr>
          <w:rFonts w:ascii="Times New Roman" w:cs="Times New Roman" w:eastAsia="Times New Roman" w:hAnsi="Times New Roman"/>
          <w:sz w:val="18"/>
          <w:szCs w:val="18"/>
          <w:color w:val="auto"/>
        </w:rPr>
      </w:pPr>
    </w:p>
    <w:p>
      <w:pPr>
        <w:ind w:left="-531" w:right="60" w:firstLine="531"/>
        <w:spacing w:after="0" w:line="241" w:lineRule="auto"/>
        <w:tabs>
          <w:tab w:leader="none" w:pos="6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is insured by insurers of recognized financial responsibility against such losses and risks and in such amounts as, in the Company’s reasonable judgment, are prudent and customary in the businesses in which they are engaged. Neither the Company nor any Subsidiary has been refused any insurance coverage sought or applied for.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the Subsidiaries, taken as a whole, except as described in the Prospectus.</w:t>
      </w:r>
    </w:p>
    <w:p>
      <w:pPr>
        <w:spacing w:after="0" w:line="172" w:lineRule="exact"/>
        <w:rPr>
          <w:rFonts w:ascii="Times New Roman" w:cs="Times New Roman" w:eastAsia="Times New Roman" w:hAnsi="Times New Roman"/>
          <w:sz w:val="18"/>
          <w:szCs w:val="18"/>
          <w:color w:val="auto"/>
        </w:rPr>
      </w:pPr>
    </w:p>
    <w:p>
      <w:pPr>
        <w:ind w:left="-531" w:firstLine="531"/>
        <w:spacing w:after="0" w:line="241" w:lineRule="auto"/>
        <w:tabs>
          <w:tab w:leader="none" w:pos="6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possess all certificates, authorizations and permits issued by the appropriate federal, state or foreign regulatory authorities necessary to conduct their respective businesses, except where the failure to possess such certificates, authorizations or permits, individually or in the aggregate, would not reasonably be expected to have a material adverse effect on the Company and the Subsidiaries, taken as a whole, and neither the Company nor any Subsidiary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the Subsidiaries, taken as a whole, except as described in the Prospectus.</w:t>
      </w:r>
    </w:p>
    <w:p>
      <w:pPr>
        <w:spacing w:after="0" w:line="172" w:lineRule="exact"/>
        <w:rPr>
          <w:rFonts w:ascii="Times New Roman" w:cs="Times New Roman" w:eastAsia="Times New Roman" w:hAnsi="Times New Roman"/>
          <w:sz w:val="18"/>
          <w:szCs w:val="18"/>
          <w:color w:val="auto"/>
        </w:rPr>
      </w:pPr>
    </w:p>
    <w:p>
      <w:pPr>
        <w:ind w:left="-531" w:right="500" w:firstLine="531"/>
        <w:spacing w:after="0" w:line="251" w:lineRule="auto"/>
        <w:tabs>
          <w:tab w:leader="none" w:pos="76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which has certified certain financial statements of the Company and the Subsidiaries, is an independent public accountant as required by the Securities Act and the rules and regulations of the Commission thereunder and the rules and regulations of the Public Company Accounting Oversight Board (United States) (the “</w:t>
      </w:r>
      <w:r>
        <w:rPr>
          <w:rFonts w:ascii="Times New Roman" w:cs="Times New Roman" w:eastAsia="Times New Roman" w:hAnsi="Times New Roman"/>
          <w:sz w:val="18"/>
          <w:szCs w:val="18"/>
          <w:b w:val="1"/>
          <w:bCs w:val="1"/>
          <w:u w:val="single" w:color="auto"/>
          <w:color w:val="auto"/>
        </w:rPr>
        <w:t>PCAOB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531" w:firstLine="531"/>
        <w:spacing w:after="0" w:line="237" w:lineRule="auto"/>
        <w:tabs>
          <w:tab w:leader="none" w:pos="6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or incorporated by reference in the Registration Statement and the Prospectus, together with the related notes, present fairly in all material respects the financial position of the Company and its consolidated Subsidiaries at the dates indicated therein and, in the case of the statements of operations, stockholders’ equity and cash flows of the Company and its consolidated Subsidiaries, for the periods specified therein. The consolidated financial statements of the Company included or incorporated by reference in the Registration Statement and the Prospectus comply in all material respects with the applicable requirements of the Securities Act and have been prepared in conformity with U.S. generally accepted accounting principles (“</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applied on a consistent basis throughout the periods involved, except (i) the unaudited, interim financial statements, which are subject to normal year-end adjustments and do not contain certain footnotes as permitted by the applicable rules of the Commission and (ii) as otherwise disclosed therein. Except as included therein, no historical or pro forma financial statements or supporting schedules are required to be included or incorporated by reference in the Registration Statement or the Prospectus under the Securities Act and the rules and regulations of the Commission thereunder. To the extent included or incorporated by reference in the Registration Statement or the Prospectus, the pro forma financial information and the related notes thereto included or incorporated by reference therein have been prepared in accordance with the applicable requirements of the Securities Act and comply with Regulation G of the Exchange Act, and Item 10 of Regulation S-K of the Securities Act, to the extent applicable, and the assumptions underlying such pro forma financial information are reasonable and are set forth in the Registration Statement and the Prospectus in all material respects. All other information regarding the financial condition or results of operations of the Company or the Subsidiaries included or incorporated by reference in the Registration Statement or the Prospectus has been derived from the accounting records of the Company and its consolidated Subsidiaries and presents fairly in all material respects the information shown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91440</wp:posOffset>
            </wp:positionV>
            <wp:extent cx="715518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09"/>
          </w:cols>
          <w:pgMar w:left="851" w:top="118" w:right="339" w:bottom="1440" w:gutter="0" w:footer="0" w:header="0"/>
        </w:sectPr>
      </w:pPr>
    </w:p>
    <w:bookmarkStart w:id="85" w:name="page86"/>
    <w:bookmarkEnd w:id="85"/>
    <w:p>
      <w:pPr>
        <w:ind w:left="-531" w:firstLine="531"/>
        <w:spacing w:after="0" w:line="239" w:lineRule="auto"/>
        <w:tabs>
          <w:tab w:leader="none" w:pos="8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in all material respects. Except as described in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adversely affected, or is reasonably likely to materially adversely affect, the Company’s internal control over financial reporting.</w:t>
      </w:r>
    </w:p>
    <w:p>
      <w:pPr>
        <w:spacing w:after="0" w:line="172" w:lineRule="exact"/>
        <w:rPr>
          <w:rFonts w:ascii="Times New Roman" w:cs="Times New Roman" w:eastAsia="Times New Roman" w:hAnsi="Times New Roman"/>
          <w:sz w:val="18"/>
          <w:szCs w:val="18"/>
          <w:color w:val="auto"/>
        </w:rPr>
      </w:pPr>
    </w:p>
    <w:p>
      <w:pPr>
        <w:ind w:left="-531" w:firstLine="531"/>
        <w:spacing w:after="0" w:line="243" w:lineRule="auto"/>
        <w:tabs>
          <w:tab w:leader="none" w:pos="76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Prospectus,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is made known to the Company’s principal executive officer and principal financial officer by others within the Company. The Company has conducted evaluations of the effectiveness of its disclosure controls and procedures as required by Rule 13a-15 of the Exchange Act.</w:t>
      </w:r>
    </w:p>
    <w:p>
      <w:pPr>
        <w:spacing w:after="0" w:line="169" w:lineRule="exact"/>
        <w:rPr>
          <w:rFonts w:ascii="Times New Roman" w:cs="Times New Roman" w:eastAsia="Times New Roman" w:hAnsi="Times New Roman"/>
          <w:sz w:val="18"/>
          <w:szCs w:val="18"/>
          <w:color w:val="auto"/>
        </w:rPr>
      </w:pPr>
    </w:p>
    <w:p>
      <w:pPr>
        <w:ind w:left="-531" w:right="20" w:firstLine="531"/>
        <w:spacing w:after="0" w:line="245" w:lineRule="auto"/>
        <w:tabs>
          <w:tab w:leader="none" w:pos="76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Prospectus, the Company has not sold, issued or distributed any shares of Common Stock during the six-month period preceding the date hereof, including any sales pursuant to Rule 144A under, or Regulations D or S of, the Securities Act, other than shares issued pursuant to employee benefit plans, qualified stock option plans or other employee compensation plans or pursuant to outstanding options, rights or warrants.</w:t>
      </w:r>
    </w:p>
    <w:p>
      <w:pPr>
        <w:spacing w:after="0" w:line="168" w:lineRule="exact"/>
        <w:rPr>
          <w:rFonts w:ascii="Times New Roman" w:cs="Times New Roman" w:eastAsia="Times New Roman" w:hAnsi="Times New Roman"/>
          <w:sz w:val="18"/>
          <w:szCs w:val="18"/>
          <w:color w:val="auto"/>
        </w:rPr>
      </w:pPr>
    </w:p>
    <w:p>
      <w:pPr>
        <w:ind w:left="-531" w:right="560" w:firstLine="531"/>
        <w:spacing w:after="0" w:line="267" w:lineRule="auto"/>
        <w:tabs>
          <w:tab w:leader="none" w:pos="7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nor any Subsidiary has any securities rated by any “nationally recognized statistical rating organization,” as such term is defined in Section 3(a)(62) of the Exchange Act.</w:t>
      </w:r>
    </w:p>
    <w:p>
      <w:pPr>
        <w:spacing w:after="0" w:line="147" w:lineRule="exact"/>
        <w:rPr>
          <w:rFonts w:ascii="Times New Roman" w:cs="Times New Roman" w:eastAsia="Times New Roman" w:hAnsi="Times New Roman"/>
          <w:sz w:val="18"/>
          <w:szCs w:val="18"/>
          <w:color w:val="auto"/>
        </w:rPr>
      </w:pPr>
    </w:p>
    <w:p>
      <w:pPr>
        <w:ind w:left="-531" w:right="20" w:firstLine="531"/>
        <w:spacing w:after="0"/>
        <w:tabs>
          <w:tab w:leader="none" w:pos="7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has filed all federal, state, local and foreign tax returns required to be filed by them 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have a material adverse effect, or, except as currently being contested in good faith and for which reserves required by GAAP have been created in the financial statements of the Company), and no tax deficiency has been determined adversely to the Company or any Subsidiary which has had (nor does the Company nor any Subsidiary have any notice or knowledge of any tax deficiency which could reasonably be expected to be determined adversely to the Company or the Subsidiaries and which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88900</wp:posOffset>
            </wp:positionV>
            <wp:extent cx="715518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9"/>
          </w:cols>
          <w:pgMar w:left="851" w:top="118" w:right="319" w:bottom="1440" w:gutter="0" w:footer="0" w:header="0"/>
        </w:sectPr>
      </w:pPr>
    </w:p>
    <w:bookmarkStart w:id="86" w:name="page87"/>
    <w:bookmarkEnd w:id="86"/>
    <w:p>
      <w:pPr>
        <w:jc w:val="both"/>
        <w:ind w:left="-531" w:firstLine="531"/>
        <w:spacing w:after="0" w:line="242" w:lineRule="auto"/>
        <w:tabs>
          <w:tab w:leader="none" w:pos="69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has complied, and are presently in compliance, with its cybersecurity and privacy policies, to the extent such policies exist, and the Company’s and each Subsidiary’s (as applicable) obligations to third-parties that have been specifically identified and expressly agreed to in writing by the Company (and each Subsidiary, as applicable) regarding the collection, use, transfer, storage, protection, disposal and disclosure by the Company and each Subsidiary of personally identifiable information, except to the extent that the failure to do so would not reasonably be expected to have a material adverse effect.</w:t>
      </w:r>
    </w:p>
    <w:p>
      <w:pPr>
        <w:spacing w:after="0" w:line="172" w:lineRule="exact"/>
        <w:rPr>
          <w:rFonts w:ascii="Times New Roman" w:cs="Times New Roman" w:eastAsia="Times New Roman" w:hAnsi="Times New Roman"/>
          <w:sz w:val="18"/>
          <w:szCs w:val="18"/>
          <w:color w:val="auto"/>
        </w:rPr>
      </w:pPr>
    </w:p>
    <w:p>
      <w:pPr>
        <w:ind w:left="-531" w:right="60" w:firstLine="531"/>
        <w:spacing w:after="0" w:line="251" w:lineRule="auto"/>
        <w:tabs>
          <w:tab w:leader="none" w:pos="7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61" w:lineRule="exact"/>
        <w:rPr>
          <w:rFonts w:ascii="Times New Roman" w:cs="Times New Roman" w:eastAsia="Times New Roman" w:hAnsi="Times New Roman"/>
          <w:sz w:val="18"/>
          <w:szCs w:val="18"/>
          <w:color w:val="auto"/>
        </w:rPr>
      </w:pPr>
    </w:p>
    <w:p>
      <w:pPr>
        <w:ind w:left="-531" w:right="60" w:firstLine="531"/>
        <w:spacing w:after="0" w:line="239" w:lineRule="auto"/>
        <w:tabs>
          <w:tab w:leader="none" w:pos="67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Common Stock is registered pursuant to Section 12(b) or 12(g) of the Exchange Act and is listed on the Exchange,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All of the Placement Shares that have been or may be sold under this Agreement have been approved for listing on the Exchange, subject to official notice of issuance; the Company has taken all necessary actions to ensure that, upon and at all times after the Exchange shall have approved the Placement Shares for listing, it will be in compliance with all applicable corporate governance requirements set forth in the Exchange’s listing rules that are then in effect.</w:t>
      </w:r>
    </w:p>
    <w:p>
      <w:pPr>
        <w:spacing w:after="0" w:line="176" w:lineRule="exact"/>
        <w:rPr>
          <w:rFonts w:ascii="Times New Roman" w:cs="Times New Roman" w:eastAsia="Times New Roman" w:hAnsi="Times New Roman"/>
          <w:sz w:val="18"/>
          <w:szCs w:val="18"/>
          <w:color w:val="auto"/>
        </w:rPr>
      </w:pPr>
    </w:p>
    <w:p>
      <w:pPr>
        <w:ind w:left="-531" w:right="40" w:firstLine="531"/>
        <w:spacing w:after="0" w:line="267" w:lineRule="auto"/>
        <w:tabs>
          <w:tab w:leader="none" w:pos="76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Subsidiaries, the Company, directly or indirectly, owns no capital stock or other equity or ownership or proprietary interest in any corporation, partnership, association, trust or other entity.</w:t>
      </w:r>
    </w:p>
    <w:p>
      <w:pPr>
        <w:spacing w:after="0" w:line="147" w:lineRule="exact"/>
        <w:rPr>
          <w:rFonts w:ascii="Times New Roman" w:cs="Times New Roman" w:eastAsia="Times New Roman" w:hAnsi="Times New Roman"/>
          <w:sz w:val="18"/>
          <w:szCs w:val="18"/>
          <w:color w:val="auto"/>
        </w:rPr>
      </w:pPr>
    </w:p>
    <w:p>
      <w:pPr>
        <w:ind w:left="-531" w:right="200" w:firstLine="531"/>
        <w:spacing w:after="0" w:line="267" w:lineRule="auto"/>
        <w:tabs>
          <w:tab w:leader="none" w:pos="76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Cowen, there is no broker, finder or other party that is entitled to receive from the Company any brokerage or finder’s fee or other fee or commission as a result of the sale of Placement Shares pursuant to this Agreement.</w:t>
      </w:r>
    </w:p>
    <w:p>
      <w:pPr>
        <w:spacing w:after="0" w:line="147" w:lineRule="exact"/>
        <w:rPr>
          <w:rFonts w:ascii="Times New Roman" w:cs="Times New Roman" w:eastAsia="Times New Roman" w:hAnsi="Times New Roman"/>
          <w:sz w:val="18"/>
          <w:szCs w:val="18"/>
          <w:color w:val="auto"/>
        </w:rPr>
      </w:pPr>
    </w:p>
    <w:p>
      <w:pPr>
        <w:ind w:left="-531" w:firstLine="531"/>
        <w:spacing w:after="0" w:line="267" w:lineRule="auto"/>
        <w:tabs>
          <w:tab w:leader="none" w:pos="8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directly or indirectly, any action designed to or that might be reasonably expected to cause or result in stabilization or manipulation of the price of any security of the Company to facilitate the sale or resale of the Placement Shares.</w:t>
      </w:r>
    </w:p>
    <w:p>
      <w:pPr>
        <w:spacing w:after="0" w:line="147" w:lineRule="exact"/>
        <w:rPr>
          <w:rFonts w:ascii="Times New Roman" w:cs="Times New Roman" w:eastAsia="Times New Roman" w:hAnsi="Times New Roman"/>
          <w:sz w:val="18"/>
          <w:szCs w:val="18"/>
          <w:color w:val="auto"/>
        </w:rPr>
      </w:pPr>
    </w:p>
    <w:p>
      <w:pPr>
        <w:ind w:left="-531" w:right="20" w:firstLine="531"/>
        <w:spacing w:after="0" w:line="243" w:lineRule="auto"/>
        <w:tabs>
          <w:tab w:leader="none" w:pos="7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each Representation Date,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69" w:lineRule="exact"/>
        <w:rPr>
          <w:rFonts w:ascii="Times New Roman" w:cs="Times New Roman" w:eastAsia="Times New Roman" w:hAnsi="Times New Roman"/>
          <w:sz w:val="18"/>
          <w:szCs w:val="18"/>
          <w:color w:val="auto"/>
        </w:rPr>
      </w:pPr>
    </w:p>
    <w:p>
      <w:pPr>
        <w:ind w:left="-531" w:right="20" w:firstLine="531"/>
        <w:spacing w:after="0" w:line="267" w:lineRule="auto"/>
        <w:tabs>
          <w:tab w:leader="none" w:pos="7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business relationships or related-party transactions involving the Company or any Subsidiary or any other person required to be described in the Prospectus which have not been described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72390</wp:posOffset>
            </wp:positionV>
            <wp:extent cx="715518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09"/>
          </w:cols>
          <w:pgMar w:left="851" w:top="118" w:right="339" w:bottom="1440" w:gutter="0" w:footer="0" w:header="0"/>
        </w:sectPr>
      </w:pPr>
    </w:p>
    <w:bookmarkStart w:id="87" w:name="page88"/>
    <w:bookmarkEnd w:id="87"/>
    <w:p>
      <w:pPr>
        <w:ind w:firstLine="531"/>
        <w:spacing w:after="0" w:line="250" w:lineRule="auto"/>
        <w:tabs>
          <w:tab w:leader="none" w:pos="12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163" w:lineRule="exact"/>
        <w:rPr>
          <w:sz w:val="20"/>
          <w:szCs w:val="20"/>
          <w:color w:val="auto"/>
        </w:rPr>
      </w:pPr>
    </w:p>
    <w:p>
      <w:pPr>
        <w:ind w:right="420" w:firstLine="531"/>
        <w:spacing w:after="0" w:line="267" w:lineRule="auto"/>
        <w:tabs>
          <w:tab w:leader="none" w:pos="13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relied upon Cowen or legal counsel for Cowen for any legal, tax or accounting advice in connection with the offering and sale of the Placement Shares.</w:t>
      </w:r>
    </w:p>
    <w:p>
      <w:pPr>
        <w:spacing w:after="0" w:line="147" w:lineRule="exact"/>
        <w:rPr>
          <w:rFonts w:ascii="Times New Roman" w:cs="Times New Roman" w:eastAsia="Times New Roman" w:hAnsi="Times New Roman"/>
          <w:sz w:val="18"/>
          <w:szCs w:val="18"/>
          <w:color w:val="auto"/>
        </w:rPr>
      </w:pPr>
    </w:p>
    <w:p>
      <w:pPr>
        <w:ind w:firstLine="531"/>
        <w:spacing w:after="0" w:line="239" w:lineRule="auto"/>
        <w:tabs>
          <w:tab w:leader="none" w:pos="138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cs="Times New Roman" w:eastAsia="Times New Roman" w:hAnsi="Times New Roman"/>
          <w:sz w:val="18"/>
          <w:szCs w:val="18"/>
          <w:b w:val="1"/>
          <w:bCs w:val="1"/>
          <w:u w:val="single" w:color="auto"/>
          <w:color w:val="auto"/>
        </w:rPr>
        <w:t>Export and Import Laws</w:t>
      </w:r>
      <w:r>
        <w:rPr>
          <w:rFonts w:ascii="Times New Roman" w:cs="Times New Roman" w:eastAsia="Times New Roman" w:hAnsi="Times New Roman"/>
          <w:sz w:val="18"/>
          <w:szCs w:val="18"/>
          <w:color w:val="auto"/>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Cowen or to counsel for Cowen shall be deemed to be a representation and warranty by the Company to Cowen as to the matters set forth therein.</w:t>
      </w:r>
    </w:p>
    <w:p>
      <w:pPr>
        <w:spacing w:after="0" w:line="148"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18"/>
          <w:szCs w:val="18"/>
          <w:color w:val="auto"/>
        </w:rPr>
        <w:t xml:space="preserve">The Company acknowledges that Cowen and, for purposes of the opinions to be delivered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counsel to the Company and counsel to Cowen, will rely upon the accuracy and truthfulness of the foregoing representations and hereby consents to such reliance.</w:t>
      </w:r>
    </w:p>
    <w:p>
      <w:pPr>
        <w:spacing w:after="0" w:line="148" w:lineRule="exact"/>
        <w:rPr>
          <w:sz w:val="20"/>
          <w:szCs w:val="20"/>
          <w:color w:val="auto"/>
        </w:rPr>
      </w:pPr>
    </w:p>
    <w:p>
      <w:pPr>
        <w:ind w:left="1120" w:hanging="589"/>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Cowen that:</w:t>
      </w:r>
    </w:p>
    <w:p>
      <w:pPr>
        <w:spacing w:after="0" w:line="199" w:lineRule="exact"/>
        <w:rPr>
          <w:sz w:val="20"/>
          <w:szCs w:val="20"/>
          <w:color w:val="auto"/>
        </w:rPr>
      </w:pPr>
    </w:p>
    <w:p>
      <w:pPr>
        <w:ind w:right="20" w:firstLine="531"/>
        <w:spacing w:after="0" w:line="236" w:lineRule="auto"/>
        <w:tabs>
          <w:tab w:leader="none" w:pos="119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Cowen under the Securities Act (including in circumstances where such requirement may be satisfied pursuant to Rule 172 under the Securities Act),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insofar as it relates to the Placement Shares or the transactions by this Agreement, (ii) the Company will prepare and file with the Commission, promptly upon Cowen’s reasonable request, any amendments or supplements to the Registration Statement or Prospectus, insofar as it relates to the Placement Shares or the transactions by this Agreement, that, in Cowen’s reasonable opinion, may be necessary or advisable to comply with law in connection with the distribution of the Placement Shares by Cowen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Cowen to make such request shall not relieve the Company of any obligation or liability hereunder, or affect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Cowen within a reasonable period of time before the filing and Cowen has not reasonably objected in writing thereto within two (2) Business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failure of Cowen to make such objection shall not relieve the Company of any obligation or liability hereunder, or affect Cowen’s right to rely on the representations and warranties made by the Company in this Agreement, (B) the Company has no obligation to provide Cowen any advance copy of such filing or to provide Cowen an opportunity to object to such filing if the filing does not name Cowen and does not relate to the transaction herein provided, and (C) the only remedy Cowen shall have with respect to the failure by the Company to provide Cowen with such copy of the filing of such amendment or supplement despite Cowen’s objection shall be to cease making sales under this Agreement) and the Company will furnish to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Cowen if at any time the Registration Statement shall no longer be effective as a result of the passage of time pursuant to Rule 415 under the Securities Act or otherwise. Prior to the initial sale of any Placement Shares, the Company shall file a final Prospectus pursuant to Rule 424(b) relating to the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96520</wp:posOffset>
            </wp:positionV>
            <wp:extent cx="715518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jc w:val="both"/>
        <w:ind w:left="-531" w:firstLine="531"/>
        <w:spacing w:after="0" w:line="242" w:lineRule="auto"/>
        <w:tabs>
          <w:tab w:leader="none" w:pos="67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72" w:lineRule="exact"/>
        <w:rPr>
          <w:rFonts w:ascii="Times New Roman" w:cs="Times New Roman" w:eastAsia="Times New Roman" w:hAnsi="Times New Roman"/>
          <w:sz w:val="18"/>
          <w:szCs w:val="18"/>
          <w:color w:val="auto"/>
        </w:rPr>
      </w:pPr>
    </w:p>
    <w:p>
      <w:pPr>
        <w:ind w:left="-531" w:right="60" w:firstLine="531"/>
        <w:spacing w:after="0" w:line="238" w:lineRule="auto"/>
        <w:tabs>
          <w:tab w:leader="none" w:pos="66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a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Cowen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178" w:lineRule="exact"/>
        <w:rPr>
          <w:rFonts w:ascii="Times New Roman" w:cs="Times New Roman" w:eastAsia="Times New Roman" w:hAnsi="Times New Roman"/>
          <w:sz w:val="18"/>
          <w:szCs w:val="18"/>
          <w:color w:val="auto"/>
        </w:rPr>
      </w:pPr>
    </w:p>
    <w:p>
      <w:pPr>
        <w:ind w:left="-531" w:right="20" w:firstLine="531"/>
        <w:spacing w:after="0" w:line="241" w:lineRule="auto"/>
        <w:tabs>
          <w:tab w:leader="none" w:pos="67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xml:space="preserve">. During any period in which the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Cowen reasonably designates and to continue such qualifications in effect so long as required for the distribution of the Placement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in connection therewith to qualify as a foreign corporation or dealer in securities or file a general consent to service of process in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88265</wp:posOffset>
            </wp:positionV>
            <wp:extent cx="7155180"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629"/>
          </w:cols>
          <w:pgMar w:left="851" w:top="118" w:right="419" w:bottom="1440" w:gutter="0" w:footer="0" w:header="0"/>
        </w:sectPr>
      </w:pPr>
    </w:p>
    <w:bookmarkStart w:id="89" w:name="page90"/>
    <w:bookmarkEnd w:id="89"/>
    <w:p>
      <w:pPr>
        <w:ind w:left="10" w:firstLine="531"/>
        <w:spacing w:after="0" w:line="238" w:lineRule="auto"/>
        <w:tabs>
          <w:tab w:leader="none" w:pos="120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Cowen to the extent such document is available on</w:t>
      </w:r>
    </w:p>
    <w:p>
      <w:pPr>
        <w:spacing w:after="0" w:line="1" w:lineRule="exact"/>
        <w:rPr>
          <w:rFonts w:ascii="Times New Roman" w:cs="Times New Roman" w:eastAsia="Times New Roman" w:hAnsi="Times New Roman"/>
          <w:sz w:val="18"/>
          <w:szCs w:val="18"/>
          <w:color w:val="auto"/>
        </w:rPr>
      </w:pPr>
    </w:p>
    <w:p>
      <w:pPr>
        <w:ind w:left="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EDGAR.</w:t>
      </w:r>
    </w:p>
    <w:p>
      <w:pPr>
        <w:spacing w:after="0" w:line="178" w:lineRule="exact"/>
        <w:rPr>
          <w:rFonts w:ascii="Times New Roman" w:cs="Times New Roman" w:eastAsia="Times New Roman" w:hAnsi="Times New Roman"/>
          <w:sz w:val="18"/>
          <w:szCs w:val="18"/>
          <w:color w:val="auto"/>
        </w:rPr>
      </w:pPr>
    </w:p>
    <w:p>
      <w:pPr>
        <w:ind w:left="10" w:right="240" w:firstLine="531"/>
        <w:spacing w:after="0" w:line="251" w:lineRule="auto"/>
        <w:tabs>
          <w:tab w:leader="none" w:pos="118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which requirement may be satisfied by publicly filing the required information on EDGAR.</w:t>
      </w:r>
    </w:p>
    <w:p>
      <w:pPr>
        <w:spacing w:after="0" w:line="161" w:lineRule="exact"/>
        <w:rPr>
          <w:rFonts w:ascii="Times New Roman" w:cs="Times New Roman" w:eastAsia="Times New Roman" w:hAnsi="Times New Roman"/>
          <w:sz w:val="18"/>
          <w:szCs w:val="18"/>
          <w:color w:val="auto"/>
        </w:rPr>
      </w:pPr>
    </w:p>
    <w:p>
      <w:pPr>
        <w:ind w:left="10" w:right="20" w:firstLine="531"/>
        <w:spacing w:after="0" w:line="253" w:lineRule="auto"/>
        <w:tabs>
          <w:tab w:leader="none" w:pos="1212"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cs="Times New Roman" w:eastAsia="Times New Roman" w:hAnsi="Times New Roman"/>
          <w:sz w:val="17"/>
          <w:szCs w:val="17"/>
          <w:u w:val="single" w:color="auto"/>
          <w:color w:val="auto"/>
        </w:rPr>
        <w:t>Section 7(d)</w:t>
      </w:r>
      <w:r>
        <w:rPr>
          <w:rFonts w:ascii="Times New Roman" w:cs="Times New Roman" w:eastAsia="Times New Roman" w:hAnsi="Times New Roman"/>
          <w:sz w:val="17"/>
          <w:szCs w:val="17"/>
          <w:color w:val="auto"/>
        </w:rPr>
        <w:t xml:space="preserve"> of this Agreement, including filing fees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fees or disbursements of counsel for Cowen in connection therewith shall be paid by Cowen except as set forth in (vii) below),</w:t>
      </w:r>
    </w:p>
    <w:p>
      <w:pPr>
        <w:ind w:left="10" w:right="20" w:hanging="10"/>
        <w:spacing w:after="0" w:line="237" w:lineRule="auto"/>
        <w:tabs>
          <w:tab w:leader="none" w:pos="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printing and delivery to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Cowen’s outside counsel for filings with the FINRA Corporate Financing Department, such legal expense reimbursement not to exceed $10,000 in the aggregate and (viii) the reasonable fees and disbursements of Cowen’s counsel in an amount not to exceed $75,000 in connection with the entry into this Agreement and the Registration Statement.</w:t>
      </w:r>
    </w:p>
    <w:p>
      <w:pPr>
        <w:spacing w:after="0" w:line="174" w:lineRule="exact"/>
        <w:rPr>
          <w:rFonts w:ascii="Times New Roman" w:cs="Times New Roman" w:eastAsia="Times New Roman" w:hAnsi="Times New Roman"/>
          <w:sz w:val="18"/>
          <w:szCs w:val="18"/>
          <w:color w:val="auto"/>
        </w:rPr>
      </w:pPr>
    </w:p>
    <w:p>
      <w:pPr>
        <w:ind w:left="1210" w:hanging="669"/>
        <w:spacing w:after="0"/>
        <w:tabs>
          <w:tab w:leader="none" w:pos="121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198" w:lineRule="exact"/>
        <w:rPr>
          <w:rFonts w:ascii="Times New Roman" w:cs="Times New Roman" w:eastAsia="Times New Roman" w:hAnsi="Times New Roman"/>
          <w:sz w:val="18"/>
          <w:szCs w:val="18"/>
          <w:color w:val="auto"/>
        </w:rPr>
      </w:pPr>
    </w:p>
    <w:p>
      <w:pPr>
        <w:ind w:left="10" w:right="40" w:firstLine="531"/>
        <w:spacing w:after="0" w:line="237" w:lineRule="auto"/>
        <w:tabs>
          <w:tab w:leader="none" w:pos="117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During the pendency of any Placement Notice given hereunder, and for three (3) trading days following the termination of any Placement Notice given hereunder, the Company shall provide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notice shall not be required in connection with (i) the issuance, grant or sale of Common Stock, options to purchase shares of Common Stock or Common Stock issuable upon the exercise of options or other equity awards pursuant to any stock option, stock bonus or other stock plan or arrangement described in the Prospectus or pursuant to any qualifying inducement award under Nasdaq rules,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Cowen in advance, (iv) the issuance or sale of any shares of common stock issuable upon the exchange, conversion or redemption of securities or the exercise of warrants, options or other rights in effect or outstanding, or (v) the issuance or sale of shares of Common Stock, or securities convertible into or exercisable for Common Stock, offered and sold in a privately negotiated transaction to vendors, customers, investors, strategic partners or potential strategic partners, collaborators, joint venturers, equipment leasing providers, financial institutions or other lenders in connection with debt arrangements, or in connection with a merger, acquisition or similar activities, and otherwise conducted in a manner so as not to be integrated with the offering of Common Stock hereby. For avoidance of doubt, nothing herein shall be construed to restrict the Company’s ability, or require the Company to provide notice to Cowen, to file a registration statement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15518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50"/>
          </w:cols>
          <w:pgMar w:left="310" w:top="118" w:right="339" w:bottom="1440" w:gutter="0" w:footer="0" w:header="0"/>
        </w:sectPr>
      </w:pPr>
    </w:p>
    <w:bookmarkStart w:id="90" w:name="page91"/>
    <w:bookmarkEnd w:id="90"/>
    <w:p>
      <w:pPr>
        <w:ind w:left="10" w:right="200" w:firstLine="531"/>
        <w:spacing w:after="0" w:line="250" w:lineRule="auto"/>
        <w:tabs>
          <w:tab w:leader="none" w:pos="117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Cowen promptly after it shall have received notice or obtained knowledge thereof, of any information or fact that would alter or affect in any material respect any opinion, certificate, letter or other document provided to Cowen pursuant to this Agreement.</w:t>
      </w:r>
    </w:p>
    <w:p>
      <w:pPr>
        <w:spacing w:after="0" w:line="163" w:lineRule="exact"/>
        <w:rPr>
          <w:rFonts w:ascii="Times New Roman" w:cs="Times New Roman" w:eastAsia="Times New Roman" w:hAnsi="Times New Roman"/>
          <w:sz w:val="18"/>
          <w:szCs w:val="18"/>
          <w:color w:val="auto"/>
        </w:rPr>
      </w:pPr>
    </w:p>
    <w:p>
      <w:pPr>
        <w:ind w:left="10" w:right="120" w:firstLine="531"/>
        <w:spacing w:after="0" w:line="251" w:lineRule="auto"/>
        <w:tabs>
          <w:tab w:leader="none" w:pos="121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Cowen or its agents in connection with the transactions contemplated hereby, including, without limitation, providing information and making available documents and senior corporate officers, during regular business hours and at the Company’s principal offices, as Cowen may reasonably request.</w:t>
      </w:r>
    </w:p>
    <w:p>
      <w:pPr>
        <w:spacing w:after="0" w:line="161" w:lineRule="exact"/>
        <w:rPr>
          <w:rFonts w:ascii="Times New Roman" w:cs="Times New Roman" w:eastAsia="Times New Roman" w:hAnsi="Times New Roman"/>
          <w:sz w:val="18"/>
          <w:szCs w:val="18"/>
          <w:color w:val="auto"/>
        </w:rPr>
      </w:pPr>
    </w:p>
    <w:p>
      <w:pPr>
        <w:ind w:left="10" w:right="100" w:firstLine="531"/>
        <w:spacing w:after="0" w:line="238" w:lineRule="auto"/>
        <w:tabs>
          <w:tab w:leader="none" w:pos="117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xml:space="preserve">”), which prospectus supplement will set forth, within the relevant period, the amount of Placement Shares sold through Cowen, the Net Proceeds to the Company and the compensation payable by the Company to Cowen with respect to such Placement Shares (provided that the Company may satisfy its obligations under this </w:t>
      </w:r>
      <w:r>
        <w:rPr>
          <w:rFonts w:ascii="Times New Roman" w:cs="Times New Roman" w:eastAsia="Times New Roman" w:hAnsi="Times New Roman"/>
          <w:sz w:val="18"/>
          <w:szCs w:val="18"/>
          <w:u w:val="single" w:color="auto"/>
          <w:color w:val="auto"/>
        </w:rPr>
        <w:t>Section 7(l)(i)</w:t>
      </w:r>
      <w:r>
        <w:rPr>
          <w:rFonts w:ascii="Times New Roman" w:cs="Times New Roman" w:eastAsia="Times New Roman" w:hAnsi="Times New Roman"/>
          <w:sz w:val="18"/>
          <w:szCs w:val="18"/>
          <w:color w:val="auto"/>
        </w:rPr>
        <w:t xml:space="preserve"> by effecting a filing in accordance with the Exchange Act with respect to such information),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Cowen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w:t>
      </w:r>
    </w:p>
    <w:p>
      <w:pPr>
        <w:spacing w:after="0" w:line="175" w:lineRule="exact"/>
        <w:rPr>
          <w:rFonts w:ascii="Times New Roman" w:cs="Times New Roman" w:eastAsia="Times New Roman" w:hAnsi="Times New Roman"/>
          <w:sz w:val="18"/>
          <w:szCs w:val="18"/>
          <w:color w:val="auto"/>
        </w:rPr>
      </w:pPr>
    </w:p>
    <w:p>
      <w:pPr>
        <w:ind w:left="10" w:firstLine="531"/>
        <w:spacing w:after="0" w:line="239" w:lineRule="auto"/>
        <w:tabs>
          <w:tab w:leader="none" w:pos="126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xml:space="preserve">. On or prior to the First Delivery Date and each time the Company (i)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this Agreement or filed solely for the purpose of reducing the amount of Placement Shares that may be sold pursuant to this Agreement or suspending the sale of Placement Shares under this Agreement) by means of a post-effective amendment, sticker, or supplement but not by means of incorporation of document(s) by reference to the Registration Statement or the Prospectus relating to the Placement Shares;</w:t>
      </w:r>
    </w:p>
    <w:p>
      <w:pPr>
        <w:spacing w:after="0" w:line="3" w:lineRule="exact"/>
        <w:rPr>
          <w:rFonts w:ascii="Times New Roman" w:cs="Times New Roman" w:eastAsia="Times New Roman" w:hAnsi="Times New Roman"/>
          <w:sz w:val="18"/>
          <w:szCs w:val="18"/>
          <w:color w:val="auto"/>
        </w:rPr>
      </w:pPr>
    </w:p>
    <w:p>
      <w:pPr>
        <w:ind w:left="10" w:right="80" w:hanging="10"/>
        <w:spacing w:after="0" w:line="236" w:lineRule="auto"/>
        <w:tabs>
          <w:tab w:leader="none" w:pos="27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(the “</w:t>
      </w:r>
      <w:r>
        <w:rPr>
          <w:rFonts w:ascii="Times New Roman" w:cs="Times New Roman" w:eastAsia="Times New Roman" w:hAnsi="Times New Roman"/>
          <w:sz w:val="18"/>
          <w:szCs w:val="18"/>
          <w:b w:val="1"/>
          <w:bCs w:val="1"/>
          <w:u w:val="single" w:color="auto"/>
          <w:color w:val="auto"/>
        </w:rPr>
        <w:t>10-K Representation Date</w:t>
      </w:r>
      <w:r>
        <w:rPr>
          <w:rFonts w:ascii="Times New Roman" w:cs="Times New Roman" w:eastAsia="Times New Roman" w:hAnsi="Times New Roman"/>
          <w:sz w:val="18"/>
          <w:szCs w:val="18"/>
          <w:color w:val="auto"/>
        </w:rPr>
        <w:t xml:space="preserve">”); (iii) files its quarterly reports on Form 10-Q under the Exchange Act; or (iv) files a current report on Form 8-K containing amended financial information (other than an earnings release and other than information “furnished” pursuant to Items 2.02 or 7.01 of Form 8-K) under the Exchange Act and Cowen reasonably determines that the information contained in such current report on Form 8-K is material (each date of filing of one or more of the documents referred to in clauses (i) through (iv) shall be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Bring-Down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furnish Cowen with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within three (3) Trading Days of any Bring-Down Date, if requested by Cowen. The requirement to provide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waiver shall not apply for any Bring-Down Date on which the Company files its Annual Report on Form 10-K. Notwithstanding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foregoing, if the Company subsequently decides to sell Placement Shares following a Bring-Down Date when the Company relied on such waiver and did not provide Cowen with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then before the Company delivers the Placement Notice or Cowen sells any Placement Shares, the Company shall provide Cowen with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dated the date of the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15518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50"/>
          </w:cols>
          <w:pgMar w:left="310" w:top="118" w:right="339" w:bottom="1440" w:gutter="0" w:footer="0" w:header="0"/>
        </w:sectPr>
      </w:pPr>
    </w:p>
    <w:bookmarkStart w:id="91" w:name="page92"/>
    <w:bookmarkEnd w:id="91"/>
    <w:p>
      <w:pPr>
        <w:ind w:left="10" w:firstLine="531"/>
        <w:spacing w:after="0" w:line="238" w:lineRule="auto"/>
        <w:tabs>
          <w:tab w:leader="none" w:pos="121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Legal Opinion</w:t>
      </w:r>
      <w:r>
        <w:rPr>
          <w:rFonts w:ascii="Times New Roman" w:cs="Times New Roman" w:eastAsia="Times New Roman" w:hAnsi="Times New Roman"/>
          <w:sz w:val="18"/>
          <w:szCs w:val="18"/>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the Company shall cause to be furnished to Cowen a written opinion and negative assurance letter of Goodwin Procter LLP (collectively with Company IP Counsel (as defined below),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xml:space="preserve">”), or other counsel reasonably satisfactory to Cowen, in form and substance satisfactory to Cowen and its counsel, dated the date that such certificate is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shall be required to furnish to Cowen no more than one opinion or negative assurance letter from Company Counsel per quarter,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lieu of such opinions and negative assurance letters for subsequent Bring-Down Dates, counsel may furnish Cowen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Cowen may rely on a prior opinion or negative assurance letter delivered under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to the same extent as if it were dated the date of such Reliance Letter (except that statements in such prior opinion or negative assurance letter shall be deemed to relate to the Registration Statement and the Prospectus as amended or supplemented at such Bring-Down Date).</w:t>
      </w:r>
    </w:p>
    <w:p>
      <w:pPr>
        <w:spacing w:after="0" w:line="177" w:lineRule="exact"/>
        <w:rPr>
          <w:rFonts w:ascii="Times New Roman" w:cs="Times New Roman" w:eastAsia="Times New Roman" w:hAnsi="Times New Roman"/>
          <w:sz w:val="18"/>
          <w:szCs w:val="18"/>
          <w:color w:val="auto"/>
        </w:rPr>
      </w:pPr>
    </w:p>
    <w:p>
      <w:pPr>
        <w:ind w:left="10" w:firstLine="531"/>
        <w:spacing w:after="0" w:line="239" w:lineRule="auto"/>
        <w:tabs>
          <w:tab w:leader="none" w:pos="121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Opinion</w:t>
      </w:r>
      <w:r>
        <w:rPr>
          <w:rFonts w:ascii="Times New Roman" w:cs="Times New Roman" w:eastAsia="Times New Roman" w:hAnsi="Times New Roman"/>
          <w:sz w:val="18"/>
          <w:szCs w:val="18"/>
          <w:color w:val="auto"/>
        </w:rPr>
        <w:t xml:space="preserve">. On or prior to the First Delivery Date and within three (3) Trading Days of each 10-K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the Company shall cause to be furnished to Cowen a written opinion and negative assurance letter of Clark + Elbing LLP (“</w:t>
      </w:r>
      <w:r>
        <w:rPr>
          <w:rFonts w:ascii="Times New Roman" w:cs="Times New Roman" w:eastAsia="Times New Roman" w:hAnsi="Times New Roman"/>
          <w:sz w:val="18"/>
          <w:szCs w:val="18"/>
          <w:b w:val="1"/>
          <w:bCs w:val="1"/>
          <w:u w:val="single" w:color="auto"/>
          <w:color w:val="auto"/>
        </w:rPr>
        <w:t>Company IP Counsel</w:t>
      </w:r>
      <w:r>
        <w:rPr>
          <w:rFonts w:ascii="Times New Roman" w:cs="Times New Roman" w:eastAsia="Times New Roman" w:hAnsi="Times New Roman"/>
          <w:sz w:val="18"/>
          <w:szCs w:val="18"/>
          <w:color w:val="auto"/>
        </w:rPr>
        <w:t xml:space="preserve">”), or other counsel reasonably satisfactory to Cowen, in form and substance satisfactory to Cowen and its counsel, with respect to intellectual property matters, dated the date that such certificate is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lieu of such opinions and negative assurance letters for subsequent 10-K Representation Dates, counsel may furnish Cowen with a Reliance Letter to the effect that Cowen may rely on a prior opinion or negative assurance letter delivered under this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to the same extent as if it were dated the date of such Reliance Letter (except that statements in such prior opinion or negative assurance letter shall be deemed to relate to the Registration Statement and the Prospectus as amended or supplemented at such Representation Date).</w:t>
      </w:r>
    </w:p>
    <w:p>
      <w:pPr>
        <w:spacing w:after="0" w:line="173" w:lineRule="exact"/>
        <w:rPr>
          <w:rFonts w:ascii="Times New Roman" w:cs="Times New Roman" w:eastAsia="Times New Roman" w:hAnsi="Times New Roman"/>
          <w:sz w:val="18"/>
          <w:szCs w:val="18"/>
          <w:color w:val="auto"/>
        </w:rPr>
      </w:pPr>
    </w:p>
    <w:p>
      <w:pPr>
        <w:ind w:left="10" w:right="20" w:firstLine="531"/>
        <w:spacing w:after="0" w:line="239" w:lineRule="auto"/>
        <w:tabs>
          <w:tab w:leader="none" w:pos="121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the Company shall cause its independent accountants to furnish Cowen letters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dated the date the Comfort Letter is delivered, in form and substance reasonably satisfactory to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Cowen in connection with registered public offerings (the first such letter,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ind w:left="10" w:right="20" w:hanging="10"/>
        <w:spacing w:after="0" w:line="244" w:lineRule="auto"/>
        <w:tabs>
          <w:tab w:leader="none" w:pos="32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15518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50"/>
          </w:cols>
          <w:pgMar w:left="310" w:top="118" w:right="339" w:bottom="1440" w:gutter="0" w:footer="0" w:header="0"/>
        </w:sectPr>
      </w:pPr>
    </w:p>
    <w:bookmarkStart w:id="92" w:name="page93"/>
    <w:bookmarkEnd w:id="92"/>
    <w:p>
      <w:pPr>
        <w:ind w:left="-531" w:right="220" w:firstLine="531"/>
        <w:spacing w:after="0" w:line="242" w:lineRule="auto"/>
        <w:tabs>
          <w:tab w:leader="none" w:pos="6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xml:space="preserve">. The Company will not, directly or indirectly, (i) take any action designed to cause or result in, or that constitutes or would reasonably be expected to constitute, the stabilization or manipulation of the price of any security of the Company to facilitate the sale or resale of the Placement Shares or (ii) sell, bid for, or purchase the Placement Shares, or pay anyone any compensation for soliciting purchases of the Placement Shares other than Cowen;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bid for and purchase shares of its Common Stock in accordance with Rule 10b-18 under the Exchange Act.</w:t>
      </w:r>
    </w:p>
    <w:p>
      <w:pPr>
        <w:spacing w:after="0" w:line="172" w:lineRule="exact"/>
        <w:rPr>
          <w:rFonts w:ascii="Times New Roman" w:cs="Times New Roman" w:eastAsia="Times New Roman" w:hAnsi="Times New Roman"/>
          <w:sz w:val="18"/>
          <w:szCs w:val="18"/>
          <w:color w:val="auto"/>
        </w:rPr>
      </w:pPr>
    </w:p>
    <w:p>
      <w:pPr>
        <w:ind w:left="-531" w:right="60" w:firstLine="531"/>
        <w:spacing w:after="0" w:line="267" w:lineRule="auto"/>
        <w:tabs>
          <w:tab w:leader="none" w:pos="64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147" w:lineRule="exact"/>
        <w:rPr>
          <w:rFonts w:ascii="Times New Roman" w:cs="Times New Roman" w:eastAsia="Times New Roman" w:hAnsi="Times New Roman"/>
          <w:sz w:val="18"/>
          <w:szCs w:val="18"/>
          <w:color w:val="auto"/>
        </w:rPr>
      </w:pPr>
    </w:p>
    <w:p>
      <w:pPr>
        <w:ind w:left="-531" w:firstLine="531"/>
        <w:spacing w:after="0" w:line="243" w:lineRule="auto"/>
        <w:tabs>
          <w:tab w:leader="none" w:pos="65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69" w:lineRule="exact"/>
        <w:rPr>
          <w:rFonts w:ascii="Times New Roman" w:cs="Times New Roman" w:eastAsia="Times New Roman" w:hAnsi="Times New Roman"/>
          <w:sz w:val="18"/>
          <w:szCs w:val="18"/>
          <w:color w:val="auto"/>
        </w:rPr>
      </w:pPr>
    </w:p>
    <w:p>
      <w:pPr>
        <w:ind w:left="-531" w:right="100" w:firstLine="531"/>
        <w:spacing w:after="0" w:line="251" w:lineRule="auto"/>
        <w:tabs>
          <w:tab w:leader="none" w:pos="63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61" w:lineRule="exact"/>
        <w:rPr>
          <w:rFonts w:ascii="Times New Roman" w:cs="Times New Roman" w:eastAsia="Times New Roman" w:hAnsi="Times New Roman"/>
          <w:sz w:val="18"/>
          <w:szCs w:val="18"/>
          <w:color w:val="auto"/>
        </w:rPr>
      </w:pPr>
    </w:p>
    <w:p>
      <w:pPr>
        <w:ind w:left="-531" w:right="20" w:firstLine="531"/>
        <w:spacing w:after="0" w:line="251" w:lineRule="auto"/>
        <w:tabs>
          <w:tab w:leader="none" w:pos="6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61" w:lineRule="exact"/>
        <w:rPr>
          <w:rFonts w:ascii="Times New Roman" w:cs="Times New Roman" w:eastAsia="Times New Roman" w:hAnsi="Times New Roman"/>
          <w:sz w:val="18"/>
          <w:szCs w:val="18"/>
          <w:color w:val="auto"/>
        </w:rPr>
      </w:pPr>
    </w:p>
    <w:p>
      <w:pPr>
        <w:ind w:left="-531" w:right="140" w:firstLine="531"/>
        <w:spacing w:after="0" w:line="245" w:lineRule="auto"/>
        <w:tabs>
          <w:tab w:leader="none" w:pos="6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Permitted Free Writing Prospectus, neither Cowen nor the Company (including its agents and representatives, other than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168" w:lineRule="exact"/>
        <w:rPr>
          <w:rFonts w:ascii="Times New Roman" w:cs="Times New Roman" w:eastAsia="Times New Roman" w:hAnsi="Times New Roman"/>
          <w:sz w:val="18"/>
          <w:szCs w:val="18"/>
          <w:color w:val="auto"/>
        </w:rPr>
      </w:pPr>
    </w:p>
    <w:p>
      <w:pPr>
        <w:ind w:left="-531" w:right="20" w:firstLine="531"/>
        <w:spacing w:after="0" w:line="267" w:lineRule="auto"/>
        <w:tabs>
          <w:tab w:leader="none" w:pos="71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its subsidiaries will use their best efforts to comply with all effective and applicable provisions of the Sarbanes-Oxley Act.</w:t>
      </w:r>
    </w:p>
    <w:p>
      <w:pPr>
        <w:spacing w:after="0" w:line="147" w:lineRule="exact"/>
        <w:rPr>
          <w:rFonts w:ascii="Times New Roman" w:cs="Times New Roman" w:eastAsia="Times New Roman" w:hAnsi="Times New Roman"/>
          <w:sz w:val="18"/>
          <w:szCs w:val="18"/>
          <w:color w:val="auto"/>
        </w:rPr>
      </w:pPr>
    </w:p>
    <w:p>
      <w:pPr>
        <w:ind w:left="-531" w:right="20" w:firstLine="531"/>
        <w:spacing w:after="0" w:line="243" w:lineRule="auto"/>
        <w:tabs>
          <w:tab w:leader="none" w:pos="6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Affirmation</w:t>
      </w:r>
      <w:r>
        <w:rPr>
          <w:rFonts w:ascii="Times New Roman" w:cs="Times New Roman" w:eastAsia="Times New Roman" w:hAnsi="Times New Roman"/>
          <w:sz w:val="18"/>
          <w:szCs w:val="18"/>
          <w:color w:val="auto"/>
        </w:rPr>
        <w:t>. Each Placement Notice delivered by the Company to Cowen shall be deemed to be (i) an affirmation that the representations, warranties and agreements of the Company herein contained and contained in any certificate delivered to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86360</wp:posOffset>
            </wp:positionV>
            <wp:extent cx="715518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09"/>
          </w:cols>
          <w:pgMar w:left="851" w:top="118" w:right="339" w:bottom="1440" w:gutter="0" w:footer="0" w:header="0"/>
        </w:sectPr>
      </w:pPr>
    </w:p>
    <w:bookmarkStart w:id="93" w:name="page94"/>
    <w:bookmarkEnd w:id="93"/>
    <w:p>
      <w:pPr>
        <w:ind w:left="-531" w:right="20" w:firstLine="531"/>
        <w:spacing w:after="0" w:line="241" w:lineRule="auto"/>
        <w:tabs>
          <w:tab w:leader="none" w:pos="67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w:t>
      </w:r>
      <w:r>
        <w:rPr>
          <w:rFonts w:ascii="Times New Roman" w:cs="Times New Roman" w:eastAsia="Times New Roman" w:hAnsi="Times New Roman"/>
          <w:sz w:val="18"/>
          <w:szCs w:val="18"/>
          <w:color w:val="auto"/>
        </w:rPr>
        <w:t>. If immediately prior to the third anniversary (the “</w:t>
      </w:r>
      <w:r>
        <w:rPr>
          <w:rFonts w:ascii="Times New Roman" w:cs="Times New Roman" w:eastAsia="Times New Roman" w:hAnsi="Times New Roman"/>
          <w:sz w:val="18"/>
          <w:szCs w:val="18"/>
          <w:b w:val="1"/>
          <w:bCs w:val="1"/>
          <w:u w:val="single" w:color="auto"/>
          <w:color w:val="auto"/>
        </w:rPr>
        <w:t>Renewal Deadline</w:t>
      </w:r>
      <w:r>
        <w:rPr>
          <w:rFonts w:ascii="Times New Roman" w:cs="Times New Roman" w:eastAsia="Times New Roman" w:hAnsi="Times New Roman"/>
          <w:sz w:val="18"/>
          <w:szCs w:val="18"/>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71" w:lineRule="exact"/>
        <w:rPr>
          <w:sz w:val="20"/>
          <w:szCs w:val="20"/>
          <w:color w:val="auto"/>
        </w:rPr>
      </w:pPr>
    </w:p>
    <w:p>
      <w:pPr>
        <w:ind w:left="-531" w:right="200" w:firstLine="531"/>
        <w:spacing w:after="0" w:line="245" w:lineRule="auto"/>
        <w:tabs>
          <w:tab w:leader="none" w:pos="5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Cowen’s Obligations</w:t>
      </w:r>
      <w:r>
        <w:rPr>
          <w:rFonts w:ascii="Times New Roman" w:cs="Times New Roman" w:eastAsia="Times New Roman" w:hAnsi="Times New Roman"/>
          <w:sz w:val="18"/>
          <w:szCs w:val="18"/>
          <w:color w:val="auto"/>
        </w:rPr>
        <w:t>. The obligations of Cowen hereunder with respect to a Placement will be subject to the continuing accuracy and completeness of the representations and warranties made by the Company herein, to the due performance by the Company of its obligations hereunder, to the completion by Cowen of a due diligence review satisfactory to Cowen in its reasonable judgment, and to the continuing satisfaction (or waiver by Cowen in its sole discretion) of the following additional conditions:</w:t>
      </w:r>
    </w:p>
    <w:p>
      <w:pPr>
        <w:spacing w:after="0" w:line="169" w:lineRule="exact"/>
        <w:rPr>
          <w:sz w:val="20"/>
          <w:szCs w:val="20"/>
          <w:color w:val="auto"/>
        </w:rPr>
      </w:pPr>
    </w:p>
    <w:p>
      <w:pPr>
        <w:ind w:left="-531" w:right="140" w:firstLine="531"/>
        <w:spacing w:after="0" w:line="267" w:lineRule="auto"/>
        <w:tabs>
          <w:tab w:leader="none" w:pos="66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(i) all sales of Placement Shares issued pursuant to all prior Placement Notices and (ii) the sale of all Placement Shares contemplated to be issued by any Placement Notice.</w:t>
      </w:r>
    </w:p>
    <w:p>
      <w:pPr>
        <w:spacing w:after="0" w:line="147" w:lineRule="exact"/>
        <w:rPr>
          <w:rFonts w:ascii="Times New Roman" w:cs="Times New Roman" w:eastAsia="Times New Roman" w:hAnsi="Times New Roman"/>
          <w:sz w:val="18"/>
          <w:szCs w:val="18"/>
          <w:color w:val="auto"/>
        </w:rPr>
      </w:pPr>
    </w:p>
    <w:p>
      <w:pPr>
        <w:ind w:left="-531" w:firstLine="531"/>
        <w:spacing w:after="0" w:line="238" w:lineRule="auto"/>
        <w:tabs>
          <w:tab w:leader="none" w:pos="67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71" w:lineRule="exact"/>
        <w:rPr>
          <w:rFonts w:ascii="Times New Roman" w:cs="Times New Roman" w:eastAsia="Times New Roman" w:hAnsi="Times New Roman"/>
          <w:sz w:val="18"/>
          <w:szCs w:val="18"/>
          <w:color w:val="auto"/>
        </w:rPr>
      </w:pPr>
    </w:p>
    <w:p>
      <w:pPr>
        <w:ind w:left="-531" w:right="120" w:firstLine="531"/>
        <w:spacing w:after="0" w:line="251" w:lineRule="auto"/>
        <w:tabs>
          <w:tab w:leader="none" w:pos="66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Cowen shall not have advised the Company that the Registration Statement or Prospectus, or any amendment or supplement thereto, contains an untrue statement of fact that in Cowen’s reasonable opinion is material, or omits to state a fact that in Cowen’s opinion is material and is required to be stated therein or is necessary to make the statements therein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81280</wp:posOffset>
            </wp:positionV>
            <wp:extent cx="715518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9"/>
          </w:cols>
          <w:pgMar w:left="851" w:top="114" w:right="319" w:bottom="1440" w:gutter="0" w:footer="0" w:header="0"/>
        </w:sectPr>
      </w:pPr>
    </w:p>
    <w:bookmarkStart w:id="94" w:name="page95"/>
    <w:bookmarkEnd w:id="94"/>
    <w:p>
      <w:pPr>
        <w:ind w:left="-531" w:firstLine="531"/>
        <w:spacing w:after="0" w:line="239" w:lineRule="auto"/>
        <w:tabs>
          <w:tab w:leader="none" w:pos="6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75" w:lineRule="exact"/>
        <w:rPr>
          <w:rFonts w:ascii="Times New Roman" w:cs="Times New Roman" w:eastAsia="Times New Roman" w:hAnsi="Times New Roman"/>
          <w:sz w:val="18"/>
          <w:szCs w:val="18"/>
          <w:color w:val="auto"/>
        </w:rPr>
      </w:pPr>
    </w:p>
    <w:p>
      <w:pPr>
        <w:ind w:left="-531" w:right="340" w:firstLine="531"/>
        <w:spacing w:after="0" w:line="267" w:lineRule="auto"/>
        <w:tabs>
          <w:tab w:leader="none" w:pos="66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xml:space="preserve">. Cowen shall have received the opinions of Company Counsel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on or before the date on which such delivery of such opinions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w:t>
      </w:r>
    </w:p>
    <w:p>
      <w:pPr>
        <w:spacing w:after="0" w:line="147" w:lineRule="exact"/>
        <w:rPr>
          <w:rFonts w:ascii="Times New Roman" w:cs="Times New Roman" w:eastAsia="Times New Roman" w:hAnsi="Times New Roman"/>
          <w:sz w:val="18"/>
          <w:szCs w:val="18"/>
          <w:color w:val="auto"/>
        </w:rPr>
      </w:pPr>
    </w:p>
    <w:p>
      <w:pPr>
        <w:jc w:val="both"/>
        <w:ind w:left="-531" w:right="20" w:firstLine="531"/>
        <w:spacing w:after="0" w:line="245" w:lineRule="auto"/>
        <w:tabs>
          <w:tab w:leader="none" w:pos="64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Cowen Counsel Legal Opinion</w:t>
      </w:r>
      <w:r>
        <w:rPr>
          <w:rFonts w:ascii="Times New Roman" w:cs="Times New Roman" w:eastAsia="Times New Roman" w:hAnsi="Times New Roman"/>
          <w:sz w:val="18"/>
          <w:szCs w:val="18"/>
          <w:color w:val="auto"/>
        </w:rPr>
        <w:t xml:space="preserve">. Cowen shall have received from Ropes &amp; Gray LLP, counsel for Cowen, such opinion or opinions, on or before the date on which the delivery of the Company Counsel legal opinions are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with respect to such matters as Cowen may reasonably require, and the Company shall have furnished to such counsel such documents as they request for enabling them to pass upon such matters.</w:t>
      </w:r>
    </w:p>
    <w:p>
      <w:pPr>
        <w:spacing w:after="0" w:line="168" w:lineRule="exact"/>
        <w:rPr>
          <w:rFonts w:ascii="Times New Roman" w:cs="Times New Roman" w:eastAsia="Times New Roman" w:hAnsi="Times New Roman"/>
          <w:sz w:val="18"/>
          <w:szCs w:val="18"/>
          <w:color w:val="auto"/>
        </w:rPr>
      </w:pPr>
    </w:p>
    <w:p>
      <w:pPr>
        <w:ind w:left="-531" w:right="160" w:firstLine="531"/>
        <w:spacing w:after="0" w:line="267" w:lineRule="auto"/>
        <w:tabs>
          <w:tab w:leader="none" w:pos="6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Cowen shall have received the Comfort Letter required to be delivered pursuant to </w:t>
      </w:r>
      <w:r>
        <w:rPr>
          <w:rFonts w:ascii="Times New Roman" w:cs="Times New Roman" w:eastAsia="Times New Roman" w:hAnsi="Times New Roman"/>
          <w:sz w:val="18"/>
          <w:szCs w:val="18"/>
          <w:u w:val="single" w:color="auto"/>
          <w:color w:val="auto"/>
        </w:rPr>
        <w:t>Section 7(p)</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7(p)</w:t>
      </w:r>
      <w:r>
        <w:rPr>
          <w:rFonts w:ascii="Times New Roman" w:cs="Times New Roman" w:eastAsia="Times New Roman" w:hAnsi="Times New Roman"/>
          <w:sz w:val="18"/>
          <w:szCs w:val="18"/>
          <w:color w:val="auto"/>
        </w:rPr>
        <w:t>.</w:t>
      </w:r>
    </w:p>
    <w:p>
      <w:pPr>
        <w:spacing w:after="0" w:line="147" w:lineRule="exact"/>
        <w:rPr>
          <w:rFonts w:ascii="Times New Roman" w:cs="Times New Roman" w:eastAsia="Times New Roman" w:hAnsi="Times New Roman"/>
          <w:sz w:val="18"/>
          <w:szCs w:val="18"/>
          <w:color w:val="auto"/>
        </w:rPr>
      </w:pPr>
    </w:p>
    <w:p>
      <w:pPr>
        <w:ind w:left="-531" w:right="260" w:firstLine="531"/>
        <w:spacing w:after="0" w:line="267" w:lineRule="auto"/>
        <w:tabs>
          <w:tab w:leader="none" w:pos="6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Cowen shall have received the certificate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47" w:lineRule="exact"/>
        <w:rPr>
          <w:rFonts w:ascii="Times New Roman" w:cs="Times New Roman" w:eastAsia="Times New Roman" w:hAnsi="Times New Roman"/>
          <w:sz w:val="18"/>
          <w:szCs w:val="18"/>
          <w:color w:val="auto"/>
        </w:rPr>
      </w:pPr>
    </w:p>
    <w:p>
      <w:pPr>
        <w:ind w:left="-531" w:firstLine="531"/>
        <w:spacing w:after="0" w:line="267" w:lineRule="auto"/>
        <w:tabs>
          <w:tab w:leader="none" w:pos="6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First Delivery Date, Cowen shall have received a certificate, signed on behalf of the Company by its corporate Secretary, in form and substance reasonably satisfactory to Cowen and its counsel.</w:t>
      </w:r>
    </w:p>
    <w:p>
      <w:pPr>
        <w:spacing w:after="0" w:line="147" w:lineRule="exact"/>
        <w:rPr>
          <w:rFonts w:ascii="Times New Roman" w:cs="Times New Roman" w:eastAsia="Times New Roman" w:hAnsi="Times New Roman"/>
          <w:sz w:val="18"/>
          <w:szCs w:val="18"/>
          <w:color w:val="auto"/>
        </w:rPr>
      </w:pPr>
    </w:p>
    <w:p>
      <w:pPr>
        <w:ind w:left="629" w:hanging="629"/>
        <w:spacing w:after="0"/>
        <w:tabs>
          <w:tab w:leader="none" w:pos="62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Nasdaq.</w:t>
      </w:r>
    </w:p>
    <w:p>
      <w:pPr>
        <w:spacing w:after="0" w:line="198" w:lineRule="exact"/>
        <w:rPr>
          <w:rFonts w:ascii="Times New Roman" w:cs="Times New Roman" w:eastAsia="Times New Roman" w:hAnsi="Times New Roman"/>
          <w:sz w:val="18"/>
          <w:szCs w:val="18"/>
          <w:color w:val="auto"/>
        </w:rPr>
      </w:pPr>
    </w:p>
    <w:p>
      <w:pPr>
        <w:ind w:left="-531" w:firstLine="531"/>
        <w:spacing w:after="0" w:line="245" w:lineRule="auto"/>
        <w:tabs>
          <w:tab w:leader="none" w:pos="6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the Company shall have furnished to Cowen such appropriate further information, certificates and documents as Cowen may have reasonably requested. All such opinions, certificates, letters and other documents shall have been in compliance with the provisions hereof. The Company will furnish Cowen with such conformed copies of such opinions, certificates, letters and other documents as Cowen shall have reasonably requested.</w:t>
      </w:r>
    </w:p>
    <w:p>
      <w:pPr>
        <w:spacing w:after="0" w:line="168" w:lineRule="exact"/>
        <w:rPr>
          <w:rFonts w:ascii="Times New Roman" w:cs="Times New Roman" w:eastAsia="Times New Roman" w:hAnsi="Times New Roman"/>
          <w:sz w:val="18"/>
          <w:szCs w:val="18"/>
          <w:color w:val="auto"/>
        </w:rPr>
      </w:pPr>
    </w:p>
    <w:p>
      <w:pPr>
        <w:ind w:left="-531" w:right="60" w:firstLine="531"/>
        <w:spacing w:after="0" w:line="267" w:lineRule="auto"/>
        <w:tabs>
          <w:tab w:leader="none" w:pos="6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72390</wp:posOffset>
            </wp:positionV>
            <wp:extent cx="715518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689"/>
          </w:cols>
          <w:pgMar w:left="851" w:top="118" w:right="359" w:bottom="1440" w:gutter="0" w:footer="0" w:header="0"/>
        </w:sectPr>
      </w:pPr>
    </w:p>
    <w:bookmarkStart w:id="95" w:name="page96"/>
    <w:bookmarkEnd w:id="95"/>
    <w:p>
      <w:pPr>
        <w:ind w:right="120" w:firstLine="531"/>
        <w:spacing w:after="0" w:line="266" w:lineRule="auto"/>
        <w:tabs>
          <w:tab w:leader="none" w:pos="125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148" w:lineRule="exact"/>
        <w:rPr>
          <w:rFonts w:ascii="Times New Roman" w:cs="Times New Roman" w:eastAsia="Times New Roman" w:hAnsi="Times New Roman"/>
          <w:sz w:val="18"/>
          <w:szCs w:val="18"/>
          <w:color w:val="auto"/>
        </w:rPr>
      </w:pPr>
    </w:p>
    <w:p>
      <w:pPr>
        <w:ind w:left="1200" w:hanging="669"/>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xml:space="preserve">. There shall not have occurred any event that would permit Cowen to terminate this Agreement pursuant to </w:t>
      </w:r>
      <w:r>
        <w:rPr>
          <w:rFonts w:ascii="Times New Roman" w:cs="Times New Roman" w:eastAsia="Times New Roman" w:hAnsi="Times New Roman"/>
          <w:sz w:val="18"/>
          <w:szCs w:val="18"/>
          <w:u w:val="single" w:color="auto"/>
          <w:color w:val="auto"/>
        </w:rPr>
        <w:t>Section</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11(a)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120" w:hanging="589"/>
        <w:spacing w:after="0"/>
        <w:tabs>
          <w:tab w:leader="none" w:pos="11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31"/>
        <w:spacing w:after="0" w:line="237" w:lineRule="auto"/>
        <w:tabs>
          <w:tab w:leader="none" w:pos="119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(a “</w:t>
      </w:r>
      <w:r>
        <w:rPr>
          <w:rFonts w:ascii="Times New Roman" w:cs="Times New Roman" w:eastAsia="Times New Roman" w:hAnsi="Times New Roman"/>
          <w:sz w:val="18"/>
          <w:szCs w:val="18"/>
          <w:b w:val="1"/>
          <w:bCs w:val="1"/>
          <w:u w:val="single" w:color="auto"/>
          <w:color w:val="auto"/>
        </w:rPr>
        <w:t>Cowen Affiliate</w:t>
      </w:r>
      <w:r>
        <w:rPr>
          <w:rFonts w:ascii="Times New Roman" w:cs="Times New Roman" w:eastAsia="Times New Roman" w:hAnsi="Times New Roman"/>
          <w:sz w:val="18"/>
          <w:szCs w:val="18"/>
          <w:color w:val="auto"/>
        </w:rPr>
        <w:t xml:space="preserve">”)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any action, suit or proceeding between any of the indemnified parties and any indemnifying parties or between any indemnified party and any third party, or otherwise, or any claim asserted), as and when incurred, to which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the Agent’s Information. This indemnity agreement will be in addition to any liability that the Company might otherwise have.</w:t>
      </w:r>
    </w:p>
    <w:p>
      <w:pPr>
        <w:spacing w:after="0" w:line="175" w:lineRule="exact"/>
        <w:rPr>
          <w:rFonts w:ascii="Times New Roman" w:cs="Times New Roman" w:eastAsia="Times New Roman" w:hAnsi="Times New Roman"/>
          <w:sz w:val="18"/>
          <w:szCs w:val="18"/>
          <w:color w:val="auto"/>
        </w:rPr>
      </w:pPr>
    </w:p>
    <w:p>
      <w:pPr>
        <w:ind w:right="240" w:firstLine="531"/>
        <w:spacing w:after="0" w:line="241" w:lineRule="auto"/>
        <w:tabs>
          <w:tab w:leader="none" w:pos="120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Cowen Indemnification</w:t>
      </w:r>
      <w:r>
        <w:rPr>
          <w:rFonts w:ascii="Times New Roman" w:cs="Times New Roman" w:eastAsia="Times New Roman" w:hAnsi="Times New Roman"/>
          <w:sz w:val="18"/>
          <w:szCs w:val="18"/>
          <w:color w:val="auto"/>
        </w:rPr>
        <w:t>.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 “</w:t>
      </w:r>
      <w:r>
        <w:rPr>
          <w:rFonts w:ascii="Times New Roman" w:cs="Times New Roman" w:eastAsia="Times New Roman" w:hAnsi="Times New Roman"/>
          <w:sz w:val="18"/>
          <w:szCs w:val="18"/>
          <w:b w:val="1"/>
          <w:bCs w:val="1"/>
          <w:u w:val="single" w:color="auto"/>
          <w:color w:val="auto"/>
        </w:rPr>
        <w:t>Company Affiliate</w:t>
      </w:r>
      <w:r>
        <w:rPr>
          <w:rFonts w:ascii="Times New Roman" w:cs="Times New Roman" w:eastAsia="Times New Roman" w:hAnsi="Times New Roman"/>
          <w:sz w:val="18"/>
          <w:szCs w:val="18"/>
          <w:color w:val="auto"/>
        </w:rPr>
        <w:t xml:space="preserve">”)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5518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ind w:left="-531" w:right="60" w:firstLine="531"/>
        <w:spacing w:after="0" w:line="236" w:lineRule="auto"/>
        <w:tabs>
          <w:tab w:leader="none" w:pos="66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182" w:lineRule="exact"/>
        <w:rPr>
          <w:rFonts w:ascii="Times New Roman" w:cs="Times New Roman" w:eastAsia="Times New Roman" w:hAnsi="Times New Roman"/>
          <w:sz w:val="18"/>
          <w:szCs w:val="18"/>
          <w:color w:val="auto"/>
        </w:rPr>
      </w:pPr>
    </w:p>
    <w:p>
      <w:pPr>
        <w:ind w:left="-531" w:firstLine="531"/>
        <w:spacing w:after="0"/>
        <w:tabs>
          <w:tab w:leader="none" w:pos="67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Cowen, the Company and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The relative benefits received by the Company on the one hand and Cowen on the other hand shall be deemed to be in the same proportion as the total Net Proceeds from the sale of the Placement Shares (before deducting expenses) received by the Company bear to the total compensation received by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 and equitable if contributions pursuant to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any person who controls a party to this Agreement within the meaning of the Securities Act, and any officers, directors, partners, employees or agents of Cowen, will have the same rights to contribution as that party, and each officer of the Company who signed the Registration Statement and each director of the Company will have the same rights to contribution as the Company, subject in each case to the provisions hereof. Any party entitled to contribution, promptly after receipt of written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will notify in writing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151765</wp:posOffset>
            </wp:positionV>
            <wp:extent cx="715518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9"/>
          </w:cols>
          <w:pgMar w:left="851" w:top="118" w:right="319" w:bottom="1440" w:gutter="0" w:footer="0" w:header="0"/>
        </w:sectPr>
      </w:pPr>
    </w:p>
    <w:bookmarkStart w:id="97" w:name="page98"/>
    <w:bookmarkEnd w:id="97"/>
    <w:p>
      <w:pPr>
        <w:ind w:left="-531" w:right="280" w:firstLine="531"/>
        <w:spacing w:after="0" w:line="245" w:lineRule="auto"/>
        <w:tabs>
          <w:tab w:leader="none" w:pos="6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Placement Shares and payment therefor or (iii) any termination of this Agreement.</w:t>
      </w:r>
    </w:p>
    <w:p>
      <w:pPr>
        <w:spacing w:after="0" w:line="167" w:lineRule="exact"/>
        <w:rPr>
          <w:rFonts w:ascii="Times New Roman" w:cs="Times New Roman" w:eastAsia="Times New Roman" w:hAnsi="Times New Roman"/>
          <w:sz w:val="18"/>
          <w:szCs w:val="18"/>
          <w:color w:val="auto"/>
        </w:rPr>
      </w:pPr>
    </w:p>
    <w:p>
      <w:pPr>
        <w:ind w:left="669" w:hanging="669"/>
        <w:spacing w:after="0"/>
        <w:tabs>
          <w:tab w:leader="none" w:pos="6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531" w:firstLine="531"/>
        <w:spacing w:after="0" w:line="253" w:lineRule="auto"/>
        <w:tabs>
          <w:tab w:leader="none" w:pos="66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Cowen, may materially impair the ability of Cowen to sell the Placement Shares hereunder, (ii) the Company shall have failed, refused or been unable to perform any agreement on its part to be performed hereunder;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in the case of any failure of the Company to deliver (or cause another person to deliver) any certification, opinion, or letter required under </w:t>
      </w:r>
      <w:r>
        <w:rPr>
          <w:rFonts w:ascii="Times New Roman" w:cs="Times New Roman" w:eastAsia="Times New Roman" w:hAnsi="Times New Roman"/>
          <w:sz w:val="17"/>
          <w:szCs w:val="17"/>
          <w:u w:val="single" w:color="auto"/>
          <w:color w:val="auto"/>
        </w:rPr>
        <w:t>Sections 7(m)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7(o)</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7(p)</w:t>
      </w:r>
      <w:r>
        <w:rPr>
          <w:rFonts w:ascii="Times New Roman" w:cs="Times New Roman" w:eastAsia="Times New Roman" w:hAnsi="Times New Roman"/>
          <w:sz w:val="17"/>
          <w:szCs w:val="17"/>
          <w:color w:val="auto"/>
        </w:rPr>
        <w:t xml:space="preserve">, Cowen’s right to terminate shall not arise unless such failure to deliver (or cause to be delivered) continues for more than thirty (30) days from the date such delivery was required; or (iii) any other condition of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17"/>
          <w:szCs w:val="17"/>
          <w:u w:val="single" w:color="auto"/>
          <w:color w:val="auto"/>
        </w:rPr>
        <w:t>Section 7(g)</w:t>
      </w:r>
      <w:r>
        <w:rPr>
          <w:rFonts w:ascii="Times New Roman" w:cs="Times New Roman" w:eastAsia="Times New Roman" w:hAnsi="Times New Roman"/>
          <w:sz w:val="17"/>
          <w:szCs w:val="17"/>
          <w:color w:val="auto"/>
        </w:rPr>
        <w:t xml:space="preserve"> (Expenses),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(Indemnification and Contribution),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(Representations and Agreements to Survive Delivery),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(Applicable Law; Consent to Jurisdiction) and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(Waiver of Jury Trial) hereof shall remain in full force and effect notwithstanding such termination. If Cowen elects to terminate this Agreement as provided in this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xml:space="preserve">, Cowen shall provide the required notice as specified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85090</wp:posOffset>
            </wp:positionV>
            <wp:extent cx="715518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649"/>
          </w:cols>
          <w:pgMar w:left="851" w:top="118" w:right="399" w:bottom="1440" w:gutter="0" w:footer="0" w:header="0"/>
        </w:sectPr>
      </w:pPr>
    </w:p>
    <w:bookmarkStart w:id="98" w:name="page99"/>
    <w:bookmarkEnd w:id="98"/>
    <w:p>
      <w:pPr>
        <w:ind w:left="-531" w:right="80" w:firstLine="531"/>
        <w:spacing w:after="0" w:line="250" w:lineRule="auto"/>
        <w:tabs>
          <w:tab w:leader="none" w:pos="66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63" w:lineRule="exact"/>
        <w:rPr>
          <w:rFonts w:ascii="Times New Roman" w:cs="Times New Roman" w:eastAsia="Times New Roman" w:hAnsi="Times New Roman"/>
          <w:sz w:val="18"/>
          <w:szCs w:val="18"/>
          <w:color w:val="auto"/>
        </w:rPr>
      </w:pPr>
    </w:p>
    <w:p>
      <w:pPr>
        <w:jc w:val="both"/>
        <w:ind w:left="-531" w:right="120" w:firstLine="531"/>
        <w:spacing w:after="0" w:line="251" w:lineRule="auto"/>
        <w:tabs>
          <w:tab w:leader="none" w:pos="66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61" w:lineRule="exact"/>
        <w:rPr>
          <w:rFonts w:ascii="Times New Roman" w:cs="Times New Roman" w:eastAsia="Times New Roman" w:hAnsi="Times New Roman"/>
          <w:sz w:val="18"/>
          <w:szCs w:val="18"/>
          <w:color w:val="auto"/>
        </w:rPr>
      </w:pPr>
    </w:p>
    <w:p>
      <w:pPr>
        <w:ind w:left="-531" w:firstLine="531"/>
        <w:spacing w:after="0" w:line="251" w:lineRule="auto"/>
        <w:tabs>
          <w:tab w:leader="none" w:pos="67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this Agreement shall automatically terminate upon the issuance and sale of all of the Placement Shares through Cowen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61" w:lineRule="exact"/>
        <w:rPr>
          <w:rFonts w:ascii="Times New Roman" w:cs="Times New Roman" w:eastAsia="Times New Roman" w:hAnsi="Times New Roman"/>
          <w:sz w:val="18"/>
          <w:szCs w:val="18"/>
          <w:color w:val="auto"/>
        </w:rPr>
      </w:pPr>
    </w:p>
    <w:p>
      <w:pPr>
        <w:jc w:val="both"/>
        <w:ind w:left="-531" w:right="320" w:firstLine="531"/>
        <w:spacing w:after="0" w:line="251" w:lineRule="auto"/>
        <w:tabs>
          <w:tab w:leader="none" w:pos="65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remain in full force and effect.</w:t>
      </w:r>
    </w:p>
    <w:p>
      <w:pPr>
        <w:spacing w:after="0" w:line="159" w:lineRule="exact"/>
        <w:rPr>
          <w:rFonts w:ascii="Times New Roman" w:cs="Times New Roman" w:eastAsia="Times New Roman" w:hAnsi="Times New Roman"/>
          <w:sz w:val="18"/>
          <w:szCs w:val="18"/>
          <w:color w:val="auto"/>
        </w:rPr>
      </w:pPr>
    </w:p>
    <w:p>
      <w:pPr>
        <w:ind w:left="-531" w:right="120" w:firstLine="531"/>
        <w:spacing w:after="0" w:line="246" w:lineRule="auto"/>
        <w:tabs>
          <w:tab w:leader="none" w:pos="63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Cowen or the Company, as the case may be. If such termination shall occur prior to the Settlement Date for any sale of Placement Shares, such Placement Shares shall settle in accordance with the provisions of this Agreement.</w:t>
      </w:r>
    </w:p>
    <w:p>
      <w:pPr>
        <w:spacing w:after="0" w:line="167" w:lineRule="exact"/>
        <w:rPr>
          <w:rFonts w:ascii="Times New Roman" w:cs="Times New Roman" w:eastAsia="Times New Roman" w:hAnsi="Times New Roman"/>
          <w:sz w:val="18"/>
          <w:szCs w:val="18"/>
          <w:color w:val="auto"/>
        </w:rPr>
      </w:pPr>
    </w:p>
    <w:p>
      <w:pPr>
        <w:ind w:left="-531" w:firstLine="531"/>
        <w:spacing w:after="0" w:line="267" w:lineRule="auto"/>
        <w:tabs>
          <w:tab w:leader="none" w:pos="67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additional limitations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in the event of termination of this Agreement by the Company prior to the sale of any Placement Shares, Cowen shall be entitled only to reimbursement of its out-of-pocket expenses actually incurred.</w:t>
      </w:r>
    </w:p>
    <w:p>
      <w:pPr>
        <w:spacing w:after="0" w:line="148" w:lineRule="exact"/>
        <w:rPr>
          <w:sz w:val="20"/>
          <w:szCs w:val="20"/>
          <w:color w:val="auto"/>
        </w:rPr>
      </w:pPr>
    </w:p>
    <w:p>
      <w:pPr>
        <w:ind w:left="-531" w:firstLine="531"/>
        <w:spacing w:after="0" w:line="238" w:lineRule="auto"/>
        <w:tabs>
          <w:tab w:leader="none" w:pos="68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Cowen, shall be delivered to Cowen at Cowen and Company, LLC, 599 Lexington Avenue, New York, NY 10022, fax no. 646-562-1130, Attention: General Counsel; or if sent to the Company, shall be delivered to AVROBIO, Inc., 100 Technology Square, Sixth Floor, Cambridge, MA 02139, attention: Geoff MacKay, President and Chief Executive Officer, with a copy to Goodwin Procter LLP, attention: Mitchell S. Bloom.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and (iv) when delivered by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at the time the party sending Electronic Notice receives verification of receipt by the receiving party, other than via automatic reply.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Nasdaq and commercial banks in the City of New York are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88900</wp:posOffset>
            </wp:positionV>
            <wp:extent cx="715518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09"/>
          </w:cols>
          <w:pgMar w:left="851" w:top="118" w:right="339" w:bottom="1440" w:gutter="0" w:footer="0" w:header="0"/>
        </w:sectPr>
      </w:pPr>
    </w:p>
    <w:bookmarkStart w:id="99" w:name="page100"/>
    <w:bookmarkEnd w:id="99"/>
    <w:p>
      <w:pPr>
        <w:ind w:left="-531" w:right="80" w:firstLine="531"/>
        <w:spacing w:after="0"/>
        <w:tabs>
          <w:tab w:leader="none" w:pos="6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Cowen and their respective successors and the affiliates, controlling persons, officers and directors referred to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Cowen may assign its rights and obligations hereunder to an affiliate of Cowen without obtaining the Company’s consent.</w:t>
      </w:r>
    </w:p>
    <w:p>
      <w:pPr>
        <w:spacing w:after="0" w:line="172" w:lineRule="exact"/>
        <w:rPr>
          <w:rFonts w:ascii="Times New Roman" w:cs="Times New Roman" w:eastAsia="Times New Roman" w:hAnsi="Times New Roman"/>
          <w:sz w:val="18"/>
          <w:szCs w:val="18"/>
          <w:color w:val="auto"/>
        </w:rPr>
      </w:pPr>
    </w:p>
    <w:p>
      <w:pPr>
        <w:ind w:left="-531" w:right="420" w:firstLine="531"/>
        <w:spacing w:after="0" w:line="267" w:lineRule="auto"/>
        <w:tabs>
          <w:tab w:leader="none" w:pos="6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47" w:lineRule="exact"/>
        <w:rPr>
          <w:rFonts w:ascii="Times New Roman" w:cs="Times New Roman" w:eastAsia="Times New Roman" w:hAnsi="Times New Roman"/>
          <w:sz w:val="18"/>
          <w:szCs w:val="18"/>
          <w:color w:val="auto"/>
        </w:rPr>
      </w:pPr>
    </w:p>
    <w:p>
      <w:pPr>
        <w:ind w:left="-531" w:right="40" w:firstLine="531"/>
        <w:spacing w:after="0" w:line="239" w:lineRule="auto"/>
        <w:tabs>
          <w:tab w:leader="none" w:pos="6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76" w:lineRule="exact"/>
        <w:rPr>
          <w:rFonts w:ascii="Times New Roman" w:cs="Times New Roman" w:eastAsia="Times New Roman" w:hAnsi="Times New Roman"/>
          <w:sz w:val="18"/>
          <w:szCs w:val="18"/>
          <w:color w:val="auto"/>
        </w:rPr>
      </w:pPr>
    </w:p>
    <w:p>
      <w:pPr>
        <w:ind w:left="-531" w:firstLine="531"/>
        <w:spacing w:after="0" w:line="239" w:lineRule="auto"/>
        <w:tabs>
          <w:tab w:leader="none" w:pos="6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Consent to Jurisdiction</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88900</wp:posOffset>
            </wp:positionV>
            <wp:extent cx="715518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9"/>
          </w:cols>
          <w:pgMar w:left="851" w:top="118" w:right="319" w:bottom="1440" w:gutter="0" w:footer="0" w:header="0"/>
        </w:sectPr>
      </w:pPr>
    </w:p>
    <w:bookmarkStart w:id="100" w:name="page101"/>
    <w:bookmarkEnd w:id="100"/>
    <w:p>
      <w:pPr>
        <w:ind w:left="-20" w:right="200" w:firstLine="531"/>
        <w:spacing w:after="0" w:line="266" w:lineRule="auto"/>
        <w:tabs>
          <w:tab w:leader="none" w:pos="119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Cowen each hereby irrevocably waives any right it may have to a trial by jury in respect of any claim based upon or arising out of this Agreement or any transaction contemplated hereby.</w:t>
      </w:r>
    </w:p>
    <w:p>
      <w:pPr>
        <w:spacing w:after="0" w:line="146" w:lineRule="exact"/>
        <w:rPr>
          <w:rFonts w:ascii="Times New Roman" w:cs="Times New Roman" w:eastAsia="Times New Roman" w:hAnsi="Times New Roman"/>
          <w:sz w:val="18"/>
          <w:szCs w:val="18"/>
          <w:color w:val="auto"/>
        </w:rPr>
      </w:pPr>
    </w:p>
    <w:p>
      <w:pPr>
        <w:ind w:left="1180" w:hanging="669"/>
        <w:spacing w:after="0"/>
        <w:tabs>
          <w:tab w:leader="none" w:pos="1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acknowledges and agrees that:</w:t>
      </w:r>
    </w:p>
    <w:p>
      <w:pPr>
        <w:spacing w:after="0" w:line="201" w:lineRule="exact"/>
        <w:rPr>
          <w:sz w:val="20"/>
          <w:szCs w:val="20"/>
          <w:color w:val="auto"/>
        </w:rPr>
      </w:pPr>
    </w:p>
    <w:p>
      <w:pPr>
        <w:ind w:left="-20" w:right="540" w:firstLine="531"/>
        <w:spacing w:after="0" w:line="251" w:lineRule="auto"/>
        <w:tabs>
          <w:tab w:leader="none" w:pos="117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Cowen has been retained solely to act as an arm’s length contractual counterparty to the Company in connection with the sale of the Placement Shares and that no fiduciary, advisory or agency relationship between the Company and Cowen has been created in respect of any of the transactions contemplated by this Agreement, irrespective of whether Cowen has advised or is advising the Company on other matters;</w:t>
      </w:r>
    </w:p>
    <w:p>
      <w:pPr>
        <w:spacing w:after="0" w:line="161" w:lineRule="exact"/>
        <w:rPr>
          <w:rFonts w:ascii="Times New Roman" w:cs="Times New Roman" w:eastAsia="Times New Roman" w:hAnsi="Times New Roman"/>
          <w:sz w:val="18"/>
          <w:szCs w:val="18"/>
          <w:color w:val="auto"/>
        </w:rPr>
      </w:pPr>
    </w:p>
    <w:p>
      <w:pPr>
        <w:ind w:left="-20" w:right="260" w:firstLine="531"/>
        <w:spacing w:after="0" w:line="267" w:lineRule="auto"/>
        <w:tabs>
          <w:tab w:leader="none" w:pos="118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147" w:lineRule="exact"/>
        <w:rPr>
          <w:rFonts w:ascii="Times New Roman" w:cs="Times New Roman" w:eastAsia="Times New Roman" w:hAnsi="Times New Roman"/>
          <w:sz w:val="18"/>
          <w:szCs w:val="18"/>
          <w:color w:val="auto"/>
        </w:rPr>
      </w:pPr>
    </w:p>
    <w:p>
      <w:pPr>
        <w:jc w:val="both"/>
        <w:ind w:left="-20" w:right="140" w:firstLine="531"/>
        <w:spacing w:after="0" w:line="251" w:lineRule="auto"/>
        <w:tabs>
          <w:tab w:leader="none" w:pos="117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161" w:lineRule="exact"/>
        <w:rPr>
          <w:rFonts w:ascii="Times New Roman" w:cs="Times New Roman" w:eastAsia="Times New Roman" w:hAnsi="Times New Roman"/>
          <w:sz w:val="18"/>
          <w:szCs w:val="18"/>
          <w:color w:val="auto"/>
        </w:rPr>
      </w:pPr>
    </w:p>
    <w:p>
      <w:pPr>
        <w:jc w:val="both"/>
        <w:ind w:left="-20" w:right="80" w:firstLine="531"/>
        <w:spacing w:after="0" w:line="245" w:lineRule="auto"/>
        <w:tabs>
          <w:tab w:leader="none" w:pos="118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to the fullest extent permitted by law, any claims it may have against Cowen, for breach of fiduciary duty or alleged breach of fiduciary duty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69" w:lineRule="exact"/>
        <w:rPr>
          <w:sz w:val="20"/>
          <w:szCs w:val="20"/>
          <w:color w:val="auto"/>
        </w:rPr>
      </w:pPr>
    </w:p>
    <w:p>
      <w:pPr>
        <w:ind w:left="-20" w:firstLine="531"/>
        <w:spacing w:after="0" w:line="251" w:lineRule="auto"/>
        <w:tabs>
          <w:tab w:leader="none" w:pos="119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61" w:lineRule="exact"/>
        <w:rPr>
          <w:rFonts w:ascii="Times New Roman" w:cs="Times New Roman" w:eastAsia="Times New Roman" w:hAnsi="Times New Roman"/>
          <w:sz w:val="18"/>
          <w:szCs w:val="18"/>
          <w:color w:val="auto"/>
        </w:rPr>
      </w:pPr>
    </w:p>
    <w:p>
      <w:pPr>
        <w:ind w:left="1180" w:hanging="669"/>
        <w:spacing w:after="0"/>
        <w:tabs>
          <w:tab w:leader="none" w:pos="11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 has the meaning set forth below:</w:t>
      </w:r>
    </w:p>
    <w:p>
      <w:pPr>
        <w:spacing w:after="0" w:line="197" w:lineRule="exact"/>
        <w:rPr>
          <w:sz w:val="20"/>
          <w:szCs w:val="20"/>
          <w:color w:val="auto"/>
        </w:rPr>
      </w:pPr>
    </w:p>
    <w:p>
      <w:pPr>
        <w:ind w:left="-20" w:right="420" w:firstLine="531"/>
        <w:spacing w:after="0" w:line="269" w:lineRule="auto"/>
        <w:tabs>
          <w:tab w:leader="none" w:pos="117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Agent’s Information”</w:t>
      </w:r>
      <w:r>
        <w:rPr>
          <w:rFonts w:ascii="Times New Roman" w:cs="Times New Roman" w:eastAsia="Times New Roman" w:hAnsi="Times New Roman"/>
          <w:sz w:val="18"/>
          <w:szCs w:val="18"/>
          <w:color w:val="auto"/>
        </w:rPr>
        <w:t xml:space="preserve"> means, solely the following information in the Prospectus: the third sentence of the eighth paragraph under the caption “Plan of Distribution” in the Prospectus.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107315</wp:posOffset>
            </wp:positionV>
            <wp:extent cx="715518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101" w:name="page102"/>
    <w:bookmarkEnd w:id="101"/>
    <w:p>
      <w:pPr>
        <w:ind w:right="220"/>
        <w:spacing w:after="0" w:line="266"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b w:val="1"/>
          <w:bCs w:val="1"/>
          <w:color w:val="auto"/>
        </w:rPr>
        <w:t>COWEN AND COMPANY, LLC</w:t>
      </w:r>
    </w:p>
    <w:p>
      <w:pPr>
        <w:spacing w:after="0" w:line="192" w:lineRule="exact"/>
        <w:rPr>
          <w:sz w:val="20"/>
          <w:szCs w:val="20"/>
          <w:color w:val="auto"/>
        </w:rPr>
      </w:pPr>
    </w:p>
    <w:p>
      <w:pPr>
        <w:ind w:left="5620"/>
        <w:spacing w:after="0"/>
        <w:tabs>
          <w:tab w:leader="none" w:pos="5940" w:val="left"/>
        </w:tabs>
        <w:rPr>
          <w:sz w:val="20"/>
          <w:szCs w:val="20"/>
          <w:color w:val="auto"/>
        </w:rPr>
      </w:pPr>
      <w:r>
        <w:rPr>
          <w:rFonts w:ascii="Times New Roman" w:cs="Times New Roman" w:eastAsia="Times New Roman" w:hAnsi="Times New Roman"/>
          <w:sz w:val="15"/>
          <w:szCs w:val="15"/>
          <w:color w:val="auto"/>
        </w:rPr>
        <w:t>By:</w:t>
        <w:tab/>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21590</wp:posOffset>
            </wp:positionV>
            <wp:extent cx="3362960"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3362960" cy="14605"/>
                    </a:xfrm>
                    <a:prstGeom prst="rect">
                      <a:avLst/>
                    </a:prstGeom>
                    <a:noFill/>
                  </pic:spPr>
                </pic:pic>
              </a:graphicData>
            </a:graphic>
          </wp:anchor>
        </w:drawing>
      </w:r>
    </w:p>
    <w:p>
      <w:pPr>
        <w:spacing w:after="0" w:line="22"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5"/>
          <w:szCs w:val="15"/>
          <w:color w:val="auto"/>
        </w:rPr>
        <w:t>Name:</w:t>
        <w:tab/>
        <w:t>Michael Murphy</w:t>
      </w:r>
    </w:p>
    <w:p>
      <w:pPr>
        <w:spacing w:after="0" w:line="21"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Managing Director</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b w:val="1"/>
          <w:bCs w:val="1"/>
          <w:color w:val="auto"/>
        </w:rPr>
        <w:t>ACCEPTED as of the date first-above written:</w:t>
      </w:r>
    </w:p>
    <w:p>
      <w:pPr>
        <w:spacing w:after="0" w:line="1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b w:val="1"/>
          <w:bCs w:val="1"/>
          <w:color w:val="auto"/>
        </w:rPr>
        <w:t>AVROBIO, INC.</w:t>
      </w:r>
    </w:p>
    <w:p>
      <w:pPr>
        <w:spacing w:after="0" w:line="192" w:lineRule="exact"/>
        <w:rPr>
          <w:sz w:val="20"/>
          <w:szCs w:val="20"/>
          <w:color w:val="auto"/>
        </w:rPr>
      </w:pPr>
    </w:p>
    <w:p>
      <w:pPr>
        <w:ind w:left="5620"/>
        <w:spacing w:after="0"/>
        <w:tabs>
          <w:tab w:leader="none" w:pos="59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Geoff MacKay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Name:</w:t>
            </w:r>
          </w:p>
        </w:tc>
        <w:tc>
          <w:tcPr>
            <w:tcW w:w="4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Geoff MacKay</w:t>
            </w:r>
          </w:p>
        </w:tc>
      </w:tr>
      <w:tr>
        <w:trPr>
          <w:trHeight w:val="194"/>
        </w:trPr>
        <w:tc>
          <w:tcPr>
            <w:tcW w:w="59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150"/>
        </w:trPr>
        <w:tc>
          <w:tcPr>
            <w:tcW w:w="5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r>
    </w:tbl>
    <w:p>
      <w:pPr>
        <w:sectPr>
          <w:pgSz w:w="11900" w:h="16838" w:orient="portrait"/>
          <w:cols w:equalWidth="0" w:num="1">
            <w:col w:w="11260"/>
          </w:cols>
          <w:pgMar w:left="320" w:top="118"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FORM OF PLACEMENT NOTICE</w:t>
      </w:r>
    </w:p>
    <w:p>
      <w:pPr>
        <w:sectPr>
          <w:pgSz w:w="11900" w:h="16838" w:orient="portrait"/>
          <w:cols w:equalWidth="0" w:num="1">
            <w:col w:w="11260"/>
          </w:cols>
          <w:pgMar w:left="320" w:top="114" w:right="31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____]</w:t>
      </w:r>
    </w:p>
    <w:p>
      <w:pPr>
        <w:spacing w:after="0" w:line="188" w:lineRule="exact"/>
        <w:rPr>
          <w:sz w:val="20"/>
          <w:szCs w:val="20"/>
          <w:color w:val="auto"/>
        </w:rPr>
      </w:pPr>
    </w:p>
    <w:p>
      <w:pPr>
        <w:sectPr>
          <w:pgSz w:w="11900" w:h="16838" w:orient="portrait"/>
          <w:cols w:equalWidth="0" w:num="2">
            <w:col w:w="400" w:space="720"/>
            <w:col w:w="10140"/>
          </w:cols>
          <w:pgMar w:left="32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 ____]</w:t>
      </w:r>
    </w:p>
    <w:p>
      <w:pPr>
        <w:spacing w:after="0" w:line="188" w:lineRule="exact"/>
        <w:rPr>
          <w:sz w:val="20"/>
          <w:szCs w:val="20"/>
          <w:color w:val="auto"/>
        </w:rPr>
      </w:pPr>
    </w:p>
    <w:p>
      <w:pPr>
        <w:sectPr>
          <w:pgSz w:w="11900" w:h="16838" w:orient="portrait"/>
          <w:cols w:equalWidth="0" w:num="2">
            <w:col w:w="400" w:space="720"/>
            <w:col w:w="10140"/>
          </w:cols>
          <w:pgMar w:left="32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 ____]</w:t>
      </w:r>
    </w:p>
    <w:p>
      <w:pPr>
        <w:spacing w:after="0" w:line="188" w:lineRule="exact"/>
        <w:rPr>
          <w:sz w:val="20"/>
          <w:szCs w:val="20"/>
          <w:color w:val="auto"/>
        </w:rPr>
      </w:pPr>
    </w:p>
    <w:p>
      <w:pPr>
        <w:sectPr>
          <w:pgSz w:w="11900" w:h="16838" w:orient="portrait"/>
          <w:cols w:equalWidth="0" w:num="2">
            <w:col w:w="400" w:space="720"/>
            <w:col w:w="10140"/>
          </w:cols>
          <w:pgMar w:left="32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Cowen at the Market Offering—Placement Notice</w:t>
      </w:r>
    </w:p>
    <w:p>
      <w:pPr>
        <w:spacing w:after="0" w:line="200" w:lineRule="exact"/>
        <w:rPr>
          <w:sz w:val="20"/>
          <w:szCs w:val="20"/>
          <w:color w:val="auto"/>
        </w:rPr>
      </w:pPr>
    </w:p>
    <w:p>
      <w:pPr>
        <w:sectPr>
          <w:pgSz w:w="11900" w:h="16838" w:orient="portrait"/>
          <w:cols w:equalWidth="0" w:num="2">
            <w:col w:w="480" w:space="640"/>
            <w:col w:w="10140"/>
          </w:cols>
          <w:pgMar w:left="320" w:top="114" w:right="31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ectPr>
          <w:pgSz w:w="11900" w:h="16838" w:orient="portrait"/>
          <w:cols w:equalWidth="0" w:num="1">
            <w:col w:w="11260"/>
          </w:cols>
          <w:pgMar w:left="320" w:top="114" w:right="319" w:bottom="1440" w:gutter="0" w:footer="0" w:header="0"/>
          <w:type w:val="continuous"/>
        </w:sectPr>
      </w:pPr>
    </w:p>
    <w:p>
      <w:pPr>
        <w:spacing w:after="0" w:line="19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AVROBIO,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Cowen and Company, LLC (“</w:t>
      </w:r>
      <w:r>
        <w:rPr>
          <w:rFonts w:ascii="Times New Roman" w:cs="Times New Roman" w:eastAsia="Times New Roman" w:hAnsi="Times New Roman"/>
          <w:sz w:val="18"/>
          <w:szCs w:val="18"/>
          <w:u w:val="single" w:color="auto"/>
          <w:color w:val="auto"/>
        </w:rPr>
        <w:t>Cowen</w:t>
      </w:r>
      <w:r>
        <w:rPr>
          <w:rFonts w:ascii="Times New Roman" w:cs="Times New Roman" w:eastAsia="Times New Roman" w:hAnsi="Times New Roman"/>
          <w:sz w:val="18"/>
          <w:szCs w:val="18"/>
          <w:color w:val="auto"/>
        </w:rPr>
        <w:t>”), dated November 8, 2022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 hereby request on behalf of the Company that Cowen sell up to [_] shares of the Company’s common stock, par value $0.0001 per share, at a minimum market price of $ _____ per share. Sales should begin on the date of this Notice and shall continue until [DATE] [all shares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85725</wp:posOffset>
            </wp:positionV>
            <wp:extent cx="7155180"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AVROBIO,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 MacKay – President and Chief Executive Officer</w:t>
      </w:r>
    </w:p>
    <w:p>
      <w:pPr>
        <w:spacing w:after="0" w:line="235" w:lineRule="auto"/>
        <w:rPr>
          <w:sz w:val="20"/>
          <w:szCs w:val="20"/>
          <w:color w:val="auto"/>
        </w:rPr>
      </w:pPr>
      <w:r>
        <w:rPr>
          <w:rFonts w:ascii="Times New Roman" w:cs="Times New Roman" w:eastAsia="Times New Roman" w:hAnsi="Times New Roman"/>
          <w:sz w:val="18"/>
          <w:szCs w:val="18"/>
          <w:color w:val="auto"/>
        </w:rPr>
        <w:t>Erik Ostrowski – Chief Financial Officer and Treasurer</w:t>
      </w:r>
    </w:p>
    <w:p>
      <w:pPr>
        <w:spacing w:after="0"/>
        <w:rPr>
          <w:sz w:val="20"/>
          <w:szCs w:val="20"/>
          <w:color w:val="auto"/>
        </w:rPr>
      </w:pPr>
      <w:r>
        <w:rPr>
          <w:rFonts w:ascii="Times New Roman" w:cs="Times New Roman" w:eastAsia="Times New Roman" w:hAnsi="Times New Roman"/>
          <w:sz w:val="18"/>
          <w:szCs w:val="18"/>
          <w:color w:val="auto"/>
        </w:rPr>
        <w:t>Steven Avruch – Chief Legal Officer and Secretary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Cowen and Company, LLC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Murphy – Managing Director</w:t>
      </w:r>
    </w:p>
    <w:p>
      <w:pPr>
        <w:spacing w:after="0" w:line="235" w:lineRule="auto"/>
        <w:rPr>
          <w:sz w:val="20"/>
          <w:szCs w:val="20"/>
          <w:color w:val="auto"/>
        </w:rPr>
      </w:pPr>
      <w:r>
        <w:rPr>
          <w:rFonts w:ascii="Times New Roman" w:cs="Times New Roman" w:eastAsia="Times New Roman" w:hAnsi="Times New Roman"/>
          <w:sz w:val="18"/>
          <w:szCs w:val="18"/>
          <w:color w:val="auto"/>
        </w:rPr>
        <w:t>Adriano Pierroz – Vice President</w:t>
      </w:r>
    </w:p>
    <w:p>
      <w:pPr>
        <w:spacing w:after="0"/>
        <w:rPr>
          <w:sz w:val="20"/>
          <w:szCs w:val="20"/>
          <w:color w:val="auto"/>
        </w:rPr>
      </w:pPr>
      <w:r>
        <w:rPr>
          <w:rFonts w:ascii="Times New Roman" w:cs="Times New Roman" w:eastAsia="Times New Roman" w:hAnsi="Times New Roman"/>
          <w:sz w:val="18"/>
          <w:szCs w:val="18"/>
          <w:color w:val="auto"/>
        </w:rPr>
        <w:t>Madeleine Stow –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92075</wp:posOffset>
            </wp:positionV>
            <wp:extent cx="715518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shall be paid compensation equal to 3% of the gross proceeds from the sales of Placement Shares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715518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7(m)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 CERTIFICATE</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The undersigned, the duly qualified and elected ______________, of </w:t>
      </w:r>
      <w:r>
        <w:rPr>
          <w:rFonts w:ascii="Times New Roman" w:cs="Times New Roman" w:eastAsia="Times New Roman" w:hAnsi="Times New Roman"/>
          <w:sz w:val="18"/>
          <w:szCs w:val="18"/>
          <w:b w:val="1"/>
          <w:bCs w:val="1"/>
          <w:color w:val="auto"/>
        </w:rPr>
        <w:t>AVROBIO,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 Delaware corporation, does hereby certify</w:t>
      </w:r>
    </w:p>
    <w:p>
      <w:pPr>
        <w:spacing w:after="0" w:line="20" w:lineRule="exact"/>
        <w:rPr>
          <w:sz w:val="20"/>
          <w:szCs w:val="20"/>
          <w:color w:val="auto"/>
        </w:rPr>
      </w:pPr>
    </w:p>
    <w:p>
      <w:pPr>
        <w:ind w:right="580"/>
        <w:spacing w:after="0" w:line="244" w:lineRule="auto"/>
        <w:rPr>
          <w:sz w:val="20"/>
          <w:szCs w:val="20"/>
          <w:color w:val="auto"/>
        </w:rPr>
      </w:pPr>
      <w:r>
        <w:rPr>
          <w:rFonts w:ascii="Times New Roman" w:cs="Times New Roman" w:eastAsia="Times New Roman" w:hAnsi="Times New Roman"/>
          <w:sz w:val="18"/>
          <w:szCs w:val="18"/>
          <w:color w:val="auto"/>
        </w:rPr>
        <w:t xml:space="preserve">in such capacity and on behalf of the Company,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of the Sales Agreement dated November 8, 2022 (the “</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color w:val="auto"/>
        </w:rPr>
        <w:t>”) between the Company and Cowen and Company, LLC, that to the best of the knowledge of the undersigned.</w:t>
      </w:r>
    </w:p>
    <w:p>
      <w:pPr>
        <w:spacing w:after="0" w:line="168" w:lineRule="exact"/>
        <w:rPr>
          <w:sz w:val="20"/>
          <w:szCs w:val="20"/>
          <w:color w:val="auto"/>
        </w:rPr>
      </w:pPr>
    </w:p>
    <w:p>
      <w:pPr>
        <w:ind w:right="140" w:firstLine="531"/>
        <w:spacing w:after="0"/>
        <w:tabs>
          <w:tab w:leader="none" w:pos="115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73" w:lineRule="exact"/>
        <w:rPr>
          <w:rFonts w:ascii="Times New Roman" w:cs="Times New Roman" w:eastAsia="Times New Roman" w:hAnsi="Times New Roman"/>
          <w:sz w:val="18"/>
          <w:szCs w:val="18"/>
          <w:color w:val="auto"/>
        </w:rPr>
      </w:pPr>
    </w:p>
    <w:p>
      <w:pPr>
        <w:ind w:right="260" w:firstLine="531"/>
        <w:spacing w:after="0" w:line="267" w:lineRule="auto"/>
        <w:tabs>
          <w:tab w:leader="none" w:pos="120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Sales Agreement.</w:t>
      </w: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13970</wp:posOffset>
            </wp:positionV>
            <wp:extent cx="3362960"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3362960" cy="14605"/>
                    </a:xfrm>
                    <a:prstGeom prst="rect">
                      <a:avLst/>
                    </a:prstGeom>
                    <a:noFill/>
                  </pic:spPr>
                </pic:pic>
              </a:graphicData>
            </a:graphic>
          </wp:anchor>
        </w:drawing>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Title: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5715</wp:posOffset>
            </wp:positionV>
            <wp:extent cx="2861945"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2861945" cy="146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320675</wp:posOffset>
            </wp:positionV>
            <wp:extent cx="7155180"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4.4</w:t>
      </w:r>
    </w:p>
    <w:p>
      <w:pPr>
        <w:spacing w:after="0" w:line="2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9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9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9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9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143510</wp:posOffset>
            </wp:positionV>
            <wp:extent cx="1073150"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1073150" cy="146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19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143510</wp:posOffset>
            </wp:positionV>
            <wp:extent cx="107315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1073150" cy="146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243205</wp:posOffset>
            </wp:positionV>
            <wp:extent cx="715518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40"/>
          </w:cols>
          <w:pgMar w:left="1440" w:top="245" w:right="319" w:bottom="1440" w:gutter="0" w:footer="0" w:header="0"/>
        </w:sectPr>
      </w:pPr>
    </w:p>
    <w:bookmarkStart w:id="107" w:name="page108"/>
    <w:bookmarkEnd w:id="107"/>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30"/>
          <w:szCs w:val="30"/>
          <w:b w:val="1"/>
          <w:bCs w:val="1"/>
          <w:color w:val="auto"/>
          <w:vertAlign w:val="superscript"/>
        </w:rPr>
        <w:t>1</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1 </w:t>
            </w:r>
            <w:r>
              <w:rPr>
                <w:rFonts w:ascii="Times New Roman" w:cs="Times New Roman" w:eastAsia="Times New Roman" w:hAnsi="Times New Roman"/>
                <w:sz w:val="15"/>
                <w:szCs w:val="15"/>
                <w:color w:val="auto"/>
              </w:rPr>
              <w:t>DEFINITIONS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1.01</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Definitions of Terms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2 </w:t>
            </w:r>
            <w:r>
              <w:rPr>
                <w:rFonts w:ascii="Times New Roman" w:cs="Times New Roman" w:eastAsia="Times New Roman" w:hAnsi="Times New Roman"/>
                <w:sz w:val="15"/>
                <w:szCs w:val="15"/>
                <w:color w:val="auto"/>
              </w:rPr>
              <w:t>ISSUE, DESCRIPTION, TERMS, EXECUTION, REGISTRATION AND EXCHANGE OF SECURITIES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2.01</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Designation and Terms of Securities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2.02</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Form of Securities and Trustee’s Certificate</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2.03</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Denominations: Provisions for Payment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2.04</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Execution and Authentications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2.05</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Registration of Transfer and Exchange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2.06</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Temporary Securities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2.07</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Mutilated, Destroyed, Lost or Stolen Securities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2.08</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Cancellation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2.09</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Benefits of Indenture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2.10</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Authenticating Agent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2.11</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Global Securities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3 </w:t>
            </w:r>
            <w:r>
              <w:rPr>
                <w:rFonts w:ascii="Times New Roman" w:cs="Times New Roman" w:eastAsia="Times New Roman" w:hAnsi="Times New Roman"/>
                <w:sz w:val="15"/>
                <w:szCs w:val="15"/>
                <w:color w:val="auto"/>
              </w:rPr>
              <w:t>REDEMPTION OF SECURITIES AND SINKING FUND PROVISIONS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3.01</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Redemption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3.02</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Notice of Redemption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3.03</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Payment Upon Redemption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3.04</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Sinking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3.05</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Satisfaction of Sinking Fund Payments with Securities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3.06</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Redemption of Securities for Sinking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4 </w:t>
            </w:r>
            <w:r>
              <w:rPr>
                <w:rFonts w:ascii="Times New Roman" w:cs="Times New Roman" w:eastAsia="Times New Roman" w:hAnsi="Times New Roman"/>
                <w:sz w:val="15"/>
                <w:szCs w:val="15"/>
                <w:color w:val="auto"/>
              </w:rPr>
              <w:t>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spacing w:after="0"/>
              <w:rPr>
                <w:sz w:val="15"/>
                <w:szCs w:val="15"/>
                <w:color w:val="auto"/>
              </w:rPr>
            </w:pPr>
          </w:p>
        </w:tc>
        <w:tc>
          <w:tcPr>
            <w:tcW w:w="77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4.01</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 of Principal, Premium and Interest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4.02</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Maintenance of Office or Agency</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4.03</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Paying Agents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4.04</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Appointment to Fill Vacancy in Office of Trustee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4.05</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Compliance with Consolidation Provisions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5 </w:t>
            </w:r>
            <w:r>
              <w:rPr>
                <w:rFonts w:ascii="Times New Roman" w:cs="Times New Roman" w:eastAsia="Times New Roman" w:hAnsi="Times New Roman"/>
                <w:sz w:val="15"/>
                <w:szCs w:val="15"/>
                <w:color w:val="auto"/>
              </w:rPr>
              <w:t>SECURITYHOLDERS’ LISTS AND REPORTS BY THE COMPANY AND THE TRUSTEE</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spacing w:after="0"/>
              <w:rPr>
                <w:sz w:val="15"/>
                <w:szCs w:val="15"/>
                <w:color w:val="auto"/>
              </w:rPr>
            </w:pPr>
          </w:p>
        </w:tc>
        <w:tc>
          <w:tcPr>
            <w:tcW w:w="77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5.01</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Company to Furnish Trustee Names and Addresses of Securityholders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5.02</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Preservation Of Information; Communications With Securityholders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5.03</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Reports by the Company</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5.04</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Reports by the Trustee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6 </w:t>
            </w:r>
            <w:r>
              <w:rPr>
                <w:rFonts w:ascii="Times New Roman" w:cs="Times New Roman" w:eastAsia="Times New Roman" w:hAnsi="Times New Roman"/>
                <w:sz w:val="15"/>
                <w:szCs w:val="15"/>
                <w:color w:val="auto"/>
              </w:rPr>
              <w:t>REMEDIES OF THE TRUSTEE AND SECURITYHOLDERS ON EVENT OF DEFAULT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6.01</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Events of Default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6.02</w:t>
            </w:r>
          </w:p>
        </w:tc>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Collection of Indebtedness and Suits for Enforcement by Trustee</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1788795"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1788795" cy="1460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5610" w:right="4000" w:hanging="5610"/>
        <w:spacing w:after="0" w:line="692" w:lineRule="auto"/>
        <w:tabs>
          <w:tab w:leader="none" w:pos="128" w:val="left"/>
        </w:tabs>
        <w:numPr>
          <w:ilvl w:val="0"/>
          <w:numId w:val="1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This Table of Contents does not constitute part of the Indenture and shall not have any bearing on the interpretation of any of its terms or provisions.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7155180"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10"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6.03</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Application of Moneys Collected</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6.04</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Limitation on Suits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6.05</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Rights and Remedies Cumulative; Delay or Omission Not Waiver</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6.06</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Control by Securityholders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6.07</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Undertaking to Pay Costs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0"/>
        </w:trPr>
        <w:tc>
          <w:tcPr>
            <w:tcW w:w="8380" w:type="dxa"/>
            <w:vAlign w:val="bottom"/>
            <w:gridSpan w:val="2"/>
          </w:tcPr>
          <w:p>
            <w:pPr>
              <w:spacing w:after="0"/>
              <w:rPr>
                <w:sz w:val="15"/>
                <w:szCs w:val="15"/>
                <w:color w:val="auto"/>
              </w:rPr>
            </w:pPr>
          </w:p>
        </w:tc>
        <w:tc>
          <w:tcPr>
            <w:tcW w:w="2880" w:type="dxa"/>
            <w:vAlign w:val="bottom"/>
          </w:tcPr>
          <w:p>
            <w:pPr>
              <w:spacing w:after="0"/>
              <w:rPr>
                <w:sz w:val="15"/>
                <w:szCs w:val="15"/>
                <w:color w:val="auto"/>
              </w:rPr>
            </w:pPr>
          </w:p>
        </w:tc>
      </w:tr>
      <w:tr>
        <w:trPr>
          <w:trHeight w:val="180"/>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7 </w:t>
            </w:r>
            <w:r>
              <w:rPr>
                <w:rFonts w:ascii="Times New Roman" w:cs="Times New Roman" w:eastAsia="Times New Roman" w:hAnsi="Times New Roman"/>
                <w:sz w:val="15"/>
                <w:szCs w:val="15"/>
                <w:color w:val="auto"/>
              </w:rPr>
              <w:t>CONCERNING THE TRUSTEE</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80"/>
        </w:trPr>
        <w:tc>
          <w:tcPr>
            <w:tcW w:w="15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7.01</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Certain Duties and Responsibilities of Trustee</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7.02</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Certain Rights of Trustee</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7.03</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Trustee Not Responsible for Recitals or Issuance or Securities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7.04</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May Hold Securities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7.05</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Moneys Held in Trust</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7.06</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Compensation and Reimbursement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7.07</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Reliance on Officer’s Certificate or Opinion of Counsel</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7.08</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Disqualification; Conflicting Interests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7.09</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Corporate Trustee Required; Eligibility</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7.10</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Resignation and Removal; Appointment of Successor</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7.11</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Acceptance of Appointment By Successor</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7.12</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Merger, Conversion, Consolidation or Succession to Business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7.13</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Preferential Collection of Claims Against the Company</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7.14</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Notice of Default</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0"/>
        </w:trPr>
        <w:tc>
          <w:tcPr>
            <w:tcW w:w="8380" w:type="dxa"/>
            <w:vAlign w:val="bottom"/>
            <w:gridSpan w:val="2"/>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8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8 </w:t>
            </w:r>
            <w:r>
              <w:rPr>
                <w:rFonts w:ascii="Times New Roman" w:cs="Times New Roman" w:eastAsia="Times New Roman" w:hAnsi="Times New Roman"/>
                <w:sz w:val="15"/>
                <w:szCs w:val="15"/>
                <w:color w:val="auto"/>
              </w:rPr>
              <w:t>CONCERNING THE SECURITYHOLDERS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0"/>
        </w:trPr>
        <w:tc>
          <w:tcPr>
            <w:tcW w:w="1520" w:type="dxa"/>
            <w:vAlign w:val="bottom"/>
            <w:shd w:val="clear" w:color="auto" w:fill="CCEEFF"/>
          </w:tcPr>
          <w:p>
            <w:pPr>
              <w:spacing w:after="0"/>
              <w:rPr>
                <w:sz w:val="15"/>
                <w:szCs w:val="15"/>
                <w:color w:val="auto"/>
              </w:rPr>
            </w:pPr>
          </w:p>
        </w:tc>
        <w:tc>
          <w:tcPr>
            <w:tcW w:w="68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8.01</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Evidence of Action by Securityholders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8.02</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Proof of Execution by Securityholders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8.03</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Who May be Deemed Owners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8.04</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Certain Securities Owned by Company Disregarded</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8.05</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Actions Binding on Future Securityholders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0"/>
        </w:trPr>
        <w:tc>
          <w:tcPr>
            <w:tcW w:w="8380" w:type="dxa"/>
            <w:vAlign w:val="bottom"/>
            <w:gridSpan w:val="2"/>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8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9 </w:t>
            </w:r>
            <w:r>
              <w:rPr>
                <w:rFonts w:ascii="Times New Roman" w:cs="Times New Roman" w:eastAsia="Times New Roman" w:hAnsi="Times New Roman"/>
                <w:sz w:val="15"/>
                <w:szCs w:val="15"/>
                <w:color w:val="auto"/>
              </w:rPr>
              <w:t>SUPPLEMENTAL INDENTURES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0"/>
        </w:trPr>
        <w:tc>
          <w:tcPr>
            <w:tcW w:w="1520" w:type="dxa"/>
            <w:vAlign w:val="bottom"/>
            <w:shd w:val="clear" w:color="auto" w:fill="CCEEFF"/>
          </w:tcPr>
          <w:p>
            <w:pPr>
              <w:spacing w:after="0"/>
              <w:rPr>
                <w:sz w:val="15"/>
                <w:szCs w:val="15"/>
                <w:color w:val="auto"/>
              </w:rPr>
            </w:pPr>
          </w:p>
        </w:tc>
        <w:tc>
          <w:tcPr>
            <w:tcW w:w="68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9.01</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Supplemental Indentures Without the Consent of Securityholders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9.02</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Supplemental Indentures With Consent of Securityholders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9.03</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Effect of Supplemental Indentures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9.04</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Securities Affected by Supplemental Indentures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9.05</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Execution of Supplemental Indentures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0"/>
        </w:trPr>
        <w:tc>
          <w:tcPr>
            <w:tcW w:w="8380" w:type="dxa"/>
            <w:vAlign w:val="bottom"/>
            <w:gridSpan w:val="2"/>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8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10 </w:t>
            </w:r>
            <w:r>
              <w:rPr>
                <w:rFonts w:ascii="Times New Roman" w:cs="Times New Roman" w:eastAsia="Times New Roman" w:hAnsi="Times New Roman"/>
                <w:sz w:val="15"/>
                <w:szCs w:val="15"/>
                <w:color w:val="auto"/>
              </w:rPr>
              <w:t>SUCCESSOR ENTITY</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0"/>
        </w:trPr>
        <w:tc>
          <w:tcPr>
            <w:tcW w:w="1520" w:type="dxa"/>
            <w:vAlign w:val="bottom"/>
            <w:shd w:val="clear" w:color="auto" w:fill="CCEEFF"/>
          </w:tcPr>
          <w:p>
            <w:pPr>
              <w:spacing w:after="0"/>
              <w:rPr>
                <w:sz w:val="15"/>
                <w:szCs w:val="15"/>
                <w:color w:val="auto"/>
              </w:rPr>
            </w:pPr>
          </w:p>
        </w:tc>
        <w:tc>
          <w:tcPr>
            <w:tcW w:w="68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10.01</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Company May Consolidate, Etc</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10.02</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Successor Entity Substituted</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0"/>
        </w:trPr>
        <w:tc>
          <w:tcPr>
            <w:tcW w:w="8380" w:type="dxa"/>
            <w:vAlign w:val="bottom"/>
            <w:gridSpan w:val="2"/>
          </w:tcPr>
          <w:p>
            <w:pPr>
              <w:spacing w:after="0"/>
              <w:rPr>
                <w:sz w:val="15"/>
                <w:szCs w:val="15"/>
                <w:color w:val="auto"/>
              </w:rPr>
            </w:pPr>
          </w:p>
        </w:tc>
        <w:tc>
          <w:tcPr>
            <w:tcW w:w="2880" w:type="dxa"/>
            <w:vAlign w:val="bottom"/>
          </w:tcPr>
          <w:p>
            <w:pPr>
              <w:spacing w:after="0"/>
              <w:rPr>
                <w:sz w:val="15"/>
                <w:szCs w:val="15"/>
                <w:color w:val="auto"/>
              </w:rPr>
            </w:pPr>
          </w:p>
        </w:tc>
      </w:tr>
      <w:tr>
        <w:trPr>
          <w:trHeight w:val="180"/>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11 </w:t>
            </w:r>
            <w:r>
              <w:rPr>
                <w:rFonts w:ascii="Times New Roman" w:cs="Times New Roman" w:eastAsia="Times New Roman" w:hAnsi="Times New Roman"/>
                <w:sz w:val="15"/>
                <w:szCs w:val="15"/>
                <w:color w:val="auto"/>
              </w:rPr>
              <w:t>SATISFACTION AND DISCHARGE</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0"/>
        </w:trPr>
        <w:tc>
          <w:tcPr>
            <w:tcW w:w="15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11.01</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Satisfaction and Discharge of Indenture</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11.02</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Discharge of Obligations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11.03</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Deposited Moneys to be Held in Trust</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11.04</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 of Moneys Held by Paying Agents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11.05</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Repayment to Company</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r>
    </w:tbl>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8"/>
        </w:trPr>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12 </w:t>
            </w:r>
            <w:r>
              <w:rPr>
                <w:rFonts w:ascii="Times New Roman" w:cs="Times New Roman" w:eastAsia="Times New Roman" w:hAnsi="Times New Roman"/>
                <w:sz w:val="15"/>
                <w:szCs w:val="15"/>
                <w:color w:val="auto"/>
              </w:rPr>
              <w:t>IMMUNITY OF INCORPORATORS, STOCKHOLDERS, OFFICERS AND DIRECTORS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52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12.01</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 Recourse</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13 </w:t>
            </w:r>
            <w:r>
              <w:rPr>
                <w:rFonts w:ascii="Times New Roman" w:cs="Times New Roman" w:eastAsia="Times New Roman" w:hAnsi="Times New Roman"/>
                <w:sz w:val="15"/>
                <w:szCs w:val="15"/>
                <w:color w:val="auto"/>
              </w:rPr>
              <w:t>MISCELLANEOUS PROVISIONS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spacing w:after="0"/>
              <w:rPr>
                <w:sz w:val="15"/>
                <w:szCs w:val="15"/>
                <w:color w:val="auto"/>
              </w:rPr>
            </w:pPr>
          </w:p>
        </w:tc>
        <w:tc>
          <w:tcPr>
            <w:tcW w:w="724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13.01</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Effect on Successors and Assigns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13.02</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Actions by Successor</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13.03</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Surrender of Company Powers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13.04</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Notices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13.05</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Governing Law; Jury Trial Waiver</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13.06</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Treatment of Securities as Debt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13.07</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Certificates and Opinions as to Conditions Precedent</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13.08</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Payments on Business Days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13.09</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Conflict with Trust Indenture Act</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13.10</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Counterparts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13.11</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Separability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13.12</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Compliance Certificates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Section 13.13</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USA PATRIOT ACT</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Section 13.14</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Calculations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TRUST INDENTURE ACT CROSS-REFERENCE TABLE</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A-1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0" w:name="page111"/>
    <w:bookmarkEnd w:id="11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INDENTURE</w:t>
      </w:r>
      <w:r>
        <w:rPr>
          <w:rFonts w:ascii="Times New Roman" w:cs="Times New Roman" w:eastAsia="Times New Roman" w:hAnsi="Times New Roman"/>
          <w:sz w:val="15"/>
          <w:szCs w:val="15"/>
          <w:color w:val="auto"/>
        </w:rPr>
        <w:t>, dated as of [•], 20[•], among</w:t>
      </w:r>
      <w:r>
        <w:rPr>
          <w:rFonts w:ascii="Times New Roman" w:cs="Times New Roman" w:eastAsia="Times New Roman" w:hAnsi="Times New Roman"/>
          <w:sz w:val="15"/>
          <w:szCs w:val="15"/>
          <w:b w:val="1"/>
          <w:bCs w:val="1"/>
          <w:color w:val="auto"/>
        </w:rPr>
        <w:t xml:space="preserve"> AVROBIO, INC.</w:t>
      </w:r>
      <w:r>
        <w:rPr>
          <w:rFonts w:ascii="Times New Roman" w:cs="Times New Roman" w:eastAsia="Times New Roman" w:hAnsi="Times New Roman"/>
          <w:sz w:val="15"/>
          <w:szCs w:val="15"/>
          <w:color w:val="auto"/>
        </w:rPr>
        <w:t>, a Delaware corporation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 as trustee (the “</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w:t>
      </w:r>
    </w:p>
    <w:p>
      <w:pPr>
        <w:spacing w:after="0" w:line="211" w:lineRule="exact"/>
        <w:rPr>
          <w:sz w:val="20"/>
          <w:szCs w:val="20"/>
          <w:color w:val="auto"/>
        </w:rPr>
      </w:pPr>
    </w:p>
    <w:p>
      <w:pPr>
        <w:ind w:right="160" w:firstLine="541"/>
        <w:spacing w:after="0" w:line="268"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for its lawful corporate purposes, the Company has duly authorized the execution and delivery of this Indenture to provide for the issuance of debt securities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(hereinafter referred to as the “</w:t>
      </w: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5"/>
          <w:szCs w:val="15"/>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66" w:lineRule="exact"/>
        <w:rPr>
          <w:sz w:val="20"/>
          <w:szCs w:val="20"/>
          <w:color w:val="auto"/>
        </w:rPr>
      </w:pPr>
    </w:p>
    <w:p>
      <w:pPr>
        <w:ind w:firstLine="541"/>
        <w:spacing w:after="0" w:line="28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to provide the terms and conditions upon which the Securities are to be authenticated, issued and delivered, the Company has duly authorized the execution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Indenture; and</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all things necessary to make this Indenture a valid and binding agreement of the Company, in accordance with its terms, have been done.</w:t>
      </w:r>
    </w:p>
    <w:p>
      <w:pPr>
        <w:spacing w:after="0" w:line="211" w:lineRule="exact"/>
        <w:rPr>
          <w:sz w:val="20"/>
          <w:szCs w:val="20"/>
          <w:color w:val="auto"/>
        </w:rPr>
      </w:pPr>
    </w:p>
    <w:p>
      <w:pPr>
        <w:ind w:right="100" w:firstLine="541"/>
        <w:spacing w:after="0" w:line="286" w:lineRule="auto"/>
        <w:rPr>
          <w:sz w:val="20"/>
          <w:szCs w:val="20"/>
          <w:color w:val="auto"/>
        </w:rPr>
      </w:pPr>
      <w:r>
        <w:rPr>
          <w:rFonts w:ascii="Times New Roman" w:cs="Times New Roman" w:eastAsia="Times New Roman" w:hAnsi="Times New Roman"/>
          <w:sz w:val="15"/>
          <w:szCs w:val="15"/>
          <w:b w:val="1"/>
          <w:bCs w:val="1"/>
          <w:color w:val="auto"/>
        </w:rPr>
        <w:t>NOW, THEREFORE</w:t>
      </w:r>
      <w:r>
        <w:rPr>
          <w:rFonts w:ascii="Times New Roman" w:cs="Times New Roman" w:eastAsia="Times New Roman" w:hAnsi="Times New Roman"/>
          <w:sz w:val="15"/>
          <w:szCs w:val="15"/>
          <w:color w:val="auto"/>
        </w:rPr>
        <w:t>, in consideration of the premises and the purchase of the Securities by the holders thereof, it is mutually covenanted and agreed as follows for the equal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ratable benefit of the holders of Securities:</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Definitions of Terms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20" w:firstLine="541"/>
        <w:spacing w:after="0" w:line="241"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69" w:lineRule="exact"/>
        <w:rPr>
          <w:sz w:val="20"/>
          <w:szCs w:val="20"/>
          <w:color w:val="auto"/>
        </w:rPr>
      </w:pPr>
    </w:p>
    <w:p>
      <w:pPr>
        <w:ind w:right="20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xml:space="preserve">” means an authenticating agent with respect to all or any of the series of Securities appointed by the Trustee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199" w:lineRule="exact"/>
        <w:rPr>
          <w:sz w:val="20"/>
          <w:szCs w:val="20"/>
          <w:color w:val="auto"/>
        </w:rPr>
      </w:pPr>
    </w:p>
    <w:p>
      <w:pPr>
        <w:ind w:right="2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199390</wp:posOffset>
            </wp:positionV>
            <wp:extent cx="7155180"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111" w:name="page112"/>
    <w:bookmarkEnd w:id="111"/>
    <w:p>
      <w:pPr>
        <w:ind w:right="20" w:firstLine="541"/>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42" w:lineRule="exact"/>
        <w:rPr>
          <w:sz w:val="20"/>
          <w:szCs w:val="20"/>
          <w:color w:val="auto"/>
        </w:rPr>
      </w:pPr>
    </w:p>
    <w:p>
      <w:pPr>
        <w:ind w:right="5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41" w:lineRule="exact"/>
        <w:rPr>
          <w:sz w:val="20"/>
          <w:szCs w:val="20"/>
          <w:color w:val="auto"/>
        </w:rPr>
      </w:pPr>
    </w:p>
    <w:p>
      <w:pPr>
        <w:ind w:firstLine="58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57" w:lineRule="exact"/>
        <w:rPr>
          <w:sz w:val="20"/>
          <w:szCs w:val="20"/>
          <w:color w:val="auto"/>
        </w:rPr>
      </w:pPr>
    </w:p>
    <w:p>
      <w:pPr>
        <w:ind w:right="70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AVROBIO, Inc., a corporation duly organized and existing under the laws of the State of Delaware, and, subject to the provisions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shall also include its successors and assigns.</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 Officer of the Company, and delivered to the Trustee.</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administered, which</w:t>
      </w:r>
    </w:p>
    <w:p>
      <w:pPr>
        <w:spacing w:after="0" w:line="20"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office at the date hereof is located at</w:t>
      </w:r>
      <w:r>
        <w:rPr>
          <w:sz w:val="20"/>
          <w:szCs w:val="20"/>
          <w:color w:val="auto"/>
        </w:rPr>
        <w:tab/>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0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right="1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means, with respect to Securities of a particular series, any event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continued for the period of time, if any, therein designated.</w:t>
      </w:r>
    </w:p>
    <w:p>
      <w:pPr>
        <w:spacing w:after="0" w:line="141" w:lineRule="exact"/>
        <w:rPr>
          <w:sz w:val="20"/>
          <w:szCs w:val="20"/>
          <w:color w:val="auto"/>
        </w:rPr>
      </w:pPr>
    </w:p>
    <w:p>
      <w:pPr>
        <w:ind w:right="42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41" w:lineRule="exact"/>
        <w:rPr>
          <w:sz w:val="20"/>
          <w:szCs w:val="20"/>
          <w:color w:val="auto"/>
        </w:rPr>
      </w:pPr>
    </w:p>
    <w:p>
      <w:pPr>
        <w:jc w:val="both"/>
        <w:ind w:right="4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ind w:right="60" w:firstLine="541"/>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Obligations</w:t>
      </w:r>
      <w:r>
        <w:rPr>
          <w:rFonts w:ascii="Times New Roman" w:cs="Times New Roman" w:eastAsia="Times New Roman" w:hAnsi="Times New Roman"/>
          <w:sz w:val="18"/>
          <w:szCs w:val="18"/>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72" w:lineRule="exact"/>
        <w:rPr>
          <w:sz w:val="20"/>
          <w:szCs w:val="20"/>
          <w:color w:val="auto"/>
        </w:rPr>
      </w:pPr>
    </w:p>
    <w:p>
      <w:pPr>
        <w:ind w:right="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41" w:lineRule="exact"/>
        <w:rPr>
          <w:sz w:val="20"/>
          <w:szCs w:val="20"/>
          <w:color w:val="auto"/>
        </w:rPr>
      </w:pPr>
    </w:p>
    <w:p>
      <w:pPr>
        <w:ind w:right="24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57" w:lineRule="exact"/>
        <w:rPr>
          <w:sz w:val="20"/>
          <w:szCs w:val="20"/>
          <w:color w:val="auto"/>
        </w:rPr>
      </w:pPr>
    </w:p>
    <w:p>
      <w:pPr>
        <w:jc w:val="both"/>
        <w:ind w:right="18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57" w:lineRule="exact"/>
        <w:rPr>
          <w:sz w:val="20"/>
          <w:szCs w:val="20"/>
          <w:color w:val="auto"/>
        </w:rPr>
      </w:pPr>
    </w:p>
    <w:p>
      <w:pPr>
        <w:ind w:right="14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signed by any Officer. Each such certificate shall include the statements provided for in </w:t>
      </w:r>
      <w:r>
        <w:rPr>
          <w:rFonts w:ascii="Times New Roman" w:cs="Times New Roman" w:eastAsia="Times New Roman" w:hAnsi="Times New Roman"/>
          <w:sz w:val="18"/>
          <w:szCs w:val="18"/>
          <w:u w:val="single" w:color="auto"/>
          <w:color w:val="auto"/>
        </w:rPr>
        <w:t>Section 13.07</w:t>
      </w:r>
      <w:r>
        <w:rPr>
          <w:rFonts w:ascii="Times New Roman" w:cs="Times New Roman" w:eastAsia="Times New Roman" w:hAnsi="Times New Roman"/>
          <w:sz w:val="18"/>
          <w:szCs w:val="18"/>
          <w:color w:val="auto"/>
        </w:rPr>
        <w:t>, if and to the extent required by the provisions thereof.</w:t>
      </w:r>
    </w:p>
    <w:p>
      <w:pPr>
        <w:spacing w:after="0" w:line="141" w:lineRule="exact"/>
        <w:rPr>
          <w:sz w:val="20"/>
          <w:szCs w:val="20"/>
          <w:color w:val="auto"/>
        </w:rPr>
      </w:pPr>
    </w:p>
    <w:p>
      <w:pPr>
        <w:ind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13.07</w:t>
      </w:r>
      <w:r>
        <w:rPr>
          <w:rFonts w:ascii="Times New Roman" w:cs="Times New Roman" w:eastAsia="Times New Roman" w:hAnsi="Times New Roman"/>
          <w:sz w:val="18"/>
          <w:szCs w:val="18"/>
          <w:color w:val="auto"/>
        </w:rPr>
        <w:t>, if and to the extent required by the provisions thereof.</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ind w:firstLine="54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xml:space="preserve">”, when used with reference to Securities of any series, means, subject to the provisions of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Securities or portions of such Securities are to be redeemed prior to the maturity thereof, notice of such redemption shall have been given as provided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4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41" w:lineRule="exact"/>
        <w:rPr>
          <w:sz w:val="20"/>
          <w:szCs w:val="20"/>
          <w:color w:val="auto"/>
        </w:rPr>
      </w:pPr>
    </w:p>
    <w:p>
      <w:pPr>
        <w:jc w:val="both"/>
        <w:ind w:right="12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Security</w:t>
      </w:r>
      <w:r>
        <w:rPr>
          <w:rFonts w:ascii="Times New Roman" w:cs="Times New Roman" w:eastAsia="Times New Roman" w:hAnsi="Times New Roman"/>
          <w:sz w:val="18"/>
          <w:szCs w:val="18"/>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in lieu of a lost, destroyed or stolen Security shall be deemed to evidence the same debt as the lost, destroyed or stolen Security.</w:t>
      </w:r>
    </w:p>
    <w:p>
      <w:pPr>
        <w:spacing w:after="0" w:line="157" w:lineRule="exact"/>
        <w:rPr>
          <w:sz w:val="20"/>
          <w:szCs w:val="20"/>
          <w:color w:val="auto"/>
        </w:rPr>
      </w:pPr>
    </w:p>
    <w:p>
      <w:pPr>
        <w:ind w:right="120" w:firstLine="54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Responsible Officer</w:t>
      </w:r>
      <w:r>
        <w:rPr>
          <w:rFonts w:ascii="Times New Roman" w:cs="Times New Roman" w:eastAsia="Times New Roman" w:hAnsi="Times New Roman"/>
          <w:sz w:val="17"/>
          <w:szCs w:val="17"/>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50" w:lineRule="exact"/>
        <w:rPr>
          <w:sz w:val="20"/>
          <w:szCs w:val="20"/>
          <w:color w:val="auto"/>
        </w:rPr>
      </w:pPr>
    </w:p>
    <w:p>
      <w:pPr>
        <w:ind w:right="42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41" w:lineRule="exact"/>
        <w:rPr>
          <w:sz w:val="20"/>
          <w:szCs w:val="20"/>
          <w:color w:val="auto"/>
        </w:rPr>
      </w:pPr>
    </w:p>
    <w:p>
      <w:pPr>
        <w:ind w:right="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xml:space="preserve">” shall have the meanings as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w:t>
      </w:r>
    </w:p>
    <w:p>
      <w:pPr>
        <w:spacing w:after="0" w:line="203" w:lineRule="exact"/>
        <w:rPr>
          <w:sz w:val="20"/>
          <w:szCs w:val="20"/>
          <w:color w:val="auto"/>
        </w:rPr>
      </w:pPr>
    </w:p>
    <w:p>
      <w:pPr>
        <w:ind w:left="540" w:right="160" w:firstLine="532"/>
        <w:spacing w:after="0" w:line="251" w:lineRule="auto"/>
        <w:tabs>
          <w:tab w:leader="none" w:pos="156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by one or more subsidiaries of such Person or by such Person and one or more subsidiaries of such Person;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14" w:name="page115"/>
    <w:bookmarkEnd w:id="114"/>
    <w:p>
      <w:pPr>
        <w:ind w:left="540" w:right="800" w:firstLine="532"/>
        <w:spacing w:after="0" w:line="266" w:lineRule="auto"/>
        <w:tabs>
          <w:tab w:leader="none" w:pos="156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in which such Person or a subsidiary of such Person is, at the date of determination, a general partner of such partnership; or</w:t>
      </w:r>
    </w:p>
    <w:p>
      <w:pPr>
        <w:spacing w:after="0" w:line="148" w:lineRule="exact"/>
        <w:rPr>
          <w:rFonts w:ascii="Times New Roman" w:cs="Times New Roman" w:eastAsia="Times New Roman" w:hAnsi="Times New Roman"/>
          <w:sz w:val="18"/>
          <w:szCs w:val="18"/>
          <w:color w:val="auto"/>
        </w:rPr>
      </w:pPr>
    </w:p>
    <w:p>
      <w:pPr>
        <w:ind w:left="540" w:right="20" w:firstLine="532"/>
        <w:spacing w:after="0" w:line="245" w:lineRule="auto"/>
        <w:tabs>
          <w:tab w:leader="none" w:pos="156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65" w:lineRule="exact"/>
        <w:rPr>
          <w:sz w:val="20"/>
          <w:szCs w:val="20"/>
          <w:color w:val="auto"/>
        </w:rPr>
      </w:pPr>
    </w:p>
    <w:p>
      <w:pPr>
        <w:ind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means , and, subject to the provisions of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 and in effect from time to time.</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EXCHANGE OF SECURITIES</w:t>
      </w:r>
    </w:p>
    <w:p>
      <w:pPr>
        <w:spacing w:after="0" w:line="17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Designation and Terms of Securities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60" w:firstLine="1072"/>
        <w:spacing w:after="0" w:line="245" w:lineRule="auto"/>
        <w:tabs>
          <w:tab w:leader="none" w:pos="159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68" w:lineRule="exact"/>
        <w:rPr>
          <w:rFonts w:ascii="Times New Roman" w:cs="Times New Roman" w:eastAsia="Times New Roman" w:hAnsi="Times New Roman"/>
          <w:sz w:val="18"/>
          <w:szCs w:val="18"/>
          <w:color w:val="auto"/>
        </w:rPr>
      </w:pPr>
    </w:p>
    <w:p>
      <w:pPr>
        <w:ind w:left="1960" w:hanging="483"/>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198" w:lineRule="exact"/>
        <w:rPr>
          <w:rFonts w:ascii="Times New Roman" w:cs="Times New Roman" w:eastAsia="Times New Roman" w:hAnsi="Times New Roman"/>
          <w:sz w:val="18"/>
          <w:szCs w:val="18"/>
          <w:color w:val="auto"/>
        </w:rPr>
      </w:pPr>
    </w:p>
    <w:p>
      <w:pPr>
        <w:ind w:left="540" w:right="60" w:firstLine="937"/>
        <w:spacing w:after="0" w:line="251" w:lineRule="auto"/>
        <w:tabs>
          <w:tab w:leader="none" w:pos="196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161" w:lineRule="exact"/>
        <w:rPr>
          <w:rFonts w:ascii="Times New Roman" w:cs="Times New Roman" w:eastAsia="Times New Roman" w:hAnsi="Times New Roman"/>
          <w:sz w:val="18"/>
          <w:szCs w:val="18"/>
          <w:color w:val="auto"/>
        </w:rPr>
      </w:pPr>
    </w:p>
    <w:p>
      <w:pPr>
        <w:ind w:left="1960" w:hanging="483"/>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98" w:lineRule="exact"/>
        <w:rPr>
          <w:rFonts w:ascii="Times New Roman" w:cs="Times New Roman" w:eastAsia="Times New Roman" w:hAnsi="Times New Roman"/>
          <w:sz w:val="18"/>
          <w:szCs w:val="18"/>
          <w:color w:val="auto"/>
        </w:rPr>
      </w:pPr>
    </w:p>
    <w:p>
      <w:pPr>
        <w:ind w:left="540" w:right="120" w:firstLine="937"/>
        <w:spacing w:after="0" w:line="245" w:lineRule="auto"/>
        <w:tabs>
          <w:tab w:leader="none" w:pos="196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5" w:name="page116"/>
    <w:bookmarkEnd w:id="115"/>
    <w:p>
      <w:pPr>
        <w:ind w:left="1420" w:hanging="483"/>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197" w:lineRule="exact"/>
        <w:rPr>
          <w:rFonts w:ascii="Times New Roman" w:cs="Times New Roman" w:eastAsia="Times New Roman" w:hAnsi="Times New Roman"/>
          <w:sz w:val="18"/>
          <w:szCs w:val="18"/>
          <w:color w:val="auto"/>
        </w:rPr>
      </w:pPr>
    </w:p>
    <w:p>
      <w:pPr>
        <w:ind w:right="60" w:firstLine="937"/>
        <w:spacing w:after="0" w:line="251" w:lineRule="auto"/>
        <w:tabs>
          <w:tab w:leader="none" w:pos="14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61" w:lineRule="exact"/>
        <w:rPr>
          <w:rFonts w:ascii="Times New Roman" w:cs="Times New Roman" w:eastAsia="Times New Roman" w:hAnsi="Times New Roman"/>
          <w:sz w:val="18"/>
          <w:szCs w:val="18"/>
          <w:color w:val="auto"/>
        </w:rPr>
      </w:pPr>
    </w:p>
    <w:p>
      <w:pPr>
        <w:ind w:left="1420" w:hanging="483"/>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98" w:lineRule="exact"/>
        <w:rPr>
          <w:rFonts w:ascii="Times New Roman" w:cs="Times New Roman" w:eastAsia="Times New Roman" w:hAnsi="Times New Roman"/>
          <w:sz w:val="18"/>
          <w:szCs w:val="18"/>
          <w:color w:val="auto"/>
        </w:rPr>
      </w:pPr>
    </w:p>
    <w:p>
      <w:pPr>
        <w:ind w:right="40" w:firstLine="937"/>
        <w:spacing w:after="0" w:line="267" w:lineRule="auto"/>
        <w:tabs>
          <w:tab w:leader="none" w:pos="14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converted or exchanged, in whole or in part;</w:t>
      </w:r>
    </w:p>
    <w:p>
      <w:pPr>
        <w:spacing w:after="0" w:line="147" w:lineRule="exact"/>
        <w:rPr>
          <w:rFonts w:ascii="Times New Roman" w:cs="Times New Roman" w:eastAsia="Times New Roman" w:hAnsi="Times New Roman"/>
          <w:sz w:val="18"/>
          <w:szCs w:val="18"/>
          <w:color w:val="auto"/>
        </w:rPr>
      </w:pPr>
    </w:p>
    <w:p>
      <w:pPr>
        <w:ind w:firstLine="937"/>
        <w:spacing w:after="0" w:line="245" w:lineRule="auto"/>
        <w:tabs>
          <w:tab w:leader="none" w:pos="14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8" w:lineRule="exact"/>
        <w:rPr>
          <w:rFonts w:ascii="Times New Roman" w:cs="Times New Roman" w:eastAsia="Times New Roman" w:hAnsi="Times New Roman"/>
          <w:sz w:val="18"/>
          <w:szCs w:val="18"/>
          <w:color w:val="auto"/>
        </w:rPr>
      </w:pPr>
    </w:p>
    <w:p>
      <w:pPr>
        <w:ind w:left="1420" w:hanging="483"/>
        <w:spacing w:after="0"/>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198" w:lineRule="exact"/>
        <w:rPr>
          <w:rFonts w:ascii="Times New Roman" w:cs="Times New Roman" w:eastAsia="Times New Roman" w:hAnsi="Times New Roman"/>
          <w:sz w:val="18"/>
          <w:szCs w:val="18"/>
          <w:color w:val="auto"/>
        </w:rPr>
      </w:pPr>
    </w:p>
    <w:p>
      <w:pPr>
        <w:ind w:right="440" w:firstLine="937"/>
        <w:spacing w:after="0" w:line="267" w:lineRule="auto"/>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Securities of the series shall be issuable;</w:t>
      </w:r>
    </w:p>
    <w:p>
      <w:pPr>
        <w:spacing w:after="0" w:line="147" w:lineRule="exact"/>
        <w:rPr>
          <w:rFonts w:ascii="Times New Roman" w:cs="Times New Roman" w:eastAsia="Times New Roman" w:hAnsi="Times New Roman"/>
          <w:sz w:val="18"/>
          <w:szCs w:val="18"/>
          <w:color w:val="auto"/>
        </w:rPr>
      </w:pPr>
    </w:p>
    <w:p>
      <w:pPr>
        <w:ind w:right="60" w:firstLine="937"/>
        <w:spacing w:after="0" w:line="245" w:lineRule="auto"/>
        <w:tabs>
          <w:tab w:leader="none" w:pos="14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68" w:lineRule="exact"/>
        <w:rPr>
          <w:rFonts w:ascii="Times New Roman" w:cs="Times New Roman" w:eastAsia="Times New Roman" w:hAnsi="Times New Roman"/>
          <w:sz w:val="18"/>
          <w:szCs w:val="18"/>
          <w:color w:val="auto"/>
        </w:rPr>
      </w:pPr>
    </w:p>
    <w:p>
      <w:pPr>
        <w:ind w:right="100" w:firstLine="937"/>
        <w:spacing w:after="0" w:line="251" w:lineRule="auto"/>
        <w:tabs>
          <w:tab w:leader="none" w:pos="14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31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31115</wp:posOffset>
            </wp:positionV>
            <wp:extent cx="7155180"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680"/>
          </w:cols>
          <w:pgMar w:left="860" w:top="118" w:right="359" w:bottom="1440" w:gutter="0" w:footer="0" w:header="0"/>
        </w:sectPr>
      </w:pPr>
    </w:p>
    <w:bookmarkStart w:id="116" w:name="page117"/>
    <w:bookmarkEnd w:id="116"/>
    <w:p>
      <w:pPr>
        <w:ind w:right="160" w:firstLine="937"/>
        <w:spacing w:after="0" w:line="245" w:lineRule="auto"/>
        <w:tabs>
          <w:tab w:leader="none" w:pos="14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67" w:lineRule="exact"/>
        <w:rPr>
          <w:rFonts w:ascii="Times New Roman" w:cs="Times New Roman" w:eastAsia="Times New Roman" w:hAnsi="Times New Roman"/>
          <w:sz w:val="18"/>
          <w:szCs w:val="18"/>
          <w:color w:val="auto"/>
        </w:rPr>
      </w:pPr>
    </w:p>
    <w:p>
      <w:pPr>
        <w:ind w:right="440" w:firstLine="937"/>
        <w:spacing w:after="0" w:line="267" w:lineRule="auto"/>
        <w:tabs>
          <w:tab w:leader="none" w:pos="14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than the full principal amount thereof, the portion of the principal amount of Securities of the series which shall be payable upon declaration of acceleration of the maturity thereof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47" w:lineRule="exact"/>
        <w:rPr>
          <w:rFonts w:ascii="Times New Roman" w:cs="Times New Roman" w:eastAsia="Times New Roman" w:hAnsi="Times New Roman"/>
          <w:sz w:val="18"/>
          <w:szCs w:val="18"/>
          <w:color w:val="auto"/>
        </w:rPr>
      </w:pPr>
    </w:p>
    <w:p>
      <w:pPr>
        <w:ind w:left="1420" w:hanging="483"/>
        <w:spacing w:after="0"/>
        <w:tabs>
          <w:tab w:leader="none" w:pos="14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198" w:lineRule="exact"/>
        <w:rPr>
          <w:rFonts w:ascii="Times New Roman" w:cs="Times New Roman" w:eastAsia="Times New Roman" w:hAnsi="Times New Roman"/>
          <w:sz w:val="18"/>
          <w:szCs w:val="18"/>
          <w:color w:val="auto"/>
        </w:rPr>
      </w:pPr>
    </w:p>
    <w:p>
      <w:pPr>
        <w:ind w:firstLine="937"/>
        <w:spacing w:after="0" w:line="239" w:lineRule="auto"/>
        <w:tabs>
          <w:tab w:leader="none" w:pos="14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76" w:lineRule="exact"/>
        <w:rPr>
          <w:rFonts w:ascii="Times New Roman" w:cs="Times New Roman" w:eastAsia="Times New Roman" w:hAnsi="Times New Roman"/>
          <w:sz w:val="18"/>
          <w:szCs w:val="18"/>
          <w:color w:val="auto"/>
        </w:rPr>
      </w:pPr>
    </w:p>
    <w:p>
      <w:pPr>
        <w:ind w:right="260" w:firstLine="937"/>
        <w:spacing w:after="0" w:line="251" w:lineRule="auto"/>
        <w:tabs>
          <w:tab w:leader="none" w:pos="14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61" w:lineRule="exact"/>
        <w:rPr>
          <w:rFonts w:ascii="Times New Roman" w:cs="Times New Roman" w:eastAsia="Times New Roman" w:hAnsi="Times New Roman"/>
          <w:sz w:val="18"/>
          <w:szCs w:val="18"/>
          <w:color w:val="auto"/>
        </w:rPr>
      </w:pPr>
    </w:p>
    <w:p>
      <w:pPr>
        <w:ind w:right="40" w:firstLine="937"/>
        <w:spacing w:after="0" w:line="251" w:lineRule="auto"/>
        <w:tabs>
          <w:tab w:leader="none" w:pos="14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161" w:lineRule="exact"/>
        <w:rPr>
          <w:rFonts w:ascii="Times New Roman" w:cs="Times New Roman" w:eastAsia="Times New Roman" w:hAnsi="Times New Roman"/>
          <w:sz w:val="18"/>
          <w:szCs w:val="18"/>
          <w:color w:val="auto"/>
        </w:rPr>
      </w:pPr>
    </w:p>
    <w:p>
      <w:pPr>
        <w:ind w:right="160" w:firstLine="937"/>
        <w:spacing w:after="0" w:line="267" w:lineRule="auto"/>
        <w:tabs>
          <w:tab w:leader="none" w:pos="14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147" w:lineRule="exact"/>
        <w:rPr>
          <w:rFonts w:ascii="Times New Roman" w:cs="Times New Roman" w:eastAsia="Times New Roman" w:hAnsi="Times New Roman"/>
          <w:sz w:val="18"/>
          <w:szCs w:val="18"/>
          <w:color w:val="auto"/>
        </w:rPr>
      </w:pPr>
    </w:p>
    <w:p>
      <w:pPr>
        <w:ind w:right="140" w:firstLine="937"/>
        <w:spacing w:after="0" w:line="267" w:lineRule="auto"/>
        <w:tabs>
          <w:tab w:leader="none" w:pos="14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30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31115</wp:posOffset>
            </wp:positionV>
            <wp:extent cx="7155180"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680"/>
          </w:cols>
          <w:pgMar w:left="860" w:top="118" w:right="359" w:bottom="1440" w:gutter="0" w:footer="0" w:header="0"/>
        </w:sectPr>
      </w:pPr>
    </w:p>
    <w:bookmarkStart w:id="117" w:name="page118"/>
    <w:bookmarkEnd w:id="117"/>
    <w:p>
      <w:pPr>
        <w:ind w:left="1960" w:hanging="483"/>
        <w:spacing w:after="0"/>
        <w:tabs>
          <w:tab w:leader="none" w:pos="1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197" w:lineRule="exact"/>
        <w:rPr>
          <w:rFonts w:ascii="Times New Roman" w:cs="Times New Roman" w:eastAsia="Times New Roman" w:hAnsi="Times New Roman"/>
          <w:sz w:val="18"/>
          <w:szCs w:val="18"/>
          <w:color w:val="auto"/>
        </w:rPr>
      </w:pPr>
    </w:p>
    <w:p>
      <w:pPr>
        <w:ind w:left="1960" w:hanging="483"/>
        <w:spacing w:after="0"/>
        <w:tabs>
          <w:tab w:leader="none" w:pos="1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98" w:lineRule="exact"/>
        <w:rPr>
          <w:rFonts w:ascii="Times New Roman" w:cs="Times New Roman" w:eastAsia="Times New Roman" w:hAnsi="Times New Roman"/>
          <w:sz w:val="18"/>
          <w:szCs w:val="18"/>
          <w:color w:val="auto"/>
        </w:rPr>
      </w:pPr>
    </w:p>
    <w:p>
      <w:pPr>
        <w:ind w:left="1960" w:hanging="483"/>
        <w:spacing w:after="0"/>
        <w:tabs>
          <w:tab w:leader="none" w:pos="1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198" w:lineRule="exact"/>
        <w:rPr>
          <w:rFonts w:ascii="Times New Roman" w:cs="Times New Roman" w:eastAsia="Times New Roman" w:hAnsi="Times New Roman"/>
          <w:sz w:val="18"/>
          <w:szCs w:val="18"/>
          <w:color w:val="auto"/>
        </w:rPr>
      </w:pPr>
    </w:p>
    <w:p>
      <w:pPr>
        <w:ind w:left="1960" w:hanging="483"/>
        <w:spacing w:after="0"/>
        <w:tabs>
          <w:tab w:leader="none" w:pos="1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w:t>
      </w:r>
    </w:p>
    <w:p>
      <w:pPr>
        <w:spacing w:after="0" w:line="199" w:lineRule="exact"/>
        <w:rPr>
          <w:sz w:val="20"/>
          <w:szCs w:val="20"/>
          <w:color w:val="auto"/>
        </w:rPr>
      </w:pPr>
    </w:p>
    <w:p>
      <w:pPr>
        <w:ind w:right="40" w:firstLine="541"/>
        <w:spacing w:after="0" w:line="267"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48" w:lineRule="exact"/>
        <w:rPr>
          <w:sz w:val="20"/>
          <w:szCs w:val="20"/>
          <w:color w:val="auto"/>
        </w:rPr>
      </w:pPr>
    </w:p>
    <w:p>
      <w:pPr>
        <w:ind w:right="120" w:firstLine="541"/>
        <w:spacing w:after="0" w:line="251"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62" w:lineRule="exact"/>
        <w:rPr>
          <w:sz w:val="20"/>
          <w:szCs w:val="20"/>
          <w:color w:val="auto"/>
        </w:rPr>
      </w:pPr>
    </w:p>
    <w:p>
      <w:pPr>
        <w:jc w:val="both"/>
        <w:ind w:right="440" w:firstLine="541"/>
        <w:spacing w:after="0" w:line="251"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62"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Form of Securities and Trustee’s Certificate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73"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Denominations: Provisions for Payment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541"/>
        <w:spacing w:after="0" w:line="241" w:lineRule="auto"/>
        <w:rPr>
          <w:sz w:val="20"/>
          <w:szCs w:val="20"/>
          <w:color w:val="auto"/>
        </w:rPr>
      </w:pPr>
      <w:r>
        <w:rPr>
          <w:rFonts w:ascii="Times New Roman" w:cs="Times New Roman" w:eastAsia="Times New Roman" w:hAnsi="Times New Roman"/>
          <w:sz w:val="18"/>
          <w:szCs w:val="18"/>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Times New Roman" w:cs="Times New Roman" w:eastAsia="Times New Roman" w:hAnsi="Times New Roman"/>
          <w:sz w:val="18"/>
          <w:szCs w:val="18"/>
          <w:u w:val="single" w:color="auto"/>
          <w:color w:val="auto"/>
        </w:rPr>
        <w:t>Section 2.01(a)(18)</w:t>
      </w:r>
      <w:r>
        <w:rPr>
          <w:rFonts w:ascii="Times New Roman" w:cs="Times New Roman" w:eastAsia="Times New Roman" w:hAnsi="Times New Roman"/>
          <w:sz w:val="18"/>
          <w:szCs w:val="18"/>
          <w:color w:val="auto"/>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8" w:name="page119"/>
    <w:bookmarkEnd w:id="118"/>
    <w:p>
      <w:pPr>
        <w:ind w:right="140" w:firstLine="541"/>
        <w:spacing w:after="0" w:line="242" w:lineRule="auto"/>
        <w:rPr>
          <w:sz w:val="20"/>
          <w:szCs w:val="20"/>
          <w:color w:val="auto"/>
        </w:rPr>
      </w:pPr>
      <w:r>
        <w:rPr>
          <w:rFonts w:ascii="Times New Roman" w:cs="Times New Roman" w:eastAsia="Times New Roman" w:hAnsi="Times New Roman"/>
          <w:sz w:val="18"/>
          <w:szCs w:val="18"/>
          <w:color w:val="auto"/>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40" w:firstLine="541"/>
        <w:spacing w:after="0" w:line="251"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2" w:lineRule="exact"/>
        <w:rPr>
          <w:sz w:val="20"/>
          <w:szCs w:val="20"/>
          <w:color w:val="auto"/>
        </w:rPr>
      </w:pPr>
    </w:p>
    <w:p>
      <w:pPr>
        <w:ind w:left="540" w:firstLine="937"/>
        <w:spacing w:after="0" w:line="237" w:lineRule="auto"/>
        <w:tabs>
          <w:tab w:leader="none" w:pos="196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ind w:left="540" w:right="120" w:firstLine="937"/>
        <w:spacing w:after="0" w:line="245" w:lineRule="auto"/>
        <w:tabs>
          <w:tab w:leader="none" w:pos="196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8" w:lineRule="exact"/>
        <w:rPr>
          <w:sz w:val="20"/>
          <w:szCs w:val="20"/>
          <w:color w:val="auto"/>
        </w:rPr>
      </w:pPr>
    </w:p>
    <w:p>
      <w:pPr>
        <w:ind w:right="40" w:firstLine="541"/>
        <w:spacing w:after="0" w:line="241" w:lineRule="auto"/>
        <w:rPr>
          <w:sz w:val="20"/>
          <w:szCs w:val="20"/>
          <w:color w:val="auto"/>
        </w:rPr>
      </w:pPr>
      <w:r>
        <w:rPr>
          <w:rFonts w:ascii="Times New Roman" w:cs="Times New Roman" w:eastAsia="Times New Roman" w:hAnsi="Times New Roman"/>
          <w:sz w:val="18"/>
          <w:szCs w:val="18"/>
          <w:color w:val="auto"/>
        </w:rPr>
        <w:t xml:space="preserve">Unless otherwise set forth in a Board Resolution or one or more indentures supplemental hereto establishing the terms of any series of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shall occur, if such Interest Payment Date is the first day of a month, or (ii) the first day of the month in which an Interest Payment Date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shall occur, if such Interest Payment Date is the fifteenth day of a month, whether or not such date is a Business Day.</w:t>
      </w:r>
    </w:p>
    <w:p>
      <w:pPr>
        <w:spacing w:after="0" w:line="173" w:lineRule="exact"/>
        <w:rPr>
          <w:sz w:val="20"/>
          <w:szCs w:val="20"/>
          <w:color w:val="auto"/>
        </w:rPr>
      </w:pPr>
    </w:p>
    <w:p>
      <w:pPr>
        <w:ind w:right="100" w:firstLine="541"/>
        <w:spacing w:after="0" w:line="267"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8"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Execution and Authentications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199" w:lineRule="exact"/>
        <w:rPr>
          <w:sz w:val="20"/>
          <w:szCs w:val="20"/>
          <w:color w:val="auto"/>
        </w:rPr>
      </w:pPr>
    </w:p>
    <w:p>
      <w:pPr>
        <w:ind w:firstLine="541"/>
        <w:spacing w:after="0" w:line="25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62" w:lineRule="exact"/>
        <w:rPr>
          <w:sz w:val="20"/>
          <w:szCs w:val="20"/>
          <w:color w:val="auto"/>
        </w:rPr>
      </w:pPr>
    </w:p>
    <w:p>
      <w:pPr>
        <w:ind w:right="60" w:firstLine="541"/>
        <w:spacing w:after="0" w:line="243"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69" w:lineRule="exact"/>
        <w:rPr>
          <w:sz w:val="20"/>
          <w:szCs w:val="20"/>
          <w:color w:val="auto"/>
        </w:rPr>
      </w:pPr>
    </w:p>
    <w:p>
      <w:pPr>
        <w:ind w:right="180" w:firstLine="541"/>
        <w:spacing w:after="0" w:line="243" w:lineRule="auto"/>
        <w:rPr>
          <w:sz w:val="20"/>
          <w:szCs w:val="20"/>
          <w:color w:val="auto"/>
        </w:rPr>
      </w:pPr>
      <w:r>
        <w:rPr>
          <w:rFonts w:ascii="Times New Roman" w:cs="Times New Roman" w:eastAsia="Times New Roman" w:hAnsi="Times New Roman"/>
          <w:sz w:val="18"/>
          <w:szCs w:val="18"/>
          <w:color w:val="auto"/>
        </w:rPr>
        <w:t xml:space="preserve">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ind w:right="320" w:firstLine="541"/>
        <w:spacing w:after="0" w:line="295"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7"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Registration of Transfer and Exchange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80" w:firstLine="1072"/>
        <w:spacing w:after="0" w:line="243" w:lineRule="auto"/>
        <w:tabs>
          <w:tab w:leader="none" w:pos="155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9" w:lineRule="exact"/>
        <w:rPr>
          <w:rFonts w:ascii="Times New Roman" w:cs="Times New Roman" w:eastAsia="Times New Roman" w:hAnsi="Times New Roman"/>
          <w:sz w:val="18"/>
          <w:szCs w:val="18"/>
          <w:color w:val="auto"/>
        </w:rPr>
      </w:pPr>
    </w:p>
    <w:p>
      <w:pPr>
        <w:ind w:right="20" w:firstLine="1072"/>
        <w:spacing w:after="0" w:line="245" w:lineRule="auto"/>
        <w:tabs>
          <w:tab w:leader="none" w:pos="156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80" w:firstLine="541"/>
        <w:spacing w:after="0" w:line="251"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62" w:lineRule="exact"/>
        <w:rPr>
          <w:sz w:val="20"/>
          <w:szCs w:val="20"/>
          <w:color w:val="auto"/>
        </w:rPr>
      </w:pPr>
    </w:p>
    <w:p>
      <w:pPr>
        <w:ind w:right="160" w:firstLine="541"/>
        <w:spacing w:after="0" w:line="251"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62" w:lineRule="exact"/>
        <w:rPr>
          <w:sz w:val="20"/>
          <w:szCs w:val="20"/>
          <w:color w:val="auto"/>
        </w:rPr>
      </w:pPr>
    </w:p>
    <w:p>
      <w:pPr>
        <w:jc w:val="both"/>
        <w:ind w:firstLine="1072"/>
        <w:spacing w:after="0" w:line="245" w:lineRule="auto"/>
        <w:tabs>
          <w:tab w:leader="none" w:pos="155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not involving any transfer.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21" w:name="page122"/>
    <w:bookmarkEnd w:id="121"/>
    <w:p>
      <w:pPr>
        <w:ind w:firstLine="1072"/>
        <w:spacing w:after="0" w:line="242" w:lineRule="auto"/>
        <w:tabs>
          <w:tab w:leader="none" w:pos="156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are, with respect to any Global Security,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hereof.</w:t>
      </w:r>
    </w:p>
    <w:p>
      <w:pPr>
        <w:spacing w:after="0" w:line="172" w:lineRule="exact"/>
        <w:rPr>
          <w:sz w:val="20"/>
          <w:szCs w:val="20"/>
          <w:color w:val="auto"/>
        </w:rPr>
      </w:pPr>
    </w:p>
    <w:p>
      <w:pPr>
        <w:ind w:right="40" w:firstLine="541"/>
        <w:spacing w:after="0" w:line="243"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Neither the Trustee nor any Agent shall have any responsibility or liability for any actions taken or not taken by the Depositary.</w:t>
      </w:r>
    </w:p>
    <w:p>
      <w:pPr>
        <w:spacing w:after="0" w:line="19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u w:val="single" w:color="auto"/>
          <w:color w:val="auto"/>
        </w:rPr>
        <w:t>Temporary Securities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20" w:firstLine="541"/>
        <w:spacing w:after="0" w:line="238"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u w:val="single" w:color="auto"/>
          <w:color w:val="auto"/>
        </w:rPr>
        <w:t>Mutilated, Destroyed, Lost or Stolen Securities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73" w:lineRule="exact"/>
        <w:rPr>
          <w:sz w:val="20"/>
          <w:szCs w:val="20"/>
          <w:color w:val="auto"/>
        </w:rPr>
      </w:pPr>
    </w:p>
    <w:p>
      <w:pPr>
        <w:ind w:right="20" w:firstLine="541"/>
        <w:spacing w:after="0" w:line="243" w:lineRule="auto"/>
        <w:rPr>
          <w:sz w:val="20"/>
          <w:szCs w:val="20"/>
          <w:color w:val="auto"/>
        </w:rPr>
      </w:pPr>
      <w:r>
        <w:rPr>
          <w:rFonts w:ascii="Times New Roman" w:cs="Times New Roman" w:eastAsia="Times New Roman" w:hAnsi="Times New Roman"/>
          <w:sz w:val="18"/>
          <w:szCs w:val="18"/>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69"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73"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80" w:firstLine="541"/>
        <w:spacing w:after="0"/>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ind w:left="550"/>
        <w:spacing w:after="0"/>
        <w:tabs>
          <w:tab w:leader="none" w:pos="1729"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0" w:right="20" w:firstLine="541"/>
        <w:spacing w:after="0" w:line="251"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62" w:lineRule="exact"/>
        <w:rPr>
          <w:sz w:val="20"/>
          <w:szCs w:val="20"/>
          <w:color w:val="auto"/>
        </w:rPr>
      </w:pPr>
    </w:p>
    <w:p>
      <w:pPr>
        <w:ind w:left="550"/>
        <w:spacing w:after="0"/>
        <w:tabs>
          <w:tab w:leader="none" w:pos="1649"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Authenticating Agent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left="10" w:right="40" w:firstLine="541"/>
        <w:spacing w:after="0" w:line="239"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73" w:lineRule="exact"/>
        <w:rPr>
          <w:sz w:val="20"/>
          <w:szCs w:val="20"/>
          <w:color w:val="auto"/>
        </w:rPr>
      </w:pPr>
    </w:p>
    <w:p>
      <w:pPr>
        <w:ind w:left="10" w:right="100" w:firstLine="541"/>
        <w:spacing w:after="0" w:line="241"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3" w:lineRule="exact"/>
        <w:rPr>
          <w:sz w:val="20"/>
          <w:szCs w:val="20"/>
          <w:color w:val="auto"/>
        </w:rPr>
      </w:pPr>
    </w:p>
    <w:p>
      <w:pPr>
        <w:ind w:left="550"/>
        <w:spacing w:after="0"/>
        <w:tabs>
          <w:tab w:leader="none" w:pos="1649"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auto"/>
        </w:rPr>
        <w:t>Global Securities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jc w:val="both"/>
        <w:ind w:left="10" w:firstLine="1072"/>
        <w:spacing w:after="0" w:line="255" w:lineRule="auto"/>
        <w:tabs>
          <w:tab w:leader="none" w:pos="1562"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shall establish pursuant to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that the Securities of a particular series are to be issued as a Global Security, then the Company shall execute and the Trustee shall, in accordance with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w:t>
      </w:r>
    </w:p>
    <w:p>
      <w:pPr>
        <w:ind w:left="10" w:right="20" w:hanging="10"/>
        <w:spacing w:after="0" w:line="272" w:lineRule="auto"/>
        <w:tabs>
          <w:tab w:leader="none" w:pos="31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bear a legend substantially to the following effect: “Except as otherwise provided in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of the Indenture, this Security may be transferred, in whole but not in part, only to another nominee of the Depositary or to a successor Depositary or to a nominee of such successor Depositary.”</w:t>
      </w:r>
    </w:p>
    <w:p>
      <w:pPr>
        <w:spacing w:after="0" w:line="145" w:lineRule="exact"/>
        <w:rPr>
          <w:rFonts w:ascii="Times New Roman" w:cs="Times New Roman" w:eastAsia="Times New Roman" w:hAnsi="Times New Roman"/>
          <w:sz w:val="17"/>
          <w:szCs w:val="17"/>
          <w:color w:val="auto"/>
        </w:rPr>
      </w:pPr>
    </w:p>
    <w:p>
      <w:pPr>
        <w:ind w:left="10" w:right="60" w:firstLine="1072"/>
        <w:spacing w:after="0" w:line="251" w:lineRule="auto"/>
        <w:tabs>
          <w:tab w:leader="none" w:pos="157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the Global Security of a series may be transferred, in whole but not in part and in the manner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only to another nominee of the Depositary for such series, or to a successor Depositary for such series selected or approved by the Company or to a nominee of such successor Depositary.</w:t>
      </w:r>
    </w:p>
    <w:p>
      <w:pPr>
        <w:spacing w:after="0" w:line="314"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30"/>
          </w:cols>
          <w:pgMar w:left="310" w:top="118" w:right="359" w:bottom="1440" w:gutter="0" w:footer="0" w:header="0"/>
        </w:sectPr>
      </w:pPr>
    </w:p>
    <w:bookmarkStart w:id="124" w:name="page125"/>
    <w:bookmarkEnd w:id="124"/>
    <w:p>
      <w:pPr>
        <w:ind w:firstLine="1072"/>
        <w:spacing w:after="0" w:line="237" w:lineRule="auto"/>
        <w:tabs>
          <w:tab w:leader="none" w:pos="155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no longer be applicable to the Securities of such series and the Company will execute, and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no longer apply to the Securities of such series. In such event the Company will execute and,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17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20" w:firstLine="541"/>
        <w:spacing w:after="0" w:line="267" w:lineRule="auto"/>
        <w:rPr>
          <w:sz w:val="20"/>
          <w:szCs w:val="20"/>
          <w:color w:val="auto"/>
        </w:rPr>
      </w:pPr>
      <w:r>
        <w:rPr>
          <w:rFonts w:ascii="Times New Roman" w:cs="Times New Roman" w:eastAsia="Times New Roman" w:hAnsi="Times New Roman"/>
          <w:sz w:val="18"/>
          <w:szCs w:val="18"/>
          <w:color w:val="auto"/>
        </w:rPr>
        <w:t xml:space="preserve">The Company may redeem the Securities of any series issued hereunder on and after the dates and in accordance with the terms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u w:val="single" w:color="auto"/>
          <w:color w:val="auto"/>
        </w:rPr>
        <w:t>Notice of Redemption</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firstLine="1072"/>
        <w:spacing w:after="0" w:line="238" w:lineRule="auto"/>
        <w:tabs>
          <w:tab w:leader="none" w:pos="15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4" w:lineRule="exact"/>
        <w:rPr>
          <w:sz w:val="20"/>
          <w:szCs w:val="20"/>
          <w:color w:val="auto"/>
        </w:rPr>
      </w:pPr>
    </w:p>
    <w:p>
      <w:pPr>
        <w:ind w:right="120" w:firstLine="541"/>
        <w:spacing w:after="0" w:line="241"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73" w:lineRule="exact"/>
        <w:rPr>
          <w:sz w:val="20"/>
          <w:szCs w:val="20"/>
          <w:color w:val="auto"/>
        </w:rPr>
      </w:pPr>
    </w:p>
    <w:p>
      <w:pPr>
        <w:jc w:val="both"/>
        <w:ind w:right="140" w:firstLine="541"/>
        <w:spacing w:after="0" w:line="251"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2" w:lineRule="exact"/>
        <w:rPr>
          <w:sz w:val="20"/>
          <w:szCs w:val="20"/>
          <w:color w:val="auto"/>
        </w:rPr>
      </w:pPr>
    </w:p>
    <w:p>
      <w:pPr>
        <w:ind w:firstLine="1072"/>
        <w:spacing w:after="0" w:line="238" w:lineRule="auto"/>
        <w:tabs>
          <w:tab w:leader="none" w:pos="156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u w:val="single" w:color="auto"/>
          <w:color w:val="auto"/>
        </w:rPr>
        <w:t>Payment Upon Redemption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ind w:firstLine="1072"/>
        <w:spacing w:after="0" w:line="239" w:lineRule="auto"/>
        <w:tabs>
          <w:tab w:leader="none" w:pos="15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80" w:firstLine="1072"/>
        <w:spacing w:after="0" w:line="251" w:lineRule="auto"/>
        <w:tabs>
          <w:tab w:leader="none" w:pos="156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62"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Sinking Fund</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541"/>
        <w:spacing w:after="0" w:line="267" w:lineRule="auto"/>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shall be applicable to any sinking fund for the retirement of Securities of a series, except as otherwise specified as contemplated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for Securities of such series.</w:t>
      </w:r>
    </w:p>
    <w:p>
      <w:pPr>
        <w:spacing w:after="0" w:line="148" w:lineRule="exact"/>
        <w:rPr>
          <w:sz w:val="20"/>
          <w:szCs w:val="20"/>
          <w:color w:val="auto"/>
        </w:rPr>
      </w:pPr>
    </w:p>
    <w:p>
      <w:pPr>
        <w:ind w:right="40" w:firstLine="541"/>
        <w:spacing w:after="0" w:line="243" w:lineRule="auto"/>
        <w:rPr>
          <w:sz w:val="20"/>
          <w:szCs w:val="20"/>
          <w:color w:val="auto"/>
        </w:rPr>
      </w:pPr>
      <w:r>
        <w:rPr>
          <w:rFonts w:ascii="Times New Roman" w:cs="Times New Roman" w:eastAsia="Times New Roman" w:hAnsi="Times New Roman"/>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sinking fund payment shall be applied to the redemption of Securities of any series as provided for by the terms of Securities of such series.</w:t>
      </w:r>
    </w:p>
    <w:p>
      <w:pPr>
        <w:spacing w:after="0" w:line="16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80" w:firstLine="541"/>
        <w:spacing w:after="0" w:line="241" w:lineRule="auto"/>
        <w:rPr>
          <w:sz w:val="20"/>
          <w:szCs w:val="20"/>
          <w:color w:val="auto"/>
        </w:rPr>
      </w:pPr>
      <w:r>
        <w:rPr>
          <w:rFonts w:ascii="Times New Roman" w:cs="Times New Roman" w:eastAsia="Times New Roman" w:hAnsi="Times New Roman"/>
          <w:sz w:val="18"/>
          <w:szCs w:val="18"/>
          <w:color w:val="auto"/>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7" w:name="page128"/>
    <w:bookmarkEnd w:id="127"/>
    <w:p>
      <w:pPr>
        <w:ind w:left="550"/>
        <w:spacing w:after="0"/>
        <w:tabs>
          <w:tab w:leader="none" w:pos="1649"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0" w:right="140" w:firstLine="541"/>
        <w:spacing w:after="0" w:line="242" w:lineRule="auto"/>
        <w:rPr>
          <w:sz w:val="20"/>
          <w:szCs w:val="20"/>
          <w:color w:val="auto"/>
        </w:rPr>
      </w:pPr>
      <w:r>
        <w:rPr>
          <w:rFonts w:ascii="Times New Roman" w:cs="Times New Roman" w:eastAsia="Times New Roman" w:hAnsi="Times New Roman"/>
          <w:sz w:val="18"/>
          <w:szCs w:val="18"/>
          <w:color w:val="auto"/>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Times New Roman" w:cs="Times New Roman" w:eastAsia="Times New Roman" w:hAnsi="Times New Roman"/>
          <w:sz w:val="18"/>
          <w:szCs w:val="18"/>
          <w:u w:val="single" w:color="auto"/>
          <w:color w:val="auto"/>
        </w:rPr>
        <w:t>Section</w:t>
      </w:r>
    </w:p>
    <w:p>
      <w:pPr>
        <w:spacing w:after="0" w:line="2" w:lineRule="exact"/>
        <w:rPr>
          <w:sz w:val="20"/>
          <w:szCs w:val="20"/>
          <w:color w:val="auto"/>
        </w:rPr>
      </w:pPr>
    </w:p>
    <w:p>
      <w:pPr>
        <w:ind w:left="10"/>
        <w:spacing w:after="0" w:line="237" w:lineRule="auto"/>
        <w:rPr>
          <w:sz w:val="20"/>
          <w:szCs w:val="20"/>
          <w:color w:val="auto"/>
        </w:rPr>
      </w:pP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9" w:lineRule="exact"/>
        <w:rPr>
          <w:sz w:val="20"/>
          <w:szCs w:val="20"/>
          <w:color w:val="auto"/>
        </w:rPr>
      </w:pPr>
    </w:p>
    <w:p>
      <w:pPr>
        <w:ind w:left="550"/>
        <w:spacing w:after="0"/>
        <w:tabs>
          <w:tab w:leader="none" w:pos="1649"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Payment of Principal, Premium and Interest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left="10" w:right="40" w:firstLine="541"/>
        <w:spacing w:after="0" w:line="239"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pacing w:after="0" w:line="173" w:lineRule="exact"/>
        <w:rPr>
          <w:sz w:val="20"/>
          <w:szCs w:val="20"/>
          <w:color w:val="auto"/>
        </w:rPr>
      </w:pPr>
    </w:p>
    <w:p>
      <w:pPr>
        <w:ind w:left="550"/>
        <w:spacing w:after="0"/>
        <w:tabs>
          <w:tab w:leader="none" w:pos="1649"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10" w:right="20" w:firstLine="541"/>
        <w:spacing w:after="0" w:line="246" w:lineRule="auto"/>
        <w:rPr>
          <w:sz w:val="20"/>
          <w:szCs w:val="20"/>
          <w:color w:val="auto"/>
        </w:rPr>
      </w:pPr>
      <w:r>
        <w:rPr>
          <w:rFonts w:ascii="Times New Roman" w:cs="Times New Roman" w:eastAsia="Times New Roman" w:hAnsi="Times New Roman"/>
          <w:sz w:val="18"/>
          <w:szCs w:val="18"/>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where (i) Securities of that series may be presented for payment,</w:t>
      </w:r>
    </w:p>
    <w:p>
      <w:pPr>
        <w:spacing w:after="0" w:line="1" w:lineRule="exact"/>
        <w:rPr>
          <w:sz w:val="20"/>
          <w:szCs w:val="20"/>
          <w:color w:val="auto"/>
        </w:rPr>
      </w:pPr>
    </w:p>
    <w:p>
      <w:pPr>
        <w:ind w:left="10" w:right="20" w:hanging="10"/>
        <w:spacing w:after="0" w:line="237" w:lineRule="auto"/>
        <w:tabs>
          <w:tab w:leader="none" w:pos="2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32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30"/>
          </w:cols>
          <w:pgMar w:left="310" w:top="118" w:right="359" w:bottom="1440" w:gutter="0" w:footer="0" w:header="0"/>
        </w:sectPr>
      </w:pPr>
    </w:p>
    <w:bookmarkStart w:id="128" w:name="page129"/>
    <w:bookmarkEnd w:id="128"/>
    <w:p>
      <w:pPr>
        <w:ind w:left="44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u w:val="single" w:color="auto"/>
          <w:color w:val="auto"/>
        </w:rPr>
        <w:t>Paying Agents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100" w:right="160" w:firstLine="1072"/>
        <w:spacing w:after="0" w:line="251" w:lineRule="auto"/>
        <w:tabs>
          <w:tab w:leader="none" w:pos="14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61" w:lineRule="exact"/>
        <w:rPr>
          <w:rFonts w:ascii="Times New Roman" w:cs="Times New Roman" w:eastAsia="Times New Roman" w:hAnsi="Times New Roman"/>
          <w:sz w:val="18"/>
          <w:szCs w:val="18"/>
          <w:color w:val="auto"/>
        </w:rPr>
      </w:pPr>
    </w:p>
    <w:p>
      <w:pPr>
        <w:ind w:left="440" w:right="40" w:firstLine="937"/>
        <w:spacing w:after="0" w:line="251" w:lineRule="auto"/>
        <w:tabs>
          <w:tab w:leader="none" w:pos="186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61" w:lineRule="exact"/>
        <w:rPr>
          <w:rFonts w:ascii="Times New Roman" w:cs="Times New Roman" w:eastAsia="Times New Roman" w:hAnsi="Times New Roman"/>
          <w:sz w:val="18"/>
          <w:szCs w:val="18"/>
          <w:color w:val="auto"/>
        </w:rPr>
      </w:pPr>
    </w:p>
    <w:p>
      <w:pPr>
        <w:ind w:left="440" w:right="420" w:firstLine="937"/>
        <w:spacing w:after="0" w:line="267" w:lineRule="auto"/>
        <w:tabs>
          <w:tab w:leader="none" w:pos="186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7" w:lineRule="exact"/>
        <w:rPr>
          <w:rFonts w:ascii="Times New Roman" w:cs="Times New Roman" w:eastAsia="Times New Roman" w:hAnsi="Times New Roman"/>
          <w:sz w:val="18"/>
          <w:szCs w:val="18"/>
          <w:color w:val="auto"/>
        </w:rPr>
      </w:pPr>
    </w:p>
    <w:p>
      <w:pPr>
        <w:ind w:left="440" w:right="420" w:firstLine="937"/>
        <w:spacing w:after="0" w:line="267" w:lineRule="auto"/>
        <w:tabs>
          <w:tab w:leader="none" w:pos="186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147" w:lineRule="exact"/>
        <w:rPr>
          <w:rFonts w:ascii="Times New Roman" w:cs="Times New Roman" w:eastAsia="Times New Roman" w:hAnsi="Times New Roman"/>
          <w:sz w:val="18"/>
          <w:szCs w:val="18"/>
          <w:color w:val="auto"/>
        </w:rPr>
      </w:pPr>
    </w:p>
    <w:p>
      <w:pPr>
        <w:ind w:left="440" w:right="340" w:firstLine="937"/>
        <w:spacing w:after="0" w:line="267" w:lineRule="auto"/>
        <w:tabs>
          <w:tab w:leader="none" w:pos="186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any receivership, insolvency, liquidation, bankruptcy, reorganization, readjustment, arrangement, composition or judicial proceedings affecting the Company, the Trustee will automatically be the Paying Agent; and</w:t>
      </w:r>
    </w:p>
    <w:p>
      <w:pPr>
        <w:spacing w:after="0" w:line="147" w:lineRule="exact"/>
        <w:rPr>
          <w:rFonts w:ascii="Times New Roman" w:cs="Times New Roman" w:eastAsia="Times New Roman" w:hAnsi="Times New Roman"/>
          <w:sz w:val="18"/>
          <w:szCs w:val="18"/>
          <w:color w:val="auto"/>
        </w:rPr>
      </w:pPr>
    </w:p>
    <w:p>
      <w:pPr>
        <w:ind w:left="1860" w:hanging="483"/>
        <w:spacing w:after="0"/>
        <w:tabs>
          <w:tab w:leader="none" w:pos="18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198" w:lineRule="exact"/>
        <w:rPr>
          <w:rFonts w:ascii="Times New Roman" w:cs="Times New Roman" w:eastAsia="Times New Roman" w:hAnsi="Times New Roman"/>
          <w:sz w:val="18"/>
          <w:szCs w:val="18"/>
          <w:color w:val="auto"/>
        </w:rPr>
      </w:pPr>
    </w:p>
    <w:p>
      <w:pPr>
        <w:ind w:left="-100" w:firstLine="1072"/>
        <w:spacing w:after="0" w:line="239" w:lineRule="auto"/>
        <w:tabs>
          <w:tab w:leader="none" w:pos="146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31115</wp:posOffset>
            </wp:positionV>
            <wp:extent cx="7155180"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40"/>
          </w:cols>
          <w:pgMar w:left="420" w:top="118" w:right="439" w:bottom="1440" w:gutter="0" w:footer="0" w:header="0"/>
        </w:sectPr>
      </w:pPr>
    </w:p>
    <w:bookmarkStart w:id="129" w:name="page130"/>
    <w:bookmarkEnd w:id="129"/>
    <w:p>
      <w:pPr>
        <w:ind w:firstLine="1072"/>
        <w:spacing w:after="0" w:line="241" w:lineRule="auto"/>
        <w:tabs>
          <w:tab w:leader="none" w:pos="15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Section to the contrary, (i) the agreement to hold sums in trust as provided in this Section is subject to the provisions of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73" w:lineRule="exact"/>
        <w:rPr>
          <w:rFonts w:ascii="Times New Roman" w:cs="Times New Roman" w:eastAsia="Times New Roman" w:hAnsi="Times New Roman"/>
          <w:sz w:val="18"/>
          <w:szCs w:val="18"/>
          <w:color w:val="auto"/>
        </w:rPr>
      </w:pPr>
    </w:p>
    <w:p>
      <w:pPr>
        <w:ind w:left="1560" w:hanging="488"/>
        <w:spacing w:after="0"/>
        <w:tabs>
          <w:tab w:leader="none" w:pos="15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initially appoints the Trustee at its Corporate Trust Office as its paying agent with respect to the Securities.</w:t>
      </w:r>
    </w:p>
    <w:p>
      <w:pPr>
        <w:spacing w:after="0" w:line="19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u w:val="single" w:color="auto"/>
          <w:color w:val="auto"/>
        </w:rPr>
        <w:t>Appointment to Fill Vacancy in Office of Trustee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560" w:firstLine="541"/>
        <w:spacing w:after="0" w:line="267" w:lineRule="auto"/>
        <w:rPr>
          <w:sz w:val="20"/>
          <w:szCs w:val="20"/>
          <w:color w:val="auto"/>
        </w:rPr>
      </w:pPr>
      <w:r>
        <w:rPr>
          <w:rFonts w:ascii="Times New Roman" w:cs="Times New Roman" w:eastAsia="Times New Roman" w:hAnsi="Times New Roman"/>
          <w:sz w:val="18"/>
          <w:szCs w:val="18"/>
          <w:color w:val="auto"/>
        </w:rPr>
        <w:t xml:space="preserve">The Company, whenever necessary to avoid or fill a vacancy in the office of Trustee, will appoint, in the manner provided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a Trustee, so that there shall at all times be a Trustee hereunder.</w:t>
      </w:r>
    </w:p>
    <w:p>
      <w:pPr>
        <w:spacing w:after="0" w:line="148"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7"/>
          <w:szCs w:val="17"/>
          <w:u w:val="single" w:color="auto"/>
          <w:color w:val="auto"/>
        </w:rPr>
        <w:t>Compliance with Consolidation Provisions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40" w:firstLine="541"/>
        <w:spacing w:after="0" w:line="251" w:lineRule="auto"/>
        <w:rPr>
          <w:sz w:val="20"/>
          <w:szCs w:val="20"/>
          <w:color w:val="auto"/>
        </w:rPr>
      </w:pPr>
      <w:r>
        <w:rPr>
          <w:rFonts w:ascii="Times New Roman" w:cs="Times New Roman" w:eastAsia="Times New Roman" w:hAnsi="Times New Roman"/>
          <w:sz w:val="18"/>
          <w:szCs w:val="18"/>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hereof are complied with.</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THE TRUSTEE</w:t>
      </w:r>
    </w:p>
    <w:p>
      <w:pPr>
        <w:spacing w:after="0" w:line="17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8"/>
          <w:szCs w:val="18"/>
          <w:u w:val="single" w:color="auto"/>
          <w:color w:val="auto"/>
        </w:rPr>
        <w:t>Company to Furnish Trustee Names and Addresses of Securityholder</w:t>
      </w:r>
      <w:r>
        <w:rPr>
          <w:rFonts w:ascii="Times New Roman" w:cs="Times New Roman" w:eastAsia="Times New Roman" w:hAnsi="Times New Roman"/>
          <w:sz w:val="18"/>
          <w:szCs w:val="18"/>
          <w:color w:val="auto"/>
        </w:rPr>
        <w:t>s.</w:t>
      </w:r>
    </w:p>
    <w:p>
      <w:pPr>
        <w:spacing w:after="0" w:line="199"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 xml:space="preserve">The Company will furnish or cause to be furnished to the Trustee (a) within 5 days after each regular record date (as defined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 list, in such form as the Trustee may reasonably require, of the names and addresses of the holders of each series of Securities as of such regular record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shall not be obligated to furnish or cause to be furnished such list at any time that the list shall not differ in any respect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either case, no such list need be furnished for any series for which the Trustee shall be the Security Registrar.</w:t>
      </w:r>
    </w:p>
    <w:p>
      <w:pPr>
        <w:spacing w:after="0" w:line="173"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Preservation Of Information; Communications With Securityholders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100" w:firstLine="1072"/>
        <w:spacing w:after="0" w:line="251" w:lineRule="auto"/>
        <w:tabs>
          <w:tab w:leader="none" w:pos="15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as to the names and addresses of holders of Securities received by the Trustee in its capacity as Security Registrar (if acting in such capacity).</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30" w:name="page131"/>
    <w:bookmarkEnd w:id="130"/>
    <w:p>
      <w:pPr>
        <w:ind w:left="1520" w:hanging="488"/>
        <w:spacing w:after="0"/>
        <w:tabs>
          <w:tab w:leader="none" w:pos="1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destroy any list furnished to it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upon receipt of a new list so furnished.</w:t>
      </w:r>
    </w:p>
    <w:p>
      <w:pPr>
        <w:spacing w:after="0" w:line="197" w:lineRule="exact"/>
        <w:rPr>
          <w:rFonts w:ascii="Times New Roman" w:cs="Times New Roman" w:eastAsia="Times New Roman" w:hAnsi="Times New Roman"/>
          <w:sz w:val="18"/>
          <w:szCs w:val="18"/>
          <w:color w:val="auto"/>
        </w:rPr>
      </w:pPr>
    </w:p>
    <w:p>
      <w:pPr>
        <w:ind w:left="-40" w:firstLine="1072"/>
        <w:spacing w:after="0" w:line="251" w:lineRule="auto"/>
        <w:tabs>
          <w:tab w:leader="none" w:pos="151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2" w:lineRule="exact"/>
        <w:rPr>
          <w:sz w:val="20"/>
          <w:szCs w:val="20"/>
          <w:color w:val="auto"/>
        </w:rPr>
      </w:pPr>
    </w:p>
    <w:p>
      <w:pPr>
        <w:ind w:left="50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u w:val="single" w:color="auto"/>
          <w:color w:val="auto"/>
        </w:rPr>
        <w:t>Reports by the Company</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left="-40" w:right="40" w:firstLine="1072"/>
        <w:spacing w:after="0" w:line="238" w:lineRule="auto"/>
        <w:tabs>
          <w:tab w:leader="none" w:pos="151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Company shall not be required to deliver to the Trustee any materials for which the Company has sought and received confidential treatment by the Commission;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0" w:right="220" w:firstLine="1072"/>
        <w:spacing w:after="0" w:line="245" w:lineRule="auto"/>
        <w:tabs>
          <w:tab w:leader="none" w:pos="152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reports, information and documents to the Trustee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69" w:lineRule="exact"/>
        <w:rPr>
          <w:sz w:val="20"/>
          <w:szCs w:val="20"/>
          <w:color w:val="auto"/>
        </w:rPr>
      </w:pPr>
    </w:p>
    <w:p>
      <w:pPr>
        <w:ind w:left="50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7"/>
          <w:szCs w:val="17"/>
          <w:u w:val="single" w:color="auto"/>
          <w:color w:val="auto"/>
        </w:rPr>
        <w:t>Reports by the Trustee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left="-40" w:right="180" w:firstLine="1072"/>
        <w:spacing w:after="0" w:line="245" w:lineRule="auto"/>
        <w:tabs>
          <w:tab w:leader="none" w:pos="151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715518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131" w:name="page132"/>
    <w:bookmarkEnd w:id="131"/>
    <w:p>
      <w:pPr>
        <w:ind w:left="1520" w:hanging="488"/>
        <w:spacing w:after="0"/>
        <w:tabs>
          <w:tab w:leader="none" w:pos="15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197" w:lineRule="exact"/>
        <w:rPr>
          <w:rFonts w:ascii="Times New Roman" w:cs="Times New Roman" w:eastAsia="Times New Roman" w:hAnsi="Times New Roman"/>
          <w:sz w:val="18"/>
          <w:szCs w:val="18"/>
          <w:color w:val="auto"/>
        </w:rPr>
      </w:pPr>
    </w:p>
    <w:p>
      <w:pPr>
        <w:ind w:left="-40" w:right="60" w:firstLine="1072"/>
        <w:spacing w:after="0" w:line="251" w:lineRule="auto"/>
        <w:tabs>
          <w:tab w:leader="none" w:pos="155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w:t>
      </w:r>
    </w:p>
    <w:p>
      <w:pPr>
        <w:jc w:val="center"/>
        <w:spacing w:after="0"/>
        <w:rPr>
          <w:sz w:val="20"/>
          <w:szCs w:val="20"/>
          <w:color w:val="auto"/>
        </w:rPr>
      </w:pPr>
      <w:r>
        <w:rPr>
          <w:rFonts w:ascii="Times New Roman" w:cs="Times New Roman" w:eastAsia="Times New Roman" w:hAnsi="Times New Roman"/>
          <w:sz w:val="18"/>
          <w:szCs w:val="18"/>
          <w:b w:val="1"/>
          <w:bCs w:val="1"/>
          <w:color w:val="auto"/>
        </w:rPr>
        <w:t>EVENT OF DEFAULT</w:t>
      </w:r>
    </w:p>
    <w:p>
      <w:pPr>
        <w:spacing w:after="0" w:line="179" w:lineRule="exact"/>
        <w:rPr>
          <w:sz w:val="20"/>
          <w:szCs w:val="20"/>
          <w:color w:val="auto"/>
        </w:rPr>
      </w:pPr>
    </w:p>
    <w:p>
      <w:pPr>
        <w:ind w:left="50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40" w:right="220" w:firstLine="1072"/>
        <w:spacing w:after="0" w:line="271" w:lineRule="auto"/>
        <w:tabs>
          <w:tab w:leader="none" w:pos="151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one or more of the following events that has occurred and is continuing:</w:t>
      </w:r>
    </w:p>
    <w:p>
      <w:pPr>
        <w:spacing w:after="0" w:line="145" w:lineRule="exact"/>
        <w:rPr>
          <w:rFonts w:ascii="Times New Roman" w:cs="Times New Roman" w:eastAsia="Times New Roman" w:hAnsi="Times New Roman"/>
          <w:sz w:val="18"/>
          <w:szCs w:val="18"/>
          <w:color w:val="auto"/>
        </w:rPr>
      </w:pPr>
    </w:p>
    <w:p>
      <w:pPr>
        <w:ind w:left="500" w:right="60" w:firstLine="937"/>
        <w:spacing w:after="0" w:line="245" w:lineRule="auto"/>
        <w:tabs>
          <w:tab w:leader="none" w:pos="192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defaults in the payment of any installment of interest upon any of the Securities of that series, as and when the same shall become due and payable, and such default continues for a period of 90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valid extension of an interest payment period by the Company in accordance with the terms of any indenture supplemental hereto shall not constitute a default in the payment of interest for this purpose;</w:t>
      </w:r>
    </w:p>
    <w:p>
      <w:pPr>
        <w:spacing w:after="0" w:line="168" w:lineRule="exact"/>
        <w:rPr>
          <w:rFonts w:ascii="Times New Roman" w:cs="Times New Roman" w:eastAsia="Times New Roman" w:hAnsi="Times New Roman"/>
          <w:sz w:val="18"/>
          <w:szCs w:val="18"/>
          <w:color w:val="auto"/>
        </w:rPr>
      </w:pPr>
    </w:p>
    <w:p>
      <w:pPr>
        <w:ind w:left="500" w:firstLine="937"/>
        <w:spacing w:after="0" w:line="245" w:lineRule="auto"/>
        <w:tabs>
          <w:tab w:leader="none" w:pos="192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valid extension of the maturity of such Securities in accordance with the terms of any indenture supplemental hereto shall not constitute a default in the payment of principal or premium, if any;</w:t>
      </w:r>
    </w:p>
    <w:p>
      <w:pPr>
        <w:spacing w:after="0" w:line="168" w:lineRule="exact"/>
        <w:rPr>
          <w:rFonts w:ascii="Times New Roman" w:cs="Times New Roman" w:eastAsia="Times New Roman" w:hAnsi="Times New Roman"/>
          <w:sz w:val="18"/>
          <w:szCs w:val="18"/>
          <w:color w:val="auto"/>
        </w:rPr>
      </w:pPr>
    </w:p>
    <w:p>
      <w:pPr>
        <w:ind w:left="500" w:right="20" w:firstLine="1028"/>
        <w:spacing w:after="0" w:line="241" w:lineRule="auto"/>
        <w:tabs>
          <w:tab w:leader="none" w:pos="1927"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hereunder, shall have been given to the Company by the Trustee or to the Company and the Trustee by the holders of at least 25% in principal amount of the Securities of that series at the time Outstanding;</w:t>
      </w:r>
    </w:p>
    <w:p>
      <w:pPr>
        <w:spacing w:after="0" w:line="172" w:lineRule="exact"/>
        <w:rPr>
          <w:rFonts w:ascii="Times New Roman" w:cs="Times New Roman" w:eastAsia="Times New Roman" w:hAnsi="Times New Roman"/>
          <w:sz w:val="18"/>
          <w:szCs w:val="18"/>
          <w:color w:val="auto"/>
        </w:rPr>
      </w:pPr>
    </w:p>
    <w:p>
      <w:pPr>
        <w:ind w:left="500" w:right="120" w:firstLine="1028"/>
        <w:spacing w:after="0" w:line="251" w:lineRule="auto"/>
        <w:tabs>
          <w:tab w:leader="none" w:pos="1927"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715518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132" w:name="page133"/>
    <w:bookmarkEnd w:id="132"/>
    <w:p>
      <w:pPr>
        <w:ind w:left="540" w:right="200" w:firstLine="983"/>
        <w:spacing w:after="0" w:line="250" w:lineRule="auto"/>
        <w:tabs>
          <w:tab w:leader="none" w:pos="196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63" w:lineRule="exact"/>
        <w:rPr>
          <w:rFonts w:ascii="Times New Roman" w:cs="Times New Roman" w:eastAsia="Times New Roman" w:hAnsi="Times New Roman"/>
          <w:sz w:val="18"/>
          <w:szCs w:val="18"/>
          <w:color w:val="auto"/>
        </w:rPr>
      </w:pPr>
    </w:p>
    <w:p>
      <w:pPr>
        <w:ind w:right="40" w:firstLine="1072"/>
        <w:spacing w:after="0"/>
        <w:tabs>
          <w:tab w:leader="none" w:pos="156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73" w:lineRule="exact"/>
        <w:rPr>
          <w:rFonts w:ascii="Times New Roman" w:cs="Times New Roman" w:eastAsia="Times New Roman" w:hAnsi="Times New Roman"/>
          <w:sz w:val="18"/>
          <w:szCs w:val="18"/>
          <w:color w:val="auto"/>
        </w:rPr>
      </w:pPr>
    </w:p>
    <w:p>
      <w:pPr>
        <w:ind w:firstLine="1072"/>
        <w:spacing w:after="0" w:line="238" w:lineRule="auto"/>
        <w:tabs>
          <w:tab w:leader="none" w:pos="155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199" w:lineRule="exact"/>
        <w:rPr>
          <w:sz w:val="20"/>
          <w:szCs w:val="20"/>
          <w:color w:val="auto"/>
        </w:rPr>
      </w:pPr>
    </w:p>
    <w:p>
      <w:pPr>
        <w:ind w:right="60" w:firstLine="1072"/>
        <w:spacing w:after="0" w:line="243" w:lineRule="auto"/>
        <w:tabs>
          <w:tab w:leader="none" w:pos="156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33" w:name="page134"/>
    <w:bookmarkEnd w:id="133"/>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80" w:firstLine="1072"/>
        <w:spacing w:after="0" w:line="241" w:lineRule="auto"/>
        <w:tabs>
          <w:tab w:leader="none" w:pos="159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right="60" w:firstLine="1072"/>
        <w:spacing w:after="0" w:line="243" w:lineRule="auto"/>
        <w:tabs>
          <w:tab w:leader="none" w:pos="160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69" w:lineRule="exact"/>
        <w:rPr>
          <w:rFonts w:ascii="Times New Roman" w:cs="Times New Roman" w:eastAsia="Times New Roman" w:hAnsi="Times New Roman"/>
          <w:sz w:val="18"/>
          <w:szCs w:val="18"/>
          <w:color w:val="auto"/>
        </w:rPr>
      </w:pPr>
    </w:p>
    <w:p>
      <w:pPr>
        <w:ind w:right="160" w:firstLine="1072"/>
        <w:spacing w:after="0" w:line="261" w:lineRule="auto"/>
        <w:tabs>
          <w:tab w:leader="none" w:pos="1642"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receivership, insolvency, liquidation, bankruptcy, reorganization, readjustment, arrangement, composition or judicial proceedings affecting the Company, or its creditors or property, irrespective of whether the Trustee shall have made any demand pursuant to this Section</w:t>
      </w:r>
    </w:p>
    <w:p>
      <w:pPr>
        <w:ind w:right="20"/>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7"/>
          <w:szCs w:val="17"/>
          <w:color w:val="auto"/>
        </w:rPr>
      </w:pPr>
    </w:p>
    <w:p>
      <w:pPr>
        <w:ind w:firstLine="1072"/>
        <w:spacing w:after="0" w:line="243" w:lineRule="auto"/>
        <w:tabs>
          <w:tab w:leader="none" w:pos="165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be for the ratable benefit of the holders of the Securities of such series.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4" w:name="page135"/>
    <w:bookmarkEnd w:id="134"/>
    <w:p>
      <w:pPr>
        <w:ind w:right="120" w:firstLine="541"/>
        <w:spacing w:after="0" w:line="245"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68" w:lineRule="exact"/>
        <w:rPr>
          <w:sz w:val="20"/>
          <w:szCs w:val="20"/>
          <w:color w:val="auto"/>
        </w:rPr>
      </w:pPr>
    </w:p>
    <w:p>
      <w:pPr>
        <w:jc w:val="both"/>
        <w:ind w:right="100" w:firstLine="541"/>
        <w:spacing w:after="0" w:line="25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62"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8"/>
          <w:szCs w:val="18"/>
          <w:u w:val="single" w:color="auto"/>
          <w:color w:val="auto"/>
        </w:rPr>
        <w:t>Application of Moneys Collected</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right="340" w:firstLine="541"/>
        <w:spacing w:after="0" w:line="245" w:lineRule="auto"/>
        <w:rPr>
          <w:sz w:val="20"/>
          <w:szCs w:val="20"/>
          <w:color w:val="auto"/>
        </w:rPr>
      </w:pPr>
      <w:r>
        <w:rPr>
          <w:rFonts w:ascii="Times New Roman" w:cs="Times New Roman" w:eastAsia="Times New Roman" w:hAnsi="Times New Roman"/>
          <w:sz w:val="18"/>
          <w:szCs w:val="18"/>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FIRST</w:t>
      </w:r>
      <w:r>
        <w:rPr>
          <w:rFonts w:ascii="Times New Roman" w:cs="Times New Roman" w:eastAsia="Times New Roman" w:hAnsi="Times New Roman"/>
          <w:sz w:val="15"/>
          <w:szCs w:val="15"/>
          <w:color w:val="auto"/>
        </w:rPr>
        <w:t>: To the payment of reasonable costs and expenses of collection and of all amounts payable to the Trustee, its agents and attorneys under this Indenture;</w:t>
      </w:r>
    </w:p>
    <w:p>
      <w:pPr>
        <w:spacing w:after="0" w:line="211" w:lineRule="exact"/>
        <w:rPr>
          <w:sz w:val="20"/>
          <w:szCs w:val="20"/>
          <w:color w:val="auto"/>
        </w:rPr>
      </w:pPr>
    </w:p>
    <w:p>
      <w:pPr>
        <w:ind w:right="360" w:firstLine="541"/>
        <w:spacing w:after="0" w:line="268" w:lineRule="auto"/>
        <w:rPr>
          <w:sz w:val="20"/>
          <w:szCs w:val="20"/>
          <w:color w:val="auto"/>
        </w:rPr>
      </w:pPr>
      <w:r>
        <w:rPr>
          <w:rFonts w:ascii="Times New Roman" w:cs="Times New Roman" w:eastAsia="Times New Roman" w:hAnsi="Times New Roman"/>
          <w:sz w:val="15"/>
          <w:szCs w:val="15"/>
          <w:b w:val="1"/>
          <w:bCs w:val="1"/>
          <w:color w:val="auto"/>
        </w:rPr>
        <w:t>SECOND</w:t>
      </w:r>
      <w:r>
        <w:rPr>
          <w:rFonts w:ascii="Times New Roman" w:cs="Times New Roman" w:eastAsia="Times New Roman" w:hAnsi="Times New Roman"/>
          <w:sz w:val="15"/>
          <w:szCs w:val="15"/>
          <w:color w:val="auto"/>
        </w:rPr>
        <w:t>: To the payment of the amounts then due and unpaid upon Securities of such series for principal (and premium, if any) and interest, in respect of which or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benefit of which such money has been collected, ratably, without preference or priority of any kind, according to the amounts due and payable on such Securities for principal (and premium, if any) and interest, respectively; and</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THIRD</w:t>
      </w:r>
      <w:r>
        <w:rPr>
          <w:rFonts w:ascii="Times New Roman" w:cs="Times New Roman" w:eastAsia="Times New Roman" w:hAnsi="Times New Roman"/>
          <w:sz w:val="15"/>
          <w:szCs w:val="15"/>
          <w:color w:val="auto"/>
        </w:rPr>
        <w:t>: To the payment of the remainder, if any, to the Company or any other Person lawfully entitled thereto.</w:t>
      </w:r>
    </w:p>
    <w:p>
      <w:pPr>
        <w:spacing w:after="0" w:line="206"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35" w:name="page136"/>
    <w:bookmarkEnd w:id="135"/>
    <w:p>
      <w:pPr>
        <w:ind w:firstLine="541"/>
        <w:spacing w:after="0" w:line="238"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5"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u w:val="single" w:color="auto"/>
          <w:color w:val="auto"/>
        </w:rPr>
        <w:t>Rights and Remedies Cumulative; Delay or Omission Not Waiver</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jc w:val="both"/>
        <w:ind w:right="100" w:firstLine="1072"/>
        <w:spacing w:after="0" w:line="245" w:lineRule="auto"/>
        <w:tabs>
          <w:tab w:leader="none" w:pos="15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68" w:lineRule="exact"/>
        <w:rPr>
          <w:rFonts w:ascii="Times New Roman" w:cs="Times New Roman" w:eastAsia="Times New Roman" w:hAnsi="Times New Roman"/>
          <w:sz w:val="18"/>
          <w:szCs w:val="18"/>
          <w:color w:val="auto"/>
        </w:rPr>
      </w:pPr>
    </w:p>
    <w:p>
      <w:pPr>
        <w:ind w:right="140" w:firstLine="1072"/>
        <w:spacing w:after="0" w:line="245" w:lineRule="auto"/>
        <w:tabs>
          <w:tab w:leader="none" w:pos="156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every power and remedy given by this Article or by law to the Trustee or the Securityholders may be exercised from time to time, and as often as shall be deemed expedient, by the Trustee or by the Securityholders.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8"/>
          <w:szCs w:val="18"/>
          <w:u w:val="single" w:color="auto"/>
          <w:color w:val="auto"/>
        </w:rPr>
        <w:t>Control by Securityholders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541"/>
        <w:spacing w:after="0" w:line="237" w:lineRule="auto"/>
        <w:rPr>
          <w:sz w:val="20"/>
          <w:szCs w:val="20"/>
          <w:color w:val="auto"/>
        </w:rPr>
      </w:pPr>
      <w:r>
        <w:rPr>
          <w:rFonts w:ascii="Times New Roman" w:cs="Times New Roman" w:eastAsia="Times New Roman" w:hAnsi="Times New Roman"/>
          <w:sz w:val="18"/>
          <w:szCs w:val="18"/>
          <w:color w:val="auto"/>
        </w:rPr>
        <w:t xml:space="preserve">The holders of a majority in aggregate principal amount of the Securities of any series at the time Outstanding,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may on behalf of the holders of all of the Securities of such series waive any past default in the performance of any of the covenants contained herein or established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7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8"/>
          <w:szCs w:val="18"/>
          <w:u w:val="single" w:color="auto"/>
          <w:color w:val="auto"/>
        </w:rPr>
        <w:t>Undertaking to Pay Costs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40" w:firstLine="541"/>
        <w:spacing w:after="0" w:line="239"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7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Certain Duties and Responsibilities of Trustee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1072"/>
        <w:spacing w:after="0" w:line="241" w:lineRule="auto"/>
        <w:tabs>
          <w:tab w:leader="none" w:pos="155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172" w:lineRule="exact"/>
        <w:rPr>
          <w:rFonts w:ascii="Times New Roman" w:cs="Times New Roman" w:eastAsia="Times New Roman" w:hAnsi="Times New Roman"/>
          <w:sz w:val="18"/>
          <w:szCs w:val="18"/>
          <w:color w:val="auto"/>
        </w:rPr>
      </w:pPr>
    </w:p>
    <w:p>
      <w:pPr>
        <w:ind w:right="240" w:firstLine="1072"/>
        <w:spacing w:after="0" w:line="267" w:lineRule="auto"/>
        <w:tabs>
          <w:tab w:leader="none" w:pos="156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47" w:lineRule="exact"/>
        <w:rPr>
          <w:rFonts w:ascii="Times New Roman" w:cs="Times New Roman" w:eastAsia="Times New Roman" w:hAnsi="Times New Roman"/>
          <w:sz w:val="18"/>
          <w:szCs w:val="18"/>
          <w:color w:val="auto"/>
        </w:rPr>
      </w:pPr>
    </w:p>
    <w:p>
      <w:pPr>
        <w:ind w:left="540" w:right="20" w:firstLine="937"/>
        <w:spacing w:after="0" w:line="267" w:lineRule="auto"/>
        <w:tabs>
          <w:tab w:leader="none" w:pos="196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47" w:lineRule="exact"/>
        <w:rPr>
          <w:rFonts w:ascii="Times New Roman" w:cs="Times New Roman" w:eastAsia="Times New Roman" w:hAnsi="Times New Roman"/>
          <w:sz w:val="18"/>
          <w:szCs w:val="18"/>
          <w:color w:val="auto"/>
        </w:rPr>
      </w:pPr>
    </w:p>
    <w:p>
      <w:pPr>
        <w:ind w:left="540" w:right="240" w:firstLine="1343"/>
        <w:spacing w:after="0" w:line="245" w:lineRule="auto"/>
        <w:tabs>
          <w:tab w:leader="none" w:pos="2413"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68" w:lineRule="exact"/>
        <w:rPr>
          <w:rFonts w:ascii="Times New Roman" w:cs="Times New Roman" w:eastAsia="Times New Roman" w:hAnsi="Times New Roman"/>
          <w:sz w:val="18"/>
          <w:szCs w:val="18"/>
          <w:color w:val="auto"/>
        </w:rPr>
      </w:pPr>
    </w:p>
    <w:p>
      <w:pPr>
        <w:ind w:left="540" w:right="40" w:firstLine="1343"/>
        <w:spacing w:after="0" w:line="241" w:lineRule="auto"/>
        <w:tabs>
          <w:tab w:leader="none" w:pos="2403"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72" w:lineRule="exact"/>
        <w:rPr>
          <w:rFonts w:ascii="Times New Roman" w:cs="Times New Roman" w:eastAsia="Times New Roman" w:hAnsi="Times New Roman"/>
          <w:sz w:val="18"/>
          <w:szCs w:val="18"/>
          <w:color w:val="auto"/>
        </w:rPr>
      </w:pPr>
    </w:p>
    <w:p>
      <w:pPr>
        <w:ind w:left="540" w:right="100" w:firstLine="937"/>
        <w:spacing w:after="0" w:line="267" w:lineRule="auto"/>
        <w:tabs>
          <w:tab w:leader="none" w:pos="196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47" w:lineRule="exact"/>
        <w:rPr>
          <w:rFonts w:ascii="Times New Roman" w:cs="Times New Roman" w:eastAsia="Times New Roman" w:hAnsi="Times New Roman"/>
          <w:sz w:val="18"/>
          <w:szCs w:val="18"/>
          <w:color w:val="auto"/>
        </w:rPr>
      </w:pPr>
    </w:p>
    <w:p>
      <w:pPr>
        <w:ind w:left="540" w:firstLine="937"/>
        <w:spacing w:after="0" w:line="245" w:lineRule="auto"/>
        <w:tabs>
          <w:tab w:leader="none" w:pos="196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68" w:lineRule="exact"/>
        <w:rPr>
          <w:rFonts w:ascii="Times New Roman" w:cs="Times New Roman" w:eastAsia="Times New Roman" w:hAnsi="Times New Roman"/>
          <w:sz w:val="18"/>
          <w:szCs w:val="18"/>
          <w:color w:val="auto"/>
        </w:rPr>
      </w:pPr>
    </w:p>
    <w:p>
      <w:pPr>
        <w:ind w:left="540" w:right="40" w:firstLine="937"/>
        <w:spacing w:after="0" w:line="245" w:lineRule="auto"/>
        <w:tabs>
          <w:tab w:leader="none" w:pos="196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8" w:name="page139"/>
    <w:bookmarkEnd w:id="138"/>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u w:val="single" w:color="auto"/>
          <w:color w:val="auto"/>
        </w:rPr>
        <w:t>Certain Rights of Trustee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1072"/>
        <w:spacing w:after="0" w:line="243" w:lineRule="auto"/>
        <w:tabs>
          <w:tab w:leader="none" w:pos="15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169" w:lineRule="exact"/>
        <w:rPr>
          <w:rFonts w:ascii="Times New Roman" w:cs="Times New Roman" w:eastAsia="Times New Roman" w:hAnsi="Times New Roman"/>
          <w:sz w:val="18"/>
          <w:szCs w:val="18"/>
          <w:color w:val="auto"/>
        </w:rPr>
      </w:pPr>
    </w:p>
    <w:p>
      <w:pPr>
        <w:ind w:right="220" w:firstLine="1072"/>
        <w:spacing w:after="0" w:line="251" w:lineRule="auto"/>
        <w:tabs>
          <w:tab w:leader="none" w:pos="156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61" w:lineRule="exact"/>
        <w:rPr>
          <w:rFonts w:ascii="Times New Roman" w:cs="Times New Roman" w:eastAsia="Times New Roman" w:hAnsi="Times New Roman"/>
          <w:sz w:val="18"/>
          <w:szCs w:val="18"/>
          <w:color w:val="auto"/>
        </w:rPr>
      </w:pPr>
    </w:p>
    <w:p>
      <w:pPr>
        <w:ind w:right="80" w:firstLine="1072"/>
        <w:spacing w:after="0" w:line="267" w:lineRule="auto"/>
        <w:tabs>
          <w:tab w:leader="none" w:pos="15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147" w:lineRule="exact"/>
        <w:rPr>
          <w:rFonts w:ascii="Times New Roman" w:cs="Times New Roman" w:eastAsia="Times New Roman" w:hAnsi="Times New Roman"/>
          <w:sz w:val="18"/>
          <w:szCs w:val="18"/>
          <w:color w:val="auto"/>
        </w:rPr>
      </w:pPr>
    </w:p>
    <w:p>
      <w:pPr>
        <w:ind w:right="220" w:firstLine="1072"/>
        <w:spacing w:after="0" w:line="251" w:lineRule="auto"/>
        <w:tabs>
          <w:tab w:leader="none" w:pos="156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spacing w:after="0" w:line="161" w:lineRule="exact"/>
        <w:rPr>
          <w:rFonts w:ascii="Times New Roman" w:cs="Times New Roman" w:eastAsia="Times New Roman" w:hAnsi="Times New Roman"/>
          <w:sz w:val="18"/>
          <w:szCs w:val="18"/>
          <w:color w:val="auto"/>
        </w:rPr>
      </w:pPr>
    </w:p>
    <w:p>
      <w:pPr>
        <w:ind w:right="360" w:firstLine="1072"/>
        <w:spacing w:after="0" w:line="267" w:lineRule="auto"/>
        <w:tabs>
          <w:tab w:leader="none" w:pos="15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47" w:lineRule="exact"/>
        <w:rPr>
          <w:rFonts w:ascii="Times New Roman" w:cs="Times New Roman" w:eastAsia="Times New Roman" w:hAnsi="Times New Roman"/>
          <w:sz w:val="18"/>
          <w:szCs w:val="18"/>
          <w:color w:val="auto"/>
        </w:rPr>
      </w:pPr>
    </w:p>
    <w:p>
      <w:pPr>
        <w:ind w:right="40" w:firstLine="1072"/>
        <w:spacing w:after="0" w:line="239" w:lineRule="auto"/>
        <w:tabs>
          <w:tab w:leader="none" w:pos="153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9" w:name="page140"/>
    <w:bookmarkEnd w:id="139"/>
    <w:p>
      <w:pPr>
        <w:ind w:firstLine="1072"/>
        <w:spacing w:after="0" w:line="250" w:lineRule="auto"/>
        <w:tabs>
          <w:tab w:leader="none" w:pos="156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63" w:lineRule="exact"/>
        <w:rPr>
          <w:rFonts w:ascii="Times New Roman" w:cs="Times New Roman" w:eastAsia="Times New Roman" w:hAnsi="Times New Roman"/>
          <w:sz w:val="18"/>
          <w:szCs w:val="18"/>
          <w:color w:val="auto"/>
        </w:rPr>
      </w:pPr>
    </w:p>
    <w:p>
      <w:pPr>
        <w:ind w:right="60" w:firstLine="1072"/>
        <w:spacing w:after="0" w:line="243" w:lineRule="auto"/>
        <w:tabs>
          <w:tab w:leader="none" w:pos="156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69" w:lineRule="exact"/>
        <w:rPr>
          <w:rFonts w:ascii="Times New Roman" w:cs="Times New Roman" w:eastAsia="Times New Roman" w:hAnsi="Times New Roman"/>
          <w:sz w:val="18"/>
          <w:szCs w:val="18"/>
          <w:color w:val="auto"/>
        </w:rPr>
      </w:pPr>
    </w:p>
    <w:p>
      <w:pPr>
        <w:ind w:right="180" w:firstLine="1072"/>
        <w:spacing w:after="0" w:line="251" w:lineRule="auto"/>
        <w:tabs>
          <w:tab w:leader="none" w:pos="156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161" w:lineRule="exact"/>
        <w:rPr>
          <w:rFonts w:ascii="Times New Roman" w:cs="Times New Roman" w:eastAsia="Times New Roman" w:hAnsi="Times New Roman"/>
          <w:sz w:val="18"/>
          <w:szCs w:val="18"/>
          <w:color w:val="auto"/>
        </w:rPr>
      </w:pPr>
    </w:p>
    <w:p>
      <w:pPr>
        <w:ind w:left="1560" w:hanging="488"/>
        <w:spacing w:after="0"/>
        <w:tabs>
          <w:tab w:leader="none" w:pos="15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198" w:lineRule="exact"/>
        <w:rPr>
          <w:rFonts w:ascii="Times New Roman" w:cs="Times New Roman" w:eastAsia="Times New Roman" w:hAnsi="Times New Roman"/>
          <w:sz w:val="18"/>
          <w:szCs w:val="18"/>
          <w:color w:val="auto"/>
        </w:rPr>
      </w:pPr>
    </w:p>
    <w:p>
      <w:pPr>
        <w:ind w:right="720" w:firstLine="1072"/>
        <w:spacing w:after="0" w:line="267" w:lineRule="auto"/>
        <w:tabs>
          <w:tab w:leader="none" w:pos="156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147" w:lineRule="exact"/>
        <w:rPr>
          <w:rFonts w:ascii="Times New Roman" w:cs="Times New Roman" w:eastAsia="Times New Roman" w:hAnsi="Times New Roman"/>
          <w:sz w:val="18"/>
          <w:szCs w:val="18"/>
          <w:color w:val="auto"/>
        </w:rPr>
      </w:pPr>
    </w:p>
    <w:p>
      <w:pPr>
        <w:ind w:left="1560" w:hanging="488"/>
        <w:spacing w:after="0"/>
        <w:tabs>
          <w:tab w:leader="none" w:pos="15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199" w:lineRule="exact"/>
        <w:rPr>
          <w:sz w:val="20"/>
          <w:szCs w:val="20"/>
          <w:color w:val="auto"/>
        </w:rPr>
      </w:pPr>
    </w:p>
    <w:p>
      <w:pPr>
        <w:ind w:right="200" w:firstLine="541"/>
        <w:spacing w:after="0" w:line="251"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62"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8"/>
          <w:szCs w:val="18"/>
          <w:u w:val="single" w:color="auto"/>
          <w:color w:val="auto"/>
        </w:rPr>
        <w:t>Trustee Not Responsible for Recitals or Issuance or Securities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540" w:firstLine="1072"/>
        <w:spacing w:after="0" w:line="267" w:lineRule="auto"/>
        <w:tabs>
          <w:tab w:leader="none" w:pos="15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47" w:lineRule="exact"/>
        <w:rPr>
          <w:rFonts w:ascii="Times New Roman" w:cs="Times New Roman" w:eastAsia="Times New Roman" w:hAnsi="Times New Roman"/>
          <w:sz w:val="18"/>
          <w:szCs w:val="18"/>
          <w:color w:val="auto"/>
        </w:rPr>
      </w:pPr>
    </w:p>
    <w:p>
      <w:pPr>
        <w:ind w:left="1560" w:hanging="488"/>
        <w:spacing w:after="0"/>
        <w:tabs>
          <w:tab w:leader="none" w:pos="15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ind w:firstLine="1072"/>
        <w:spacing w:after="0" w:line="250" w:lineRule="auto"/>
        <w:tabs>
          <w:tab w:leader="none" w:pos="15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or for the use or application of any moneys received by any paying agent other than the Trustee.</w:t>
      </w:r>
    </w:p>
    <w:p>
      <w:pPr>
        <w:spacing w:after="0" w:line="164"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0" w:firstLine="541"/>
        <w:spacing w:after="0" w:line="267"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48"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7"/>
          <w:szCs w:val="17"/>
          <w:u w:val="single" w:color="auto"/>
          <w:color w:val="auto"/>
        </w:rPr>
        <w:t>Moneys Held in Trust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100" w:firstLine="541"/>
        <w:spacing w:after="0" w:line="251"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62"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40" w:firstLine="1072"/>
        <w:spacing w:after="0" w:line="238" w:lineRule="auto"/>
        <w:tabs>
          <w:tab w:leader="none" w:pos="15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173" w:lineRule="exact"/>
        <w:rPr>
          <w:rFonts w:ascii="Times New Roman" w:cs="Times New Roman" w:eastAsia="Times New Roman" w:hAnsi="Times New Roman"/>
          <w:sz w:val="18"/>
          <w:szCs w:val="18"/>
          <w:color w:val="auto"/>
        </w:rPr>
      </w:pPr>
    </w:p>
    <w:p>
      <w:pPr>
        <w:ind w:right="160" w:firstLine="1072"/>
        <w:spacing w:after="0" w:line="245" w:lineRule="auto"/>
        <w:tabs>
          <w:tab w:leader="none" w:pos="156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41" w:name="page142"/>
    <w:bookmarkEnd w:id="141"/>
    <w:p>
      <w:pPr>
        <w:ind w:firstLine="1072"/>
        <w:spacing w:after="0" w:line="243" w:lineRule="auto"/>
        <w:tabs>
          <w:tab w:leader="none" w:pos="159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Times New Roman" w:cs="Times New Roman" w:eastAsia="Times New Roman" w:hAnsi="Times New Roman"/>
          <w:sz w:val="18"/>
          <w:szCs w:val="18"/>
          <w:u w:val="single" w:color="auto"/>
          <w:color w:val="auto"/>
        </w:rPr>
        <w:t>Section 6.01(a)(4)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survive the termination of this Indenture and the earlier resignation or removal of the Trustee.</w:t>
      </w:r>
    </w:p>
    <w:p>
      <w:pPr>
        <w:spacing w:after="0" w:line="170"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7.07</w:t>
      </w:r>
      <w:r>
        <w:rPr>
          <w:sz w:val="20"/>
          <w:szCs w:val="20"/>
          <w:color w:val="auto"/>
        </w:rPr>
        <w:tab/>
      </w:r>
      <w:r>
        <w:rPr>
          <w:rFonts w:ascii="Times New Roman" w:cs="Times New Roman" w:eastAsia="Times New Roman" w:hAnsi="Times New Roman"/>
          <w:sz w:val="18"/>
          <w:szCs w:val="18"/>
          <w:u w:val="single" w:color="auto"/>
          <w:color w:val="auto"/>
        </w:rPr>
        <w:t>Reliance on Officer’s Certificate or Opinion of Counsel</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73"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300" w:firstLine="541"/>
        <w:spacing w:after="0" w:line="267"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48"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7"/>
          <w:szCs w:val="17"/>
          <w:u w:val="single" w:color="auto"/>
          <w:color w:val="auto"/>
        </w:rPr>
        <w:t>Corporate Trustee Required; Eligibility</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180" w:firstLine="541"/>
        <w:spacing w:after="0" w:line="245"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9" w:lineRule="exact"/>
        <w:rPr>
          <w:sz w:val="20"/>
          <w:szCs w:val="20"/>
          <w:color w:val="auto"/>
        </w:rPr>
      </w:pPr>
    </w:p>
    <w:p>
      <w:pPr>
        <w:ind w:right="20" w:firstLine="541"/>
        <w:spacing w:after="0" w:line="241" w:lineRule="auto"/>
        <w:rPr>
          <w:sz w:val="20"/>
          <w:szCs w:val="20"/>
          <w:color w:val="auto"/>
        </w:rPr>
      </w:pPr>
      <w:r>
        <w:rPr>
          <w:rFonts w:ascii="Times New Roman" w:cs="Times New Roman" w:eastAsia="Times New Roman" w:hAnsi="Times New Roman"/>
          <w:sz w:val="18"/>
          <w:szCs w:val="18"/>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2" w:name="page143"/>
    <w:bookmarkEnd w:id="142"/>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1072"/>
        <w:spacing w:after="0" w:line="238" w:lineRule="auto"/>
        <w:tabs>
          <w:tab w:leader="none" w:pos="159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8" w:lineRule="exact"/>
        <w:rPr>
          <w:rFonts w:ascii="Times New Roman" w:cs="Times New Roman" w:eastAsia="Times New Roman" w:hAnsi="Times New Roman"/>
          <w:sz w:val="18"/>
          <w:szCs w:val="18"/>
          <w:color w:val="auto"/>
        </w:rPr>
      </w:pPr>
    </w:p>
    <w:p>
      <w:pPr>
        <w:ind w:left="1560" w:hanging="488"/>
        <w:spacing w:after="0"/>
        <w:tabs>
          <w:tab w:leader="none" w:pos="15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198" w:lineRule="exact"/>
        <w:rPr>
          <w:rFonts w:ascii="Times New Roman" w:cs="Times New Roman" w:eastAsia="Times New Roman" w:hAnsi="Times New Roman"/>
          <w:sz w:val="18"/>
          <w:szCs w:val="18"/>
          <w:color w:val="auto"/>
        </w:rPr>
      </w:pPr>
    </w:p>
    <w:p>
      <w:pPr>
        <w:ind w:left="540" w:right="400" w:firstLine="937"/>
        <w:spacing w:after="0" w:line="267" w:lineRule="auto"/>
        <w:tabs>
          <w:tab w:leader="none" w:pos="197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fail to comply with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after written request therefor by the Company or by any Securityholder who has been a bona fide holder of a Security or Securities for at least six months; or</w:t>
      </w:r>
    </w:p>
    <w:p>
      <w:pPr>
        <w:spacing w:after="0" w:line="147" w:lineRule="exact"/>
        <w:rPr>
          <w:rFonts w:ascii="Times New Roman" w:cs="Times New Roman" w:eastAsia="Times New Roman" w:hAnsi="Times New Roman"/>
          <w:sz w:val="18"/>
          <w:szCs w:val="18"/>
          <w:color w:val="auto"/>
        </w:rPr>
      </w:pPr>
    </w:p>
    <w:p>
      <w:pPr>
        <w:ind w:left="540" w:right="480" w:firstLine="937"/>
        <w:spacing w:after="0" w:line="267" w:lineRule="auto"/>
        <w:tabs>
          <w:tab w:leader="none" w:pos="1977"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cease to be eligible in accordance with the provisions of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and shall fail to resign after written request therefor by the Company or by any such Securityholder; or</w:t>
      </w:r>
    </w:p>
    <w:p>
      <w:pPr>
        <w:spacing w:after="0" w:line="147" w:lineRule="exact"/>
        <w:rPr>
          <w:rFonts w:ascii="Times New Roman" w:cs="Times New Roman" w:eastAsia="Times New Roman" w:hAnsi="Times New Roman"/>
          <w:sz w:val="18"/>
          <w:szCs w:val="18"/>
          <w:color w:val="auto"/>
        </w:rPr>
      </w:pPr>
    </w:p>
    <w:p>
      <w:pPr>
        <w:ind w:left="540" w:right="20" w:firstLine="937"/>
        <w:spacing w:after="0" w:line="251" w:lineRule="auto"/>
        <w:tabs>
          <w:tab w:leader="none" w:pos="198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9" w:lineRule="exact"/>
        <w:rPr>
          <w:sz w:val="20"/>
          <w:szCs w:val="20"/>
          <w:color w:val="auto"/>
        </w:rPr>
      </w:pPr>
    </w:p>
    <w:p>
      <w:pPr>
        <w:ind w:right="220" w:firstLine="1072"/>
        <w:spacing w:after="0" w:line="251" w:lineRule="auto"/>
        <w:tabs>
          <w:tab w:leader="none" w:pos="159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ind w:right="100" w:firstLine="1072"/>
        <w:spacing w:after="0" w:line="268" w:lineRule="auto"/>
        <w:tabs>
          <w:tab w:leader="none" w:pos="156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47" w:lineRule="exact"/>
        <w:rPr>
          <w:rFonts w:ascii="Times New Roman" w:cs="Times New Roman" w:eastAsia="Times New Roman" w:hAnsi="Times New Roman"/>
          <w:sz w:val="18"/>
          <w:szCs w:val="18"/>
          <w:color w:val="auto"/>
        </w:rPr>
      </w:pPr>
    </w:p>
    <w:p>
      <w:pPr>
        <w:ind w:firstLine="1072"/>
        <w:spacing w:after="0" w:line="267" w:lineRule="auto"/>
        <w:tabs>
          <w:tab w:leader="none" w:pos="15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48"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u w:val="single" w:color="auto"/>
          <w:color w:val="auto"/>
        </w:rPr>
        <w:t>Acceptance of Appointment By Successor</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20" w:firstLine="1072"/>
        <w:spacing w:after="0"/>
        <w:tabs>
          <w:tab w:leader="none" w:pos="155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3" w:lineRule="exact"/>
        <w:rPr>
          <w:rFonts w:ascii="Times New Roman" w:cs="Times New Roman" w:eastAsia="Times New Roman" w:hAnsi="Times New Roman"/>
          <w:sz w:val="18"/>
          <w:szCs w:val="18"/>
          <w:color w:val="auto"/>
        </w:rPr>
      </w:pPr>
    </w:p>
    <w:p>
      <w:pPr>
        <w:ind w:firstLine="1072"/>
        <w:spacing w:after="0" w:line="237" w:lineRule="auto"/>
        <w:tabs>
          <w:tab w:leader="none" w:pos="156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44" w:name="page145"/>
    <w:bookmarkEnd w:id="144"/>
    <w:p>
      <w:pPr>
        <w:ind w:right="60" w:firstLine="1072"/>
        <w:spacing w:after="0" w:line="266" w:lineRule="auto"/>
        <w:tabs>
          <w:tab w:leader="none" w:pos="155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48" w:lineRule="exact"/>
        <w:rPr>
          <w:rFonts w:ascii="Times New Roman" w:cs="Times New Roman" w:eastAsia="Times New Roman" w:hAnsi="Times New Roman"/>
          <w:sz w:val="18"/>
          <w:szCs w:val="18"/>
          <w:color w:val="auto"/>
        </w:rPr>
      </w:pPr>
    </w:p>
    <w:p>
      <w:pPr>
        <w:ind w:right="240" w:firstLine="1072"/>
        <w:spacing w:after="0" w:line="267" w:lineRule="auto"/>
        <w:tabs>
          <w:tab w:leader="none" w:pos="156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47" w:lineRule="exact"/>
        <w:rPr>
          <w:rFonts w:ascii="Times New Roman" w:cs="Times New Roman" w:eastAsia="Times New Roman" w:hAnsi="Times New Roman"/>
          <w:sz w:val="18"/>
          <w:szCs w:val="18"/>
          <w:color w:val="auto"/>
        </w:rPr>
      </w:pPr>
    </w:p>
    <w:p>
      <w:pPr>
        <w:ind w:right="160" w:firstLine="1072"/>
        <w:spacing w:after="0" w:line="245" w:lineRule="auto"/>
        <w:tabs>
          <w:tab w:leader="none" w:pos="155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6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7"/>
          <w:szCs w:val="17"/>
          <w:u w:val="single" w:color="auto"/>
          <w:color w:val="auto"/>
        </w:rPr>
        <w:t>Merger, Conversion, Consolidation or Succession to Business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80" w:firstLine="541"/>
        <w:spacing w:after="0"/>
        <w:rPr>
          <w:sz w:val="20"/>
          <w:szCs w:val="20"/>
          <w:color w:val="auto"/>
        </w:rPr>
      </w:pPr>
      <w:r>
        <w:rPr>
          <w:rFonts w:ascii="Times New Roman" w:cs="Times New Roman" w:eastAsia="Times New Roman" w:hAnsi="Times New Roman"/>
          <w:sz w:val="18"/>
          <w:szCs w:val="18"/>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corporation shall be qualified under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and eligible under the provisions of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4"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7.13</w:t>
      </w:r>
      <w:r>
        <w:rPr>
          <w:sz w:val="20"/>
          <w:szCs w:val="20"/>
          <w:color w:val="auto"/>
        </w:rPr>
        <w:tab/>
      </w:r>
      <w:r>
        <w:rPr>
          <w:rFonts w:ascii="Times New Roman" w:cs="Times New Roman" w:eastAsia="Times New Roman" w:hAnsi="Times New Roman"/>
          <w:sz w:val="17"/>
          <w:szCs w:val="17"/>
          <w:u w:val="single" w:color="auto"/>
          <w:color w:val="auto"/>
        </w:rPr>
        <w:t>Preferential Collection of Claims Against the Company</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541"/>
        <w:spacing w:after="0" w:line="297" w:lineRule="auto"/>
        <w:rPr>
          <w:sz w:val="20"/>
          <w:szCs w:val="20"/>
          <w:color w:val="auto"/>
        </w:rPr>
      </w:pPr>
      <w:r>
        <w:rPr>
          <w:rFonts w:ascii="Times New Roman" w:cs="Times New Roman" w:eastAsia="Times New Roman" w:hAnsi="Times New Roman"/>
          <w:sz w:val="17"/>
          <w:szCs w:val="17"/>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5"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7.14</w:t>
      </w:r>
      <w:r>
        <w:rPr>
          <w:sz w:val="20"/>
          <w:szCs w:val="20"/>
          <w:color w:val="auto"/>
        </w:rPr>
        <w:tab/>
      </w:r>
      <w:r>
        <w:rPr>
          <w:rFonts w:ascii="Times New Roman" w:cs="Times New Roman" w:eastAsia="Times New Roman" w:hAnsi="Times New Roman"/>
          <w:sz w:val="17"/>
          <w:szCs w:val="17"/>
          <w:u w:val="single" w:color="auto"/>
          <w:color w:val="auto"/>
        </w:rPr>
        <w:t>Notice of Default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20" w:firstLine="541"/>
        <w:spacing w:after="0" w:line="241"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45" w:name="page146"/>
    <w:bookmarkEnd w:id="14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17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u w:val="single" w:color="auto"/>
          <w:color w:val="auto"/>
        </w:rPr>
        <w:t>Evidence of Action by Securityholders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firstLine="541"/>
        <w:spacing w:after="0" w:line="243" w:lineRule="auto"/>
        <w:rPr>
          <w:sz w:val="20"/>
          <w:szCs w:val="20"/>
          <w:color w:val="auto"/>
        </w:rPr>
      </w:pPr>
      <w:r>
        <w:rPr>
          <w:rFonts w:ascii="Times New Roman" w:cs="Times New Roman" w:eastAsia="Times New Roman" w:hAnsi="Times New Roman"/>
          <w:sz w:val="18"/>
          <w:szCs w:val="18"/>
          <w:color w:val="auto"/>
        </w:rPr>
        <w:t xml:space="preserve">Whenever in this Indenture it 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71" w:lineRule="exact"/>
        <w:rPr>
          <w:sz w:val="20"/>
          <w:szCs w:val="20"/>
          <w:color w:val="auto"/>
        </w:rPr>
      </w:pPr>
    </w:p>
    <w:p>
      <w:pPr>
        <w:ind w:right="80" w:firstLine="541"/>
        <w:spacing w:after="0" w:line="239" w:lineRule="auto"/>
        <w:rPr>
          <w:sz w:val="20"/>
          <w:szCs w:val="20"/>
          <w:color w:val="auto"/>
        </w:rPr>
      </w:pPr>
      <w:r>
        <w:rPr>
          <w:rFonts w:ascii="Times New Roman" w:cs="Times New Roman" w:eastAsia="Times New Roman" w:hAnsi="Times New Roman"/>
          <w:sz w:val="18"/>
          <w:szCs w:val="18"/>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73"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8"/>
          <w:szCs w:val="18"/>
          <w:u w:val="single" w:color="auto"/>
          <w:color w:val="auto"/>
        </w:rPr>
        <w:t>Proof of Execution by Securityholders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80" w:firstLine="541"/>
        <w:spacing w:after="0" w:line="267"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8" w:lineRule="exact"/>
        <w:rPr>
          <w:sz w:val="20"/>
          <w:szCs w:val="20"/>
          <w:color w:val="auto"/>
        </w:rPr>
      </w:pPr>
    </w:p>
    <w:p>
      <w:pPr>
        <w:ind w:left="1540" w:hanging="468"/>
        <w:spacing w:after="0"/>
        <w:tabs>
          <w:tab w:leader="none" w:pos="1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179" w:lineRule="exact"/>
        <w:rPr>
          <w:sz w:val="20"/>
          <w:szCs w:val="20"/>
          <w:color w:val="auto"/>
        </w:rPr>
      </w:pPr>
    </w:p>
    <w:p>
      <w:pPr>
        <w:ind w:right="240" w:firstLine="1072"/>
        <w:spacing w:after="0" w:line="267" w:lineRule="auto"/>
        <w:tabs>
          <w:tab w:leader="none" w:pos="156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6" w:name="page147"/>
    <w:bookmarkEnd w:id="146"/>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8"/>
          <w:szCs w:val="18"/>
          <w:u w:val="single" w:color="auto"/>
          <w:color w:val="auto"/>
        </w:rPr>
        <w:t>Who May be Deemed Owners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40" w:firstLine="541"/>
        <w:spacing w:after="0" w:line="241" w:lineRule="auto"/>
        <w:rPr>
          <w:sz w:val="20"/>
          <w:szCs w:val="20"/>
          <w:color w:val="auto"/>
        </w:rPr>
      </w:pPr>
      <w:r>
        <w:rPr>
          <w:rFonts w:ascii="Times New Roman" w:cs="Times New Roman" w:eastAsia="Times New Roman" w:hAnsi="Times New Roman"/>
          <w:sz w:val="18"/>
          <w:szCs w:val="18"/>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interest on such Security and for all other purposes; and neither the Company nor the Trustee nor any paying agent nor any Security Registrar shall be affected by any notice to the contrary.</w:t>
      </w:r>
    </w:p>
    <w:p>
      <w:pPr>
        <w:spacing w:after="0" w:line="173"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8"/>
          <w:szCs w:val="18"/>
          <w:u w:val="single" w:color="auto"/>
          <w:color w:val="auto"/>
        </w:rPr>
        <w:t>Certain Securities Owned by Company Disregarded</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541"/>
        <w:spacing w:after="0" w:line="238"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78"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7"/>
          <w:szCs w:val="17"/>
          <w:u w:val="single" w:color="auto"/>
          <w:color w:val="auto"/>
        </w:rPr>
        <w:t>Actions Binding on Future Securityholders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 xml:space="preserve">At any time prior to (but not after) the evidencing to the Trustee,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17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u w:val="single" w:color="auto"/>
          <w:color w:val="auto"/>
        </w:rPr>
        <w:t>Supplemental Indentures Without the Consent of Securityholders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100" w:firstLine="541"/>
        <w:spacing w:after="0" w:line="251"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162" w:lineRule="exact"/>
        <w:rPr>
          <w:sz w:val="20"/>
          <w:szCs w:val="20"/>
          <w:color w:val="auto"/>
        </w:rPr>
      </w:pPr>
    </w:p>
    <w:p>
      <w:pPr>
        <w:ind w:left="1540" w:hanging="468"/>
        <w:spacing w:after="0"/>
        <w:tabs>
          <w:tab w:leader="none" w:pos="1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198" w:lineRule="exact"/>
        <w:rPr>
          <w:rFonts w:ascii="Times New Roman" w:cs="Times New Roman" w:eastAsia="Times New Roman" w:hAnsi="Times New Roman"/>
          <w:sz w:val="18"/>
          <w:szCs w:val="18"/>
          <w:color w:val="auto"/>
        </w:rPr>
      </w:pPr>
    </w:p>
    <w:p>
      <w:pPr>
        <w:ind w:left="1560" w:hanging="488"/>
        <w:spacing w:after="0"/>
        <w:tabs>
          <w:tab w:leader="none" w:pos="1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comply with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1540" w:hanging="468"/>
        <w:spacing w:after="0"/>
        <w:tabs>
          <w:tab w:leader="none" w:pos="1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98" w:lineRule="exact"/>
        <w:rPr>
          <w:rFonts w:ascii="Times New Roman" w:cs="Times New Roman" w:eastAsia="Times New Roman" w:hAnsi="Times New Roman"/>
          <w:sz w:val="18"/>
          <w:szCs w:val="18"/>
          <w:color w:val="auto"/>
        </w:rPr>
      </w:pPr>
    </w:p>
    <w:p>
      <w:pPr>
        <w:ind w:firstLine="1072"/>
        <w:spacing w:after="0" w:line="243" w:lineRule="auto"/>
        <w:tabs>
          <w:tab w:leader="none" w:pos="156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69" w:lineRule="exact"/>
        <w:rPr>
          <w:rFonts w:ascii="Times New Roman" w:cs="Times New Roman" w:eastAsia="Times New Roman" w:hAnsi="Times New Roman"/>
          <w:sz w:val="18"/>
          <w:szCs w:val="18"/>
          <w:color w:val="auto"/>
        </w:rPr>
      </w:pPr>
    </w:p>
    <w:p>
      <w:pPr>
        <w:ind w:right="360" w:firstLine="1072"/>
        <w:spacing w:after="0" w:line="267" w:lineRule="auto"/>
        <w:tabs>
          <w:tab w:leader="none" w:pos="155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47" w:lineRule="exact"/>
        <w:rPr>
          <w:rFonts w:ascii="Times New Roman" w:cs="Times New Roman" w:eastAsia="Times New Roman" w:hAnsi="Times New Roman"/>
          <w:sz w:val="18"/>
          <w:szCs w:val="18"/>
          <w:color w:val="auto"/>
        </w:rPr>
      </w:pPr>
    </w:p>
    <w:p>
      <w:pPr>
        <w:ind w:left="1560" w:hanging="488"/>
        <w:spacing w:after="0"/>
        <w:tabs>
          <w:tab w:leader="none" w:pos="1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198" w:lineRule="exact"/>
        <w:rPr>
          <w:rFonts w:ascii="Times New Roman" w:cs="Times New Roman" w:eastAsia="Times New Roman" w:hAnsi="Times New Roman"/>
          <w:sz w:val="18"/>
          <w:szCs w:val="18"/>
          <w:color w:val="auto"/>
        </w:rPr>
      </w:pPr>
    </w:p>
    <w:p>
      <w:pPr>
        <w:ind w:left="1560" w:hanging="488"/>
        <w:spacing w:after="0"/>
        <w:tabs>
          <w:tab w:leader="none" w:pos="1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the issuance of and establish the form and terms and conditions of the Securities of any series as provided in </w:t>
      </w:r>
      <w:r>
        <w:rPr>
          <w:rFonts w:ascii="Times New Roman" w:cs="Times New Roman" w:eastAsia="Times New Roman" w:hAnsi="Times New Roman"/>
          <w:sz w:val="18"/>
          <w:szCs w:val="18"/>
          <w:u w:val="single" w:color="auto"/>
          <w:color w:val="auto"/>
        </w:rPr>
        <w:t>Section</w:t>
      </w:r>
    </w:p>
    <w:p>
      <w:pPr>
        <w:spacing w:after="0" w:line="16"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to establish the form of any certifications required to be furnished pursuant to the terms of this Indenture or any series of Securities, or to add to the rights of the holders of any series of Securities;</w:t>
      </w:r>
    </w:p>
    <w:p>
      <w:pPr>
        <w:spacing w:after="0" w:line="168" w:lineRule="exact"/>
        <w:rPr>
          <w:sz w:val="20"/>
          <w:szCs w:val="20"/>
          <w:color w:val="auto"/>
        </w:rPr>
      </w:pPr>
    </w:p>
    <w:p>
      <w:pPr>
        <w:ind w:right="440" w:firstLine="1072"/>
        <w:spacing w:after="0" w:line="267" w:lineRule="auto"/>
        <w:tabs>
          <w:tab w:leader="none" w:pos="156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appoint a separate trustee with respect to any series; or</w:t>
      </w:r>
    </w:p>
    <w:p>
      <w:pPr>
        <w:spacing w:after="0" w:line="147" w:lineRule="exact"/>
        <w:rPr>
          <w:rFonts w:ascii="Times New Roman" w:cs="Times New Roman" w:eastAsia="Times New Roman" w:hAnsi="Times New Roman"/>
          <w:sz w:val="18"/>
          <w:szCs w:val="18"/>
          <w:color w:val="auto"/>
        </w:rPr>
      </w:pPr>
    </w:p>
    <w:p>
      <w:pPr>
        <w:ind w:left="1560" w:hanging="488"/>
        <w:spacing w:after="0"/>
        <w:tabs>
          <w:tab w:leader="none" w:pos="15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Indenture Act.</w:t>
      </w:r>
    </w:p>
    <w:p>
      <w:pPr>
        <w:spacing w:after="0" w:line="179" w:lineRule="exact"/>
        <w:rPr>
          <w:sz w:val="20"/>
          <w:szCs w:val="20"/>
          <w:color w:val="auto"/>
        </w:rPr>
      </w:pPr>
    </w:p>
    <w:p>
      <w:pPr>
        <w:ind w:right="100" w:firstLine="541"/>
        <w:spacing w:after="0" w:line="251"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8" w:name="page149"/>
    <w:bookmarkEnd w:id="148"/>
    <w:p>
      <w:pPr>
        <w:ind w:right="220" w:firstLine="541"/>
        <w:spacing w:after="0" w:line="268" w:lineRule="auto"/>
        <w:rPr>
          <w:sz w:val="20"/>
          <w:szCs w:val="20"/>
          <w:color w:val="auto"/>
        </w:rPr>
      </w:pPr>
      <w:r>
        <w:rPr>
          <w:rFonts w:ascii="Times New Roman" w:cs="Times New Roman" w:eastAsia="Times New Roman" w:hAnsi="Times New Roman"/>
          <w:sz w:val="18"/>
          <w:szCs w:val="18"/>
          <w:color w:val="auto"/>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u w:val="single" w:color="auto"/>
          <w:color w:val="auto"/>
        </w:rPr>
        <w:t>Supplemental Indentures With Consent of Securityholders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 xml:space="preserve">With the consent (evidenced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the rights of the holders of the Securities of such series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73" w:lineRule="exact"/>
        <w:rPr>
          <w:sz w:val="20"/>
          <w:szCs w:val="20"/>
          <w:color w:val="auto"/>
        </w:rPr>
      </w:pPr>
    </w:p>
    <w:p>
      <w:pPr>
        <w:ind w:right="20" w:firstLine="541"/>
        <w:spacing w:after="0" w:line="251"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62"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right="80" w:firstLine="541"/>
        <w:spacing w:after="0" w:line="243" w:lineRule="auto"/>
        <w:rPr>
          <w:sz w:val="20"/>
          <w:szCs w:val="20"/>
          <w:color w:val="auto"/>
        </w:rPr>
      </w:pPr>
      <w:r>
        <w:rPr>
          <w:rFonts w:ascii="Times New Roman" w:cs="Times New Roman" w:eastAsia="Times New Roman" w:hAnsi="Times New Roman"/>
          <w:sz w:val="18"/>
          <w:szCs w:val="18"/>
          <w:color w:val="auto"/>
        </w:rPr>
        <w:t xml:space="preserve">Upon the execution of any supplemental indenture pursuant to the provisions of this Article or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49" w:name="page150"/>
    <w:bookmarkEnd w:id="149"/>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Securities Affected by Supplemental Indentures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160" w:firstLine="541"/>
        <w:spacing w:after="0" w:line="241" w:lineRule="auto"/>
        <w:rPr>
          <w:sz w:val="20"/>
          <w:szCs w:val="20"/>
          <w:color w:val="auto"/>
        </w:rPr>
      </w:pPr>
      <w:r>
        <w:rPr>
          <w:rFonts w:ascii="Times New Roman" w:cs="Times New Roman" w:eastAsia="Times New Roman" w:hAnsi="Times New Roman"/>
          <w:sz w:val="18"/>
          <w:szCs w:val="18"/>
          <w:color w:val="auto"/>
        </w:rPr>
        <w:t xml:space="preserve">Securities of any series affected by a supplemental indenture, authenticated and delivered after the execution of such supplemental indenture pursuant to the provisions of this Article or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73"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76" w:lineRule="exact"/>
        <w:rPr>
          <w:sz w:val="20"/>
          <w:szCs w:val="20"/>
          <w:color w:val="auto"/>
        </w:rPr>
      </w:pPr>
    </w:p>
    <w:p>
      <w:pPr>
        <w:ind w:right="20" w:firstLine="541"/>
        <w:spacing w:after="0" w:line="243"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0" w:name="page151"/>
    <w:bookmarkEnd w:id="150"/>
    <w:p>
      <w:pPr>
        <w:ind w:left="5100"/>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1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Company May Consolidate, Etc</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52" w:lineRule="auto"/>
        <w:rPr>
          <w:sz w:val="20"/>
          <w:szCs w:val="20"/>
          <w:color w:val="auto"/>
        </w:rPr>
      </w:pPr>
      <w:r>
        <w:rPr>
          <w:rFonts w:ascii="Times New Roman" w:cs="Times New Roman" w:eastAsia="Times New Roman" w:hAnsi="Times New Roman"/>
          <w:sz w:val="17"/>
          <w:szCs w:val="17"/>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Times New Roman" w:cs="Times New Roman" w:eastAsia="Times New Roman" w:hAnsi="Times New Roman"/>
          <w:sz w:val="17"/>
          <w:szCs w:val="17"/>
          <w:u w:val="single" w:color="auto"/>
          <w:color w:val="auto"/>
        </w:rPr>
        <w:t>Section</w:t>
      </w:r>
    </w:p>
    <w:p>
      <w:pPr>
        <w:spacing w:after="0" w:line="236" w:lineRule="auto"/>
        <w:rPr>
          <w:sz w:val="20"/>
          <w:szCs w:val="20"/>
          <w:color w:val="auto"/>
        </w:rPr>
      </w:pP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Successor Entity Substituted</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1072"/>
        <w:spacing w:after="0" w:line="245" w:lineRule="auto"/>
        <w:tabs>
          <w:tab w:leader="none" w:pos="155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68" w:lineRule="exact"/>
        <w:rPr>
          <w:rFonts w:ascii="Times New Roman" w:cs="Times New Roman" w:eastAsia="Times New Roman" w:hAnsi="Times New Roman"/>
          <w:sz w:val="18"/>
          <w:szCs w:val="18"/>
          <w:color w:val="auto"/>
        </w:rPr>
      </w:pPr>
    </w:p>
    <w:p>
      <w:pPr>
        <w:ind w:right="100" w:firstLine="1072"/>
        <w:spacing w:after="0" w:line="267" w:lineRule="auto"/>
        <w:tabs>
          <w:tab w:leader="none" w:pos="156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47" w:lineRule="exact"/>
        <w:rPr>
          <w:rFonts w:ascii="Times New Roman" w:cs="Times New Roman" w:eastAsia="Times New Roman" w:hAnsi="Times New Roman"/>
          <w:sz w:val="18"/>
          <w:szCs w:val="18"/>
          <w:color w:val="auto"/>
        </w:rPr>
      </w:pPr>
    </w:p>
    <w:p>
      <w:pPr>
        <w:jc w:val="both"/>
        <w:ind w:right="80" w:firstLine="1072"/>
        <w:spacing w:after="0" w:line="251" w:lineRule="auto"/>
        <w:tabs>
          <w:tab w:leader="none" w:pos="155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1" w:name="page152"/>
    <w:bookmarkEnd w:id="1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37" w:lineRule="auto"/>
        <w:rPr>
          <w:sz w:val="20"/>
          <w:szCs w:val="20"/>
          <w:color w:val="auto"/>
        </w:rPr>
      </w:pPr>
      <w:r>
        <w:rPr>
          <w:rFonts w:ascii="Times New Roman" w:cs="Times New Roman" w:eastAsia="Times New Roman" w:hAnsi="Times New Roman"/>
          <w:sz w:val="18"/>
          <w:szCs w:val="18"/>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that shall survive until the date of maturity or redemption date, as the case may be, and </w:t>
      </w:r>
      <w:r>
        <w:rPr>
          <w:rFonts w:ascii="Times New Roman" w:cs="Times New Roman" w:eastAsia="Times New Roman" w:hAnsi="Times New Roman"/>
          <w:sz w:val="18"/>
          <w:szCs w:val="18"/>
          <w:u w:val="single" w:color="auto"/>
          <w:color w:val="auto"/>
        </w:rPr>
        <w:t>Sections 7.06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Discharge of Obligations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60" w:firstLine="541"/>
        <w:spacing w:after="0" w:line="239" w:lineRule="auto"/>
        <w:rPr>
          <w:sz w:val="20"/>
          <w:szCs w:val="20"/>
          <w:color w:val="auto"/>
        </w:rPr>
      </w:pPr>
      <w:r>
        <w:rPr>
          <w:rFonts w:ascii="Times New Roman" w:cs="Times New Roman" w:eastAsia="Times New Roman" w:hAnsi="Times New Roman"/>
          <w:sz w:val="18"/>
          <w:szCs w:val="18"/>
          <w:color w:val="auto"/>
        </w:rPr>
        <w:t xml:space="preserve">If at any time all such Securities of a particular series not heretofore delivered to the Trustee for cancellation or that have not become due and payable as described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hereof that shall survive until such Securities shall mature and be paid.</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Thereafter, </w:t>
      </w:r>
      <w:r>
        <w:rPr>
          <w:rFonts w:ascii="Times New Roman" w:cs="Times New Roman" w:eastAsia="Times New Roman" w:hAnsi="Times New Roman"/>
          <w:sz w:val="18"/>
          <w:szCs w:val="18"/>
          <w:u w:val="single" w:color="auto"/>
          <w:color w:val="auto"/>
        </w:rPr>
        <w:t>Sections 7.06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shall survive.</w:t>
      </w:r>
    </w:p>
    <w:p>
      <w:pPr>
        <w:spacing w:after="0" w:line="199"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11.03</w:t>
      </w:r>
      <w:r>
        <w:rPr>
          <w:sz w:val="20"/>
          <w:szCs w:val="20"/>
          <w:color w:val="auto"/>
        </w:rPr>
        <w:tab/>
      </w:r>
      <w:r>
        <w:rPr>
          <w:rFonts w:ascii="Times New Roman" w:cs="Times New Roman" w:eastAsia="Times New Roman" w:hAnsi="Times New Roman"/>
          <w:sz w:val="17"/>
          <w:szCs w:val="17"/>
          <w:u w:val="single" w:color="auto"/>
          <w:color w:val="auto"/>
        </w:rPr>
        <w:t>Deposited Moneys to be Held in Trust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40" w:firstLine="541"/>
        <w:spacing w:after="0" w:line="251" w:lineRule="auto"/>
        <w:rPr>
          <w:sz w:val="20"/>
          <w:szCs w:val="20"/>
          <w:color w:val="auto"/>
        </w:rPr>
      </w:pPr>
      <w:r>
        <w:rPr>
          <w:rFonts w:ascii="Times New Roman" w:cs="Times New Roman" w:eastAsia="Times New Roman" w:hAnsi="Times New Roman"/>
          <w:sz w:val="18"/>
          <w:szCs w:val="18"/>
          <w:color w:val="auto"/>
        </w:rPr>
        <w:t xml:space="preserve">All moneys or Governmental Obligations deposited with the Trustee pursuant to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11.02</w:t>
      </w:r>
      <w:r>
        <w:rPr>
          <w:rFonts w:ascii="Times New Roman" w:cs="Times New Roman" w:eastAsia="Times New Roman" w:hAnsi="Times New Roman"/>
          <w:sz w:val="18"/>
          <w:szCs w:val="18"/>
          <w:color w:val="auto"/>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2" w:name="page153"/>
    <w:bookmarkEnd w:id="152"/>
    <w:p>
      <w:pPr>
        <w:ind w:left="540"/>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Payment of Moneys Held by Paying Agents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541"/>
        <w:spacing w:after="0" w:line="251"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DIRECTORS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3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Effect on Successors and Assigns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520" w:firstLine="541"/>
        <w:spacing w:after="0" w:line="267"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Actions by Successor</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right="100" w:firstLine="541"/>
        <w:spacing w:after="0" w:line="251"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Surrender of Company Powers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541"/>
        <w:spacing w:after="0" w:line="267"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[__].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Governing Law; Jury Trial Waiver</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4" w:name="page155"/>
    <w:bookmarkEnd w:id="154"/>
    <w:p>
      <w:pPr>
        <w:ind w:left="540"/>
        <w:spacing w:after="0"/>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Treatment of Securities as Debt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120" w:firstLine="541"/>
        <w:spacing w:after="0" w:line="267"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Certificates and Opinions as to Conditions Precedent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right="80" w:firstLine="1072"/>
        <w:spacing w:after="0" w:line="245" w:lineRule="auto"/>
        <w:tabs>
          <w:tab w:leader="none" w:pos="15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relating to the proposed action have been complied with and an Opinion of Counsel stating that in the opinion of such counsel all such covenants and conditions precedent have been complied with.</w:t>
      </w:r>
    </w:p>
    <w:p>
      <w:pPr>
        <w:spacing w:after="0" w:line="168" w:lineRule="exact"/>
        <w:rPr>
          <w:rFonts w:ascii="Times New Roman" w:cs="Times New Roman" w:eastAsia="Times New Roman" w:hAnsi="Times New Roman"/>
          <w:sz w:val="18"/>
          <w:szCs w:val="18"/>
          <w:color w:val="auto"/>
        </w:rPr>
      </w:pPr>
    </w:p>
    <w:p>
      <w:pPr>
        <w:ind w:right="120" w:firstLine="1072"/>
        <w:spacing w:after="0" w:line="241" w:lineRule="auto"/>
        <w:tabs>
          <w:tab w:leader="none" w:pos="156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 xml:space="preserve">Except as provided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67"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5" w:name="page156"/>
    <w:bookmarkEnd w:id="155"/>
    <w:p>
      <w:pPr>
        <w:ind w:left="540"/>
        <w:spacing w:after="0"/>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160" w:firstLine="541"/>
        <w:spacing w:after="0" w:line="245"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45"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rPr>
          <w:sz w:val="20"/>
          <w:szCs w:val="20"/>
          <w:color w:val="auto"/>
        </w:rPr>
      </w:pPr>
      <w:r>
        <w:rPr>
          <w:rFonts w:ascii="Times New Roman" w:cs="Times New Roman" w:eastAsia="Times New Roman" w:hAnsi="Times New Roman"/>
          <w:sz w:val="18"/>
          <w:szCs w:val="18"/>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40" w:firstLine="541"/>
        <w:spacing w:after="0" w:line="245"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860" w:firstLine="541"/>
        <w:spacing w:after="0" w:line="267" w:lineRule="auto"/>
        <w:rPr>
          <w:sz w:val="20"/>
          <w:szCs w:val="20"/>
          <w:color w:val="auto"/>
        </w:rPr>
      </w:pPr>
      <w:r>
        <w:rPr>
          <w:rFonts w:ascii="Times New Roman" w:cs="Times New Roman" w:eastAsia="Times New Roman" w:hAnsi="Times New Roman"/>
          <w:sz w:val="18"/>
          <w:szCs w:val="18"/>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56" w:name="page157"/>
    <w:bookmarkEnd w:id="156"/>
    <w:p>
      <w:pPr>
        <w:ind w:left="4500" w:right="1239" w:hanging="5092"/>
        <w:spacing w:after="0" w:line="520" w:lineRule="auto"/>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parties hereto have caused this Indenture to be duly executed all as of the day and year first above written.</w:t>
      </w:r>
      <w:r>
        <w:rPr>
          <w:rFonts w:ascii="Times New Roman" w:cs="Times New Roman" w:eastAsia="Times New Roman" w:hAnsi="Times New Roman"/>
          <w:sz w:val="15"/>
          <w:szCs w:val="15"/>
          <w:b w:val="1"/>
          <w:bCs w:val="1"/>
          <w:color w:val="auto"/>
        </w:rPr>
        <w:t xml:space="preserve"> AVROBIO, INC., </w:t>
      </w:r>
      <w:r>
        <w:rPr>
          <w:rFonts w:ascii="Times New Roman" w:cs="Times New Roman" w:eastAsia="Times New Roman" w:hAnsi="Times New Roman"/>
          <w:sz w:val="15"/>
          <w:szCs w:val="15"/>
          <w:color w:val="auto"/>
        </w:rPr>
        <w:t>as Issuer</w:t>
      </w:r>
    </w:p>
    <w:p>
      <w:pPr>
        <w:ind w:left="45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21590</wp:posOffset>
            </wp:positionV>
            <wp:extent cx="3362960"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3362960" cy="14605"/>
                    </a:xfrm>
                    <a:prstGeom prst="rect">
                      <a:avLst/>
                    </a:prstGeom>
                    <a:noFill/>
                  </pic:spPr>
                </pic:pic>
              </a:graphicData>
            </a:graphic>
          </wp:anchor>
        </w:drawing>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21590</wp:posOffset>
            </wp:positionV>
            <wp:extent cx="3219450"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3219450" cy="14605"/>
                    </a:xfrm>
                    <a:prstGeom prst="rect">
                      <a:avLst/>
                    </a:prstGeom>
                    <a:noFill/>
                  </pic:spPr>
                </pic:pic>
              </a:graphicData>
            </a:graphic>
          </wp:anchor>
        </w:drawing>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21590</wp:posOffset>
            </wp:positionV>
            <wp:extent cx="3219450"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3219450" cy="14605"/>
                    </a:xfrm>
                    <a:prstGeom prst="rect">
                      <a:avLst/>
                    </a:prstGeom>
                    <a:noFill/>
                  </pic:spPr>
                </pic:pic>
              </a:graphicData>
            </a:graphic>
          </wp:anchor>
        </w:drawing>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b w:val="1"/>
          <w:bCs w:val="1"/>
          <w:color w:val="auto"/>
        </w:rPr>
        <w:t xml:space="preserve">[TRUSTEE], </w:t>
      </w:r>
      <w:r>
        <w:rPr>
          <w:rFonts w:ascii="Times New Roman" w:cs="Times New Roman" w:eastAsia="Times New Roman" w:hAnsi="Times New Roman"/>
          <w:sz w:val="15"/>
          <w:szCs w:val="15"/>
          <w:color w:val="auto"/>
        </w:rPr>
        <w:t>as Trustee</w:t>
      </w:r>
    </w:p>
    <w:p>
      <w:pPr>
        <w:spacing w:after="0" w:line="1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21590</wp:posOffset>
            </wp:positionV>
            <wp:extent cx="3362960"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3362960" cy="14605"/>
                    </a:xfrm>
                    <a:prstGeom prst="rect">
                      <a:avLst/>
                    </a:prstGeom>
                    <a:noFill/>
                  </pic:spPr>
                </pic:pic>
              </a:graphicData>
            </a:graphic>
          </wp:anchor>
        </w:drawing>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21590</wp:posOffset>
            </wp:positionV>
            <wp:extent cx="3219450"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3219450" cy="14605"/>
                    </a:xfrm>
                    <a:prstGeom prst="rect">
                      <a:avLst/>
                    </a:prstGeom>
                    <a:noFill/>
                  </pic:spPr>
                </pic:pic>
              </a:graphicData>
            </a:graphic>
          </wp:anchor>
        </w:drawing>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21590</wp:posOffset>
            </wp:positionV>
            <wp:extent cx="3219450"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3219450" cy="14605"/>
                    </a:xfrm>
                    <a:prstGeom prst="rect">
                      <a:avLst/>
                    </a:prstGeom>
                    <a:noFill/>
                  </pic:spPr>
                </pic:pic>
              </a:graphicData>
            </a:graphic>
          </wp:anchor>
        </w:drawing>
      </w:r>
    </w:p>
    <w:p>
      <w:pPr>
        <w:spacing w:after="0" w:line="21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Signature Page to Form of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233680</wp:posOffset>
            </wp:positionV>
            <wp:extent cx="7155180"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7" w:name="page158"/>
    <w:bookmarkEnd w:id="157"/>
    <w:p>
      <w:pPr>
        <w:ind w:left="10"/>
        <w:spacing w:after="0"/>
        <w:rPr>
          <w:sz w:val="20"/>
          <w:szCs w:val="20"/>
          <w:color w:val="auto"/>
        </w:rPr>
      </w:pPr>
      <w:r>
        <w:rPr>
          <w:rFonts w:ascii="Times New Roman" w:cs="Times New Roman" w:eastAsia="Times New Roman" w:hAnsi="Times New Roman"/>
          <w:sz w:val="18"/>
          <w:szCs w:val="18"/>
          <w:b w:val="1"/>
          <w:bCs w:val="1"/>
          <w:color w:val="auto"/>
        </w:rPr>
        <w:t>TRUST INDENTURE ACT CROSS-REFERENCE TABLE</w:t>
      </w:r>
      <w:r>
        <w:rPr>
          <w:rFonts w:ascii="Times New Roman" w:cs="Times New Roman" w:eastAsia="Times New Roman" w:hAnsi="Times New Roman"/>
          <w:sz w:val="30"/>
          <w:szCs w:val="30"/>
          <w:b w:val="1"/>
          <w:bCs w:val="1"/>
          <w:color w:val="auto"/>
          <w:vertAlign w:val="superscript"/>
        </w:rPr>
        <w:t>2</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9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Section of Trust Indenture Act of 1939, as amended</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Section of Indenture</w:t>
            </w:r>
          </w:p>
        </w:tc>
      </w:tr>
      <w:tr>
        <w:trPr>
          <w:trHeight w:val="180"/>
        </w:trPr>
        <w:tc>
          <w:tcPr>
            <w:tcW w:w="9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310(a)</w:t>
            </w:r>
          </w:p>
        </w:tc>
        <w:tc>
          <w:tcPr>
            <w:tcW w:w="1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7.09</w:t>
            </w:r>
          </w:p>
        </w:tc>
      </w:tr>
      <w:tr>
        <w:trPr>
          <w:trHeight w:val="166"/>
        </w:trPr>
        <w:tc>
          <w:tcPr>
            <w:tcW w:w="9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310(b)</w:t>
            </w:r>
          </w:p>
        </w:tc>
        <w:tc>
          <w:tcPr>
            <w:tcW w:w="21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5"/>
                <w:szCs w:val="15"/>
                <w:color w:val="auto"/>
              </w:rPr>
              <w:t>7.08</w:t>
            </w:r>
          </w:p>
        </w:tc>
      </w:tr>
      <w:tr>
        <w:trPr>
          <w:trHeight w:val="194"/>
        </w:trPr>
        <w:tc>
          <w:tcPr>
            <w:tcW w:w="9120" w:type="dxa"/>
            <w:vAlign w:val="bottom"/>
          </w:tcPr>
          <w:p>
            <w:pPr>
              <w:spacing w:after="0"/>
              <w:rPr>
                <w:sz w:val="16"/>
                <w:szCs w:val="16"/>
                <w:color w:val="auto"/>
              </w:rPr>
            </w:pP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7.10</w:t>
            </w:r>
          </w:p>
        </w:tc>
      </w:tr>
      <w:tr>
        <w:trPr>
          <w:trHeight w:val="181"/>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310(c)</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0"/>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311(a)</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7.13</w:t>
            </w:r>
          </w:p>
        </w:tc>
      </w:tr>
      <w:tr>
        <w:trPr>
          <w:trHeight w:val="18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311(b)</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7.13</w:t>
            </w:r>
          </w:p>
        </w:tc>
      </w:tr>
      <w:tr>
        <w:trPr>
          <w:trHeight w:val="180"/>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311(c)</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Inapplicable</w:t>
            </w:r>
          </w:p>
        </w:tc>
      </w:tr>
      <w:tr>
        <w:trPr>
          <w:trHeight w:val="166"/>
        </w:trPr>
        <w:tc>
          <w:tcPr>
            <w:tcW w:w="91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312(a)</w:t>
            </w:r>
          </w:p>
        </w:tc>
        <w:tc>
          <w:tcPr>
            <w:tcW w:w="21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5.01</w:t>
            </w:r>
          </w:p>
        </w:tc>
      </w:tr>
      <w:tr>
        <w:trPr>
          <w:trHeight w:val="195"/>
        </w:trPr>
        <w:tc>
          <w:tcPr>
            <w:tcW w:w="912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5.02(a)</w:t>
            </w:r>
          </w:p>
        </w:tc>
      </w:tr>
      <w:tr>
        <w:trPr>
          <w:trHeight w:val="180"/>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312(b)</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5.02(c)</w:t>
            </w:r>
          </w:p>
        </w:tc>
      </w:tr>
      <w:tr>
        <w:trPr>
          <w:trHeight w:val="18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312(c)</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5.02(c)</w:t>
            </w:r>
          </w:p>
        </w:tc>
      </w:tr>
      <w:tr>
        <w:trPr>
          <w:trHeight w:val="180"/>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313(a)</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5.04(a)</w:t>
            </w:r>
          </w:p>
        </w:tc>
      </w:tr>
      <w:tr>
        <w:trPr>
          <w:trHeight w:val="18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313(b)</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5.04(b)</w:t>
            </w:r>
          </w:p>
        </w:tc>
      </w:tr>
      <w:tr>
        <w:trPr>
          <w:trHeight w:val="166"/>
        </w:trPr>
        <w:tc>
          <w:tcPr>
            <w:tcW w:w="9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313(c)</w:t>
            </w:r>
          </w:p>
        </w:tc>
        <w:tc>
          <w:tcPr>
            <w:tcW w:w="21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5"/>
                <w:szCs w:val="15"/>
                <w:color w:val="auto"/>
              </w:rPr>
              <w:t>5.04(a)</w:t>
            </w:r>
          </w:p>
        </w:tc>
      </w:tr>
      <w:tr>
        <w:trPr>
          <w:trHeight w:val="194"/>
        </w:trPr>
        <w:tc>
          <w:tcPr>
            <w:tcW w:w="9120" w:type="dxa"/>
            <w:vAlign w:val="bottom"/>
          </w:tcPr>
          <w:p>
            <w:pPr>
              <w:spacing w:after="0"/>
              <w:rPr>
                <w:sz w:val="16"/>
                <w:szCs w:val="16"/>
                <w:color w:val="auto"/>
              </w:rPr>
            </w:pP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5.04(b)</w:t>
            </w:r>
          </w:p>
        </w:tc>
      </w:tr>
      <w:tr>
        <w:trPr>
          <w:trHeight w:val="181"/>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313(d)</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5.04(c)</w:t>
            </w:r>
          </w:p>
        </w:tc>
      </w:tr>
      <w:tr>
        <w:trPr>
          <w:trHeight w:val="166"/>
        </w:trPr>
        <w:tc>
          <w:tcPr>
            <w:tcW w:w="9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314(a)</w:t>
            </w:r>
          </w:p>
        </w:tc>
        <w:tc>
          <w:tcPr>
            <w:tcW w:w="21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5"/>
                <w:szCs w:val="15"/>
                <w:color w:val="auto"/>
              </w:rPr>
              <w:t>5.03</w:t>
            </w:r>
          </w:p>
        </w:tc>
      </w:tr>
      <w:tr>
        <w:trPr>
          <w:trHeight w:val="194"/>
        </w:trPr>
        <w:tc>
          <w:tcPr>
            <w:tcW w:w="9120" w:type="dxa"/>
            <w:vAlign w:val="bottom"/>
          </w:tcPr>
          <w:p>
            <w:pPr>
              <w:spacing w:after="0"/>
              <w:rPr>
                <w:sz w:val="16"/>
                <w:szCs w:val="16"/>
                <w:color w:val="auto"/>
              </w:rPr>
            </w:pP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13.12</w:t>
            </w:r>
          </w:p>
        </w:tc>
      </w:tr>
      <w:tr>
        <w:trPr>
          <w:trHeight w:val="181"/>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314(b)</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0"/>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314(c)</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13.07(a)</w:t>
            </w:r>
          </w:p>
        </w:tc>
      </w:tr>
      <w:tr>
        <w:trPr>
          <w:trHeight w:val="18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314(d)</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0"/>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314(e)</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13.07(b)</w:t>
            </w:r>
          </w:p>
        </w:tc>
      </w:tr>
      <w:tr>
        <w:trPr>
          <w:trHeight w:val="18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314(f)</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Inapplicable</w:t>
            </w:r>
          </w:p>
        </w:tc>
      </w:tr>
      <w:tr>
        <w:trPr>
          <w:trHeight w:val="166"/>
        </w:trPr>
        <w:tc>
          <w:tcPr>
            <w:tcW w:w="9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315(a)</w:t>
            </w:r>
          </w:p>
        </w:tc>
        <w:tc>
          <w:tcPr>
            <w:tcW w:w="21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5"/>
                <w:szCs w:val="15"/>
                <w:color w:val="auto"/>
              </w:rPr>
              <w:t>7.01(a)</w:t>
            </w:r>
          </w:p>
        </w:tc>
      </w:tr>
      <w:tr>
        <w:trPr>
          <w:trHeight w:val="194"/>
        </w:trPr>
        <w:tc>
          <w:tcPr>
            <w:tcW w:w="9120" w:type="dxa"/>
            <w:vAlign w:val="bottom"/>
          </w:tcPr>
          <w:p>
            <w:pPr>
              <w:spacing w:after="0"/>
              <w:rPr>
                <w:sz w:val="16"/>
                <w:szCs w:val="16"/>
                <w:color w:val="auto"/>
              </w:rPr>
            </w:pP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7.01(b)</w:t>
            </w:r>
          </w:p>
        </w:tc>
      </w:tr>
      <w:tr>
        <w:trPr>
          <w:trHeight w:val="181"/>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315(b)</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7.14</w:t>
            </w:r>
          </w:p>
        </w:tc>
      </w:tr>
      <w:tr>
        <w:trPr>
          <w:trHeight w:val="180"/>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315(c)</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7.01(a)</w:t>
            </w:r>
          </w:p>
        </w:tc>
      </w:tr>
      <w:tr>
        <w:trPr>
          <w:trHeight w:val="18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315(d)</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7.01(b)</w:t>
            </w:r>
          </w:p>
        </w:tc>
      </w:tr>
      <w:tr>
        <w:trPr>
          <w:trHeight w:val="180"/>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315(e)</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6.07</w:t>
            </w:r>
          </w:p>
        </w:tc>
      </w:tr>
      <w:tr>
        <w:trPr>
          <w:trHeight w:val="166"/>
        </w:trPr>
        <w:tc>
          <w:tcPr>
            <w:tcW w:w="91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316(a)</w:t>
            </w:r>
          </w:p>
        </w:tc>
        <w:tc>
          <w:tcPr>
            <w:tcW w:w="21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6.06</w:t>
            </w:r>
          </w:p>
        </w:tc>
      </w:tr>
      <w:tr>
        <w:trPr>
          <w:trHeight w:val="195"/>
        </w:trPr>
        <w:tc>
          <w:tcPr>
            <w:tcW w:w="912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8.04</w:t>
            </w:r>
          </w:p>
        </w:tc>
      </w:tr>
      <w:tr>
        <w:trPr>
          <w:trHeight w:val="180"/>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316(b)</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6.04</w:t>
            </w:r>
          </w:p>
        </w:tc>
      </w:tr>
      <w:tr>
        <w:trPr>
          <w:trHeight w:val="18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316(c)</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8.01</w:t>
            </w:r>
          </w:p>
        </w:tc>
      </w:tr>
      <w:tr>
        <w:trPr>
          <w:trHeight w:val="180"/>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317(a)</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6.02</w:t>
            </w:r>
          </w:p>
        </w:tc>
      </w:tr>
      <w:tr>
        <w:trPr>
          <w:trHeight w:val="18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317(b)</w:t>
            </w: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4.03</w:t>
            </w:r>
          </w:p>
        </w:tc>
      </w:tr>
      <w:tr>
        <w:trPr>
          <w:trHeight w:val="194"/>
        </w:trPr>
        <w:tc>
          <w:tcPr>
            <w:tcW w:w="9120" w:type="dxa"/>
            <w:vAlign w:val="bottom"/>
          </w:tcPr>
          <w:p>
            <w:pPr>
              <w:spacing w:after="0"/>
              <w:rPr>
                <w:sz w:val="20"/>
                <w:szCs w:val="20"/>
                <w:color w:val="auto"/>
              </w:rPr>
            </w:pPr>
            <w:r>
              <w:rPr>
                <w:rFonts w:ascii="Times New Roman" w:cs="Times New Roman" w:eastAsia="Times New Roman" w:hAnsi="Times New Roman"/>
                <w:sz w:val="15"/>
                <w:szCs w:val="15"/>
                <w:color w:val="auto"/>
              </w:rPr>
              <w:t>318(a)</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1788795"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1788795" cy="1460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5550" w:right="3760" w:hanging="5550"/>
        <w:spacing w:after="0" w:line="790" w:lineRule="auto"/>
        <w:tabs>
          <w:tab w:leader="none" w:pos="145" w:val="left"/>
        </w:tabs>
        <w:numPr>
          <w:ilvl w:val="0"/>
          <w:numId w:val="16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This Cross-Reference Table does not constitute part of the Indenture and shall not have any bearing on the interpretation of any of its terms or provisions.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155180"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10" w:right="3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4.5</w:t>
      </w:r>
    </w:p>
    <w:p>
      <w:pPr>
        <w:spacing w:after="0" w:line="1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9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9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200660</wp:posOffset>
            </wp:positionV>
            <wp:extent cx="1431290" cy="146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1431290" cy="1460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19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200660</wp:posOffset>
            </wp:positionV>
            <wp:extent cx="1431290" cy="14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1431290" cy="1460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236220</wp:posOffset>
            </wp:positionV>
            <wp:extent cx="7155180" cy="14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40"/>
          </w:cols>
          <w:pgMar w:left="1440" w:top="248" w:right="319" w:bottom="1440" w:gutter="0" w:footer="0" w:header="0"/>
        </w:sectPr>
      </w:pPr>
    </w:p>
    <w:bookmarkStart w:id="159" w:name="page160"/>
    <w:bookmarkEnd w:id="159"/>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30"/>
          <w:szCs w:val="30"/>
          <w:b w:val="1"/>
          <w:bCs w:val="1"/>
          <w:color w:val="auto"/>
          <w:vertAlign w:val="superscript"/>
        </w:rPr>
        <w:t>1</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1 </w:t>
            </w:r>
            <w:r>
              <w:rPr>
                <w:rFonts w:ascii="Times New Roman" w:cs="Times New Roman" w:eastAsia="Times New Roman" w:hAnsi="Times New Roman"/>
                <w:sz w:val="15"/>
                <w:szCs w:val="15"/>
                <w:color w:val="auto"/>
              </w:rPr>
              <w:t>DEFINITIONS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1.01</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Definitions of Terms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2 </w:t>
            </w:r>
            <w:r>
              <w:rPr>
                <w:rFonts w:ascii="Times New Roman" w:cs="Times New Roman" w:eastAsia="Times New Roman" w:hAnsi="Times New Roman"/>
                <w:sz w:val="15"/>
                <w:szCs w:val="15"/>
                <w:color w:val="auto"/>
              </w:rPr>
              <w:t>ISSUE, DESCRIPTION, TERMS, EXECUTION, REGISTRATION AND EXCHANGE OF SECURITIES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2.01</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Designation and Terms of Securities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2.02</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Securities and Trustee’s Certificate</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2.03</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Denominations: Provisions for Payment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2.04</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Execution and Authentications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2.05</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Registration of Transfer and Exchange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2.06</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Temporary Securities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2.07</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Mutilated, Destroyed, Lost or Stolen Securities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2.08</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Cancellation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2.09</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Benefits of Indenture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2.10</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Authenticating Agent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2.11</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Global Securities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3 </w:t>
            </w:r>
            <w:r>
              <w:rPr>
                <w:rFonts w:ascii="Times New Roman" w:cs="Times New Roman" w:eastAsia="Times New Roman" w:hAnsi="Times New Roman"/>
                <w:sz w:val="15"/>
                <w:szCs w:val="15"/>
                <w:color w:val="auto"/>
              </w:rPr>
              <w:t>REDEMPTION OF SECURITIES AND SINKING FUND PROVISIONS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3.01</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Redemption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3.02</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Notice of Redemption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3.03</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 Upon Redemption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3.04</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Sinking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3.05</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Satisfaction of Sinking Fund Payments with Securities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3.06</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Redemption of Securities for Sinking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4 </w:t>
            </w:r>
            <w:r>
              <w:rPr>
                <w:rFonts w:ascii="Times New Roman" w:cs="Times New Roman" w:eastAsia="Times New Roman" w:hAnsi="Times New Roman"/>
                <w:sz w:val="15"/>
                <w:szCs w:val="15"/>
                <w:color w:val="auto"/>
              </w:rPr>
              <w:t>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7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4.01</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 of Principal, Premium and Interest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4.02</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Maintenance of Office or Agency</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4.03</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Paying Agents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4.04</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Appointment to Fill Vacancy in Office of Trustee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4.05</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Compliance with Consolidation Provisions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5 </w:t>
            </w:r>
            <w:r>
              <w:rPr>
                <w:rFonts w:ascii="Times New Roman" w:cs="Times New Roman" w:eastAsia="Times New Roman" w:hAnsi="Times New Roman"/>
                <w:sz w:val="15"/>
                <w:szCs w:val="15"/>
                <w:color w:val="auto"/>
              </w:rPr>
              <w:t>SECURITYHOLDERS’ LISTS AND REPORTS BY THE COMPANY AND THE TRUSTEE</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77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5.01</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Company to Furnish Trustee Names and Addresses of Securityholders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5.02</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Preservation Of Information; Communications With Securityholders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5.03</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Reports by the Company</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5.04</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Reports by the Trustee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6 </w:t>
            </w:r>
            <w:r>
              <w:rPr>
                <w:rFonts w:ascii="Times New Roman" w:cs="Times New Roman" w:eastAsia="Times New Roman" w:hAnsi="Times New Roman"/>
                <w:sz w:val="15"/>
                <w:szCs w:val="15"/>
                <w:color w:val="auto"/>
              </w:rPr>
              <w:t>REMEDIES OF THE TRUSTEE AND SECURITYHOLDERS ON EVENT OF DEFAULT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6.01</w:t>
            </w:r>
          </w:p>
        </w:tc>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Events of Default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6.02</w:t>
            </w:r>
          </w:p>
        </w:tc>
        <w:tc>
          <w:tcPr>
            <w:tcW w:w="77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Collection of Indebtedness and Suits for Enforcement by Trustee</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137350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1373505" cy="6985"/>
                    </a:xfrm>
                    <a:prstGeom prst="rect">
                      <a:avLst/>
                    </a:prstGeom>
                    <a:noFill/>
                  </pic:spPr>
                </pic:pic>
              </a:graphicData>
            </a:graphic>
          </wp:anchor>
        </w:drawing>
      </w:r>
    </w:p>
    <w:p>
      <w:pPr>
        <w:spacing w:after="0" w:line="253" w:lineRule="exact"/>
        <w:rPr>
          <w:sz w:val="20"/>
          <w:szCs w:val="20"/>
          <w:color w:val="auto"/>
        </w:rPr>
      </w:pPr>
    </w:p>
    <w:p>
      <w:pPr>
        <w:ind w:left="130" w:hanging="130"/>
        <w:spacing w:after="0"/>
        <w:tabs>
          <w:tab w:leader="none" w:pos="130" w:val="left"/>
        </w:tabs>
        <w:numPr>
          <w:ilvl w:val="0"/>
          <w:numId w:val="1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Table of Contents does not constitute part of the Indenture and shall not have any bearing on the interpretation of any of its terms or provisions.</w:t>
      </w:r>
    </w:p>
    <w:p>
      <w:pPr>
        <w:spacing w:after="0" w:line="3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10" w:right="31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6.03</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Application of Moneys Collected</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6.04</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Limitation on Suits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6.05</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Rights and Remedies Cumulative; Delay or Omission Not Waiver</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6.06</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Control by Securityholders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6.07</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Undertaking to Pay Costs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0"/>
        </w:trPr>
        <w:tc>
          <w:tcPr>
            <w:tcW w:w="8380" w:type="dxa"/>
            <w:vAlign w:val="bottom"/>
            <w:gridSpan w:val="2"/>
          </w:tcPr>
          <w:p>
            <w:pPr>
              <w:spacing w:after="0"/>
              <w:rPr>
                <w:sz w:val="15"/>
                <w:szCs w:val="15"/>
                <w:color w:val="auto"/>
              </w:rPr>
            </w:pPr>
          </w:p>
        </w:tc>
        <w:tc>
          <w:tcPr>
            <w:tcW w:w="2880" w:type="dxa"/>
            <w:vAlign w:val="bottom"/>
          </w:tcPr>
          <w:p>
            <w:pPr>
              <w:spacing w:after="0"/>
              <w:rPr>
                <w:sz w:val="15"/>
                <w:szCs w:val="15"/>
                <w:color w:val="auto"/>
              </w:rPr>
            </w:pPr>
          </w:p>
        </w:tc>
      </w:tr>
      <w:tr>
        <w:trPr>
          <w:trHeight w:val="180"/>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7 </w:t>
            </w:r>
            <w:r>
              <w:rPr>
                <w:rFonts w:ascii="Times New Roman" w:cs="Times New Roman" w:eastAsia="Times New Roman" w:hAnsi="Times New Roman"/>
                <w:sz w:val="15"/>
                <w:szCs w:val="15"/>
                <w:color w:val="auto"/>
              </w:rPr>
              <w:t>CONCERNING THE TRUSTEE</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80"/>
        </w:trPr>
        <w:tc>
          <w:tcPr>
            <w:tcW w:w="15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7.01</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Certain Duties and Responsibilities of Trustee</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7.02</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Certain Rights of Trustee</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7.03</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Trustee Not Responsible for Recitals or Issuance or Securities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7.04</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May Hold Securities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7.05</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Moneys Held in Trust</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7.06</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Compensation and Reimbursement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7.07</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Reliance on Officer’s Certificate or Opinion of Counsel</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7.08</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Disqualification; Conflicting Interests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7.09</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Corporate Trustee Required; Eligibility</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7.10</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Resignation and Removal; Appointment of Successor</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7.11</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Acceptance of Appointment By Successor</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7.12</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Merger, Conversion, Consolidation or Succession to Business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7.13</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Preferential Collection of Claims Against the Company</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7.14</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Notice of Default</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0"/>
        </w:trPr>
        <w:tc>
          <w:tcPr>
            <w:tcW w:w="8380" w:type="dxa"/>
            <w:vAlign w:val="bottom"/>
            <w:gridSpan w:val="2"/>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8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8 </w:t>
            </w:r>
            <w:r>
              <w:rPr>
                <w:rFonts w:ascii="Times New Roman" w:cs="Times New Roman" w:eastAsia="Times New Roman" w:hAnsi="Times New Roman"/>
                <w:sz w:val="15"/>
                <w:szCs w:val="15"/>
                <w:color w:val="auto"/>
              </w:rPr>
              <w:t>CONCERNING THE SECURITYHOLDERS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0"/>
        </w:trPr>
        <w:tc>
          <w:tcPr>
            <w:tcW w:w="1520" w:type="dxa"/>
            <w:vAlign w:val="bottom"/>
            <w:shd w:val="clear" w:color="auto" w:fill="CCEEFF"/>
          </w:tcPr>
          <w:p>
            <w:pPr>
              <w:spacing w:after="0"/>
              <w:rPr>
                <w:sz w:val="15"/>
                <w:szCs w:val="15"/>
                <w:color w:val="auto"/>
              </w:rPr>
            </w:pPr>
          </w:p>
        </w:tc>
        <w:tc>
          <w:tcPr>
            <w:tcW w:w="68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8.01</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Evidence of Action by Securityholders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8.02</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Proof of Execution by Securityholders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8.03</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Who May be Deemed Owners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8.04</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Certain Securities Owned by Company Disregarded</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8.05</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Actions Binding on Future Securityholders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0"/>
        </w:trPr>
        <w:tc>
          <w:tcPr>
            <w:tcW w:w="8380" w:type="dxa"/>
            <w:vAlign w:val="bottom"/>
            <w:gridSpan w:val="2"/>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8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9 </w:t>
            </w:r>
            <w:r>
              <w:rPr>
                <w:rFonts w:ascii="Times New Roman" w:cs="Times New Roman" w:eastAsia="Times New Roman" w:hAnsi="Times New Roman"/>
                <w:sz w:val="15"/>
                <w:szCs w:val="15"/>
                <w:color w:val="auto"/>
              </w:rPr>
              <w:t>SUPPLEMENTAL INDENTURES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0"/>
        </w:trPr>
        <w:tc>
          <w:tcPr>
            <w:tcW w:w="1520" w:type="dxa"/>
            <w:vAlign w:val="bottom"/>
            <w:shd w:val="clear" w:color="auto" w:fill="CCEEFF"/>
          </w:tcPr>
          <w:p>
            <w:pPr>
              <w:spacing w:after="0"/>
              <w:rPr>
                <w:sz w:val="15"/>
                <w:szCs w:val="15"/>
                <w:color w:val="auto"/>
              </w:rPr>
            </w:pPr>
          </w:p>
        </w:tc>
        <w:tc>
          <w:tcPr>
            <w:tcW w:w="68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9.01</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Supplemental Indentures Without the Consent of Securityholders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9.02</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Supplemental Indentures With Consent of Securityholders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9.03</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Effect of Supplemental Indentures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9.04</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Securities Affected by Supplemental Indentures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9.05</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Execution of Supplemental Indentures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0"/>
        </w:trPr>
        <w:tc>
          <w:tcPr>
            <w:tcW w:w="8380" w:type="dxa"/>
            <w:vAlign w:val="bottom"/>
            <w:gridSpan w:val="2"/>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8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10 </w:t>
            </w:r>
            <w:r>
              <w:rPr>
                <w:rFonts w:ascii="Times New Roman" w:cs="Times New Roman" w:eastAsia="Times New Roman" w:hAnsi="Times New Roman"/>
                <w:sz w:val="15"/>
                <w:szCs w:val="15"/>
                <w:color w:val="auto"/>
              </w:rPr>
              <w:t>SUCCESSOR ENTITY</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0"/>
        </w:trPr>
        <w:tc>
          <w:tcPr>
            <w:tcW w:w="1520" w:type="dxa"/>
            <w:vAlign w:val="bottom"/>
            <w:shd w:val="clear" w:color="auto" w:fill="CCEEFF"/>
          </w:tcPr>
          <w:p>
            <w:pPr>
              <w:spacing w:after="0"/>
              <w:rPr>
                <w:sz w:val="15"/>
                <w:szCs w:val="15"/>
                <w:color w:val="auto"/>
              </w:rPr>
            </w:pPr>
          </w:p>
        </w:tc>
        <w:tc>
          <w:tcPr>
            <w:tcW w:w="68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10.01</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Company May Consolidate, Etc</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10.02</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Successor Entity Substituted</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0"/>
        </w:trPr>
        <w:tc>
          <w:tcPr>
            <w:tcW w:w="8380" w:type="dxa"/>
            <w:vAlign w:val="bottom"/>
            <w:gridSpan w:val="2"/>
          </w:tcPr>
          <w:p>
            <w:pPr>
              <w:spacing w:after="0"/>
              <w:rPr>
                <w:sz w:val="15"/>
                <w:szCs w:val="15"/>
                <w:color w:val="auto"/>
              </w:rPr>
            </w:pPr>
          </w:p>
        </w:tc>
        <w:tc>
          <w:tcPr>
            <w:tcW w:w="2880" w:type="dxa"/>
            <w:vAlign w:val="bottom"/>
          </w:tcPr>
          <w:p>
            <w:pPr>
              <w:spacing w:after="0"/>
              <w:rPr>
                <w:sz w:val="15"/>
                <w:szCs w:val="15"/>
                <w:color w:val="auto"/>
              </w:rPr>
            </w:pPr>
          </w:p>
        </w:tc>
      </w:tr>
      <w:tr>
        <w:trPr>
          <w:trHeight w:val="180"/>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11 </w:t>
            </w:r>
            <w:r>
              <w:rPr>
                <w:rFonts w:ascii="Times New Roman" w:cs="Times New Roman" w:eastAsia="Times New Roman" w:hAnsi="Times New Roman"/>
                <w:sz w:val="15"/>
                <w:szCs w:val="15"/>
                <w:color w:val="auto"/>
              </w:rPr>
              <w:t>SATISFACTION AND DISCHARGE</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0"/>
        </w:trPr>
        <w:tc>
          <w:tcPr>
            <w:tcW w:w="15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11.01</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Satisfaction and Discharge of Indenture</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11.02</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Discharge of Obligations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11.03</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Deposited Moneys to be Held in Trust</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11.04</w:t>
            </w:r>
          </w:p>
        </w:tc>
        <w:tc>
          <w:tcPr>
            <w:tcW w:w="68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 of Moneys Held by Paying Agents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11.05</w:t>
            </w: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Repayment to Company</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r>
    </w:tbl>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80"/>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12 </w:t>
            </w:r>
            <w:r>
              <w:rPr>
                <w:rFonts w:ascii="Times New Roman" w:cs="Times New Roman" w:eastAsia="Times New Roman" w:hAnsi="Times New Roman"/>
                <w:sz w:val="15"/>
                <w:szCs w:val="15"/>
                <w:color w:val="auto"/>
              </w:rPr>
              <w:t>IMMUNITY OF INCORPORATORS, STOCKHOLDERS, OFFICERS AND DIRECTORS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12.01</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 Recourse</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ARTICLE 13 </w:t>
            </w:r>
            <w:r>
              <w:rPr>
                <w:rFonts w:ascii="Times New Roman" w:cs="Times New Roman" w:eastAsia="Times New Roman" w:hAnsi="Times New Roman"/>
                <w:sz w:val="15"/>
                <w:szCs w:val="15"/>
                <w:color w:val="auto"/>
              </w:rPr>
              <w:t>MISCELLANEOUS PROVISIONS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13.01</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Effect on Successors and Assigns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13.02</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Actions by Successor</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13.03</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Surrender of Company Powers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13.04</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Notices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13.05</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Governing Law; Jury Trial Waiver</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13.06</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Treatment of Securities as Debt</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13.07</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Certificates and Opinions as to Conditions Precedent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13.08</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Payments on Business Days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13.09</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Conflict with Trust Indenture Act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13.10</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Counterparts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13.11</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Separability</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13.12</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Compliance Certificates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13.13</w:t>
            </w: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USA PATRIOT ACT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13.14</w:t>
            </w:r>
          </w:p>
        </w:tc>
        <w:tc>
          <w:tcPr>
            <w:tcW w:w="7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Calculations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60" w:type="dxa"/>
            <w:vAlign w:val="bottom"/>
            <w:gridSpan w:val="2"/>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TRUST INDENTURE ACT CROSS-REFERENCE TABLE</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62" w:name="page163"/>
    <w:bookmarkEnd w:id="16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INDENTURE</w:t>
      </w:r>
      <w:r>
        <w:rPr>
          <w:rFonts w:ascii="Times New Roman" w:cs="Times New Roman" w:eastAsia="Times New Roman" w:hAnsi="Times New Roman"/>
          <w:sz w:val="15"/>
          <w:szCs w:val="15"/>
          <w:color w:val="auto"/>
        </w:rPr>
        <w:t>, dated as of [•], 20[•], among</w:t>
      </w:r>
      <w:r>
        <w:rPr>
          <w:rFonts w:ascii="Times New Roman" w:cs="Times New Roman" w:eastAsia="Times New Roman" w:hAnsi="Times New Roman"/>
          <w:sz w:val="15"/>
          <w:szCs w:val="15"/>
          <w:b w:val="1"/>
          <w:bCs w:val="1"/>
          <w:color w:val="auto"/>
        </w:rPr>
        <w:t xml:space="preserve"> AVROBIO, INC.</w:t>
      </w:r>
      <w:r>
        <w:rPr>
          <w:rFonts w:ascii="Times New Roman" w:cs="Times New Roman" w:eastAsia="Times New Roman" w:hAnsi="Times New Roman"/>
          <w:sz w:val="15"/>
          <w:szCs w:val="15"/>
          <w:color w:val="auto"/>
        </w:rPr>
        <w:t>, a Delaware corporation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 as trustee (the “</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w:t>
      </w:r>
    </w:p>
    <w:p>
      <w:pPr>
        <w:spacing w:after="0" w:line="211" w:lineRule="exact"/>
        <w:rPr>
          <w:sz w:val="20"/>
          <w:szCs w:val="20"/>
          <w:color w:val="auto"/>
        </w:rPr>
      </w:pPr>
    </w:p>
    <w:p>
      <w:pPr>
        <w:jc w:val="both"/>
        <w:ind w:right="160" w:firstLine="541"/>
        <w:spacing w:after="0" w:line="268"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for its lawful corporate purposes, the Company has duly authorized the execution and delivery of this Indenture to provide for the issuance of subordinated debt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securities (hereinafter referred to as the “</w:t>
      </w: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5"/>
          <w:szCs w:val="15"/>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66" w:lineRule="exact"/>
        <w:rPr>
          <w:sz w:val="20"/>
          <w:szCs w:val="20"/>
          <w:color w:val="auto"/>
        </w:rPr>
      </w:pPr>
    </w:p>
    <w:p>
      <w:pPr>
        <w:ind w:firstLine="541"/>
        <w:spacing w:after="0" w:line="28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to provide the terms and conditions upon which the Securities are to be authenticated, issued and delivered, the Company has duly authorized the execution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Indenture; and</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all things necessary to make this Indenture a valid and binding agreement of the Company, in accordance with its terms, have been done.</w:t>
      </w:r>
    </w:p>
    <w:p>
      <w:pPr>
        <w:spacing w:after="0" w:line="211" w:lineRule="exact"/>
        <w:rPr>
          <w:sz w:val="20"/>
          <w:szCs w:val="20"/>
          <w:color w:val="auto"/>
        </w:rPr>
      </w:pPr>
    </w:p>
    <w:p>
      <w:pPr>
        <w:ind w:right="100" w:firstLine="541"/>
        <w:spacing w:after="0" w:line="286" w:lineRule="auto"/>
        <w:rPr>
          <w:sz w:val="20"/>
          <w:szCs w:val="20"/>
          <w:color w:val="auto"/>
        </w:rPr>
      </w:pPr>
      <w:r>
        <w:rPr>
          <w:rFonts w:ascii="Times New Roman" w:cs="Times New Roman" w:eastAsia="Times New Roman" w:hAnsi="Times New Roman"/>
          <w:sz w:val="15"/>
          <w:szCs w:val="15"/>
          <w:b w:val="1"/>
          <w:bCs w:val="1"/>
          <w:color w:val="auto"/>
        </w:rPr>
        <w:t>NOW, THEREFORE</w:t>
      </w:r>
      <w:r>
        <w:rPr>
          <w:rFonts w:ascii="Times New Roman" w:cs="Times New Roman" w:eastAsia="Times New Roman" w:hAnsi="Times New Roman"/>
          <w:sz w:val="15"/>
          <w:szCs w:val="15"/>
          <w:color w:val="auto"/>
        </w:rPr>
        <w:t>, in consideration of the premises and the purchase of the Securities by the holders thereof, it is mutually covenanted and agreed as follows for the equal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ratable benefit of the holders of Securities:</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 of Terms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541"/>
        <w:spacing w:after="0" w:line="241"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69" w:lineRule="exact"/>
        <w:rPr>
          <w:sz w:val="20"/>
          <w:szCs w:val="20"/>
          <w:color w:val="auto"/>
        </w:rPr>
      </w:pPr>
    </w:p>
    <w:p>
      <w:pPr>
        <w:ind w:right="20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xml:space="preserve">” means an authenticating agent with respect to all or any of the series of Securities appointed by the Trustee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199" w:lineRule="exact"/>
        <w:rPr>
          <w:sz w:val="20"/>
          <w:szCs w:val="20"/>
          <w:color w:val="auto"/>
        </w:rPr>
      </w:pPr>
    </w:p>
    <w:p>
      <w:pPr>
        <w:ind w:right="2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199390</wp:posOffset>
            </wp:positionV>
            <wp:extent cx="7155180"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163" w:name="page164"/>
    <w:bookmarkEnd w:id="163"/>
    <w:p>
      <w:pPr>
        <w:ind w:right="20" w:firstLine="541"/>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42" w:lineRule="exact"/>
        <w:rPr>
          <w:sz w:val="20"/>
          <w:szCs w:val="20"/>
          <w:color w:val="auto"/>
        </w:rPr>
      </w:pPr>
    </w:p>
    <w:p>
      <w:pPr>
        <w:ind w:right="5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41" w:lineRule="exact"/>
        <w:rPr>
          <w:sz w:val="20"/>
          <w:szCs w:val="20"/>
          <w:color w:val="auto"/>
        </w:rPr>
      </w:pPr>
    </w:p>
    <w:p>
      <w:pPr>
        <w:ind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57" w:lineRule="exact"/>
        <w:rPr>
          <w:sz w:val="20"/>
          <w:szCs w:val="20"/>
          <w:color w:val="auto"/>
        </w:rPr>
      </w:pPr>
    </w:p>
    <w:p>
      <w:pPr>
        <w:ind w:right="70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AVROBIO, Inc., a corporation duly organized and existing under the laws of the State of Delaware, and, subject to the provisions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shall also include its successors and assigns.</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 Officer of the Company, and delivered to the Trustee.</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administered, which</w:t>
      </w:r>
    </w:p>
    <w:p>
      <w:pPr>
        <w:spacing w:after="0" w:line="20"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18"/>
          <w:szCs w:val="18"/>
          <w:color w:val="auto"/>
        </w:rPr>
        <w:t>office at the date hereof is located at</w:t>
      </w:r>
      <w:r>
        <w:rPr>
          <w:sz w:val="20"/>
          <w:szCs w:val="20"/>
          <w:color w:val="auto"/>
        </w:rPr>
        <w:tab/>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0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right="1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means, with respect to Securities of a particular series, any event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continued for the period of time, if any, therein designated.</w:t>
      </w:r>
    </w:p>
    <w:p>
      <w:pPr>
        <w:spacing w:after="0" w:line="141" w:lineRule="exact"/>
        <w:rPr>
          <w:sz w:val="20"/>
          <w:szCs w:val="20"/>
          <w:color w:val="auto"/>
        </w:rPr>
      </w:pPr>
    </w:p>
    <w:p>
      <w:pPr>
        <w:ind w:right="42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41" w:lineRule="exact"/>
        <w:rPr>
          <w:sz w:val="20"/>
          <w:szCs w:val="20"/>
          <w:color w:val="auto"/>
        </w:rPr>
      </w:pPr>
    </w:p>
    <w:p>
      <w:pPr>
        <w:jc w:val="both"/>
        <w:ind w:right="4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4" w:name="page165"/>
    <w:bookmarkEnd w:id="164"/>
    <w:p>
      <w:pPr>
        <w:ind w:right="60" w:firstLine="541"/>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Obligations</w:t>
      </w:r>
      <w:r>
        <w:rPr>
          <w:rFonts w:ascii="Times New Roman" w:cs="Times New Roman" w:eastAsia="Times New Roman" w:hAnsi="Times New Roman"/>
          <w:sz w:val="18"/>
          <w:szCs w:val="18"/>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72" w:lineRule="exact"/>
        <w:rPr>
          <w:sz w:val="20"/>
          <w:szCs w:val="20"/>
          <w:color w:val="auto"/>
        </w:rPr>
      </w:pPr>
    </w:p>
    <w:p>
      <w:pPr>
        <w:ind w:right="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41" w:lineRule="exact"/>
        <w:rPr>
          <w:sz w:val="20"/>
          <w:szCs w:val="20"/>
          <w:color w:val="auto"/>
        </w:rPr>
      </w:pPr>
    </w:p>
    <w:p>
      <w:pPr>
        <w:ind w:right="24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57" w:lineRule="exact"/>
        <w:rPr>
          <w:sz w:val="20"/>
          <w:szCs w:val="20"/>
          <w:color w:val="auto"/>
        </w:rPr>
      </w:pPr>
    </w:p>
    <w:p>
      <w:pPr>
        <w:jc w:val="both"/>
        <w:ind w:right="18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57" w:lineRule="exact"/>
        <w:rPr>
          <w:sz w:val="20"/>
          <w:szCs w:val="20"/>
          <w:color w:val="auto"/>
        </w:rPr>
      </w:pPr>
    </w:p>
    <w:p>
      <w:pPr>
        <w:ind w:right="14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signed by any Officer. Each such certificate shall include the statements provided for in </w:t>
      </w:r>
      <w:r>
        <w:rPr>
          <w:rFonts w:ascii="Times New Roman" w:cs="Times New Roman" w:eastAsia="Times New Roman" w:hAnsi="Times New Roman"/>
          <w:sz w:val="18"/>
          <w:szCs w:val="18"/>
          <w:u w:val="single" w:color="auto"/>
          <w:color w:val="auto"/>
        </w:rPr>
        <w:t>Section 13.07</w:t>
      </w:r>
      <w:r>
        <w:rPr>
          <w:rFonts w:ascii="Times New Roman" w:cs="Times New Roman" w:eastAsia="Times New Roman" w:hAnsi="Times New Roman"/>
          <w:sz w:val="18"/>
          <w:szCs w:val="18"/>
          <w:color w:val="auto"/>
        </w:rPr>
        <w:t>, if and to the extent required by the provisions thereof.</w:t>
      </w:r>
    </w:p>
    <w:p>
      <w:pPr>
        <w:spacing w:after="0" w:line="141" w:lineRule="exact"/>
        <w:rPr>
          <w:sz w:val="20"/>
          <w:szCs w:val="20"/>
          <w:color w:val="auto"/>
        </w:rPr>
      </w:pPr>
    </w:p>
    <w:p>
      <w:pPr>
        <w:ind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13.07</w:t>
      </w:r>
      <w:r>
        <w:rPr>
          <w:rFonts w:ascii="Times New Roman" w:cs="Times New Roman" w:eastAsia="Times New Roman" w:hAnsi="Times New Roman"/>
          <w:sz w:val="18"/>
          <w:szCs w:val="18"/>
          <w:color w:val="auto"/>
        </w:rPr>
        <w:t>, if and to the extent required by the provisions thereof.</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5" w:name="page166"/>
    <w:bookmarkEnd w:id="165"/>
    <w:p>
      <w:pPr>
        <w:ind w:firstLine="54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xml:space="preserve">”, when used with reference to Securities of any series, means, subject to the provisions of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Securities or portions of such Securities are to be redeemed prior to the maturity thereof, notice of such redemption shall have been given as provided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4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41" w:lineRule="exact"/>
        <w:rPr>
          <w:sz w:val="20"/>
          <w:szCs w:val="20"/>
          <w:color w:val="auto"/>
        </w:rPr>
      </w:pPr>
    </w:p>
    <w:p>
      <w:pPr>
        <w:jc w:val="both"/>
        <w:ind w:right="12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Security</w:t>
      </w:r>
      <w:r>
        <w:rPr>
          <w:rFonts w:ascii="Times New Roman" w:cs="Times New Roman" w:eastAsia="Times New Roman" w:hAnsi="Times New Roman"/>
          <w:sz w:val="18"/>
          <w:szCs w:val="18"/>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in lieu of a lost, destroyed or stolen Security shall be deemed to evidence the same debt as the lost, destroyed or stolen Security.</w:t>
      </w:r>
    </w:p>
    <w:p>
      <w:pPr>
        <w:spacing w:after="0" w:line="157" w:lineRule="exact"/>
        <w:rPr>
          <w:sz w:val="20"/>
          <w:szCs w:val="20"/>
          <w:color w:val="auto"/>
        </w:rPr>
      </w:pPr>
    </w:p>
    <w:p>
      <w:pPr>
        <w:ind w:right="120" w:firstLine="54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Responsible Officer</w:t>
      </w:r>
      <w:r>
        <w:rPr>
          <w:rFonts w:ascii="Times New Roman" w:cs="Times New Roman" w:eastAsia="Times New Roman" w:hAnsi="Times New Roman"/>
          <w:sz w:val="17"/>
          <w:szCs w:val="17"/>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50" w:lineRule="exact"/>
        <w:rPr>
          <w:sz w:val="20"/>
          <w:szCs w:val="20"/>
          <w:color w:val="auto"/>
        </w:rPr>
      </w:pPr>
    </w:p>
    <w:p>
      <w:pPr>
        <w:ind w:right="42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41" w:lineRule="exact"/>
        <w:rPr>
          <w:sz w:val="20"/>
          <w:szCs w:val="20"/>
          <w:color w:val="auto"/>
        </w:rPr>
      </w:pPr>
    </w:p>
    <w:p>
      <w:pPr>
        <w:ind w:right="60" w:firstLine="5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xml:space="preserve">” shall have the meanings as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w:t>
      </w:r>
    </w:p>
    <w:p>
      <w:pPr>
        <w:spacing w:after="0" w:line="203" w:lineRule="exact"/>
        <w:rPr>
          <w:sz w:val="20"/>
          <w:szCs w:val="20"/>
          <w:color w:val="auto"/>
        </w:rPr>
      </w:pPr>
    </w:p>
    <w:p>
      <w:pPr>
        <w:ind w:left="540" w:right="60" w:firstLine="532"/>
        <w:spacing w:after="0" w:line="251" w:lineRule="auto"/>
        <w:tabs>
          <w:tab w:leader="none" w:pos="165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by one or more subsidiaries of such Person or by such Person and one or more subsidiaries of such Person;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66" w:name="page167"/>
    <w:bookmarkEnd w:id="166"/>
    <w:p>
      <w:pPr>
        <w:ind w:left="1640" w:hanging="568"/>
        <w:spacing w:after="0"/>
        <w:tabs>
          <w:tab w:leader="none" w:pos="16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in which such Person or a subsidiary of such Person is, at the date of determination, a general partner of such</w:t>
      </w:r>
    </w:p>
    <w:p>
      <w:pPr>
        <w:spacing w:after="0" w:line="14"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or</w:t>
      </w:r>
    </w:p>
    <w:p>
      <w:pPr>
        <w:spacing w:after="0" w:line="178" w:lineRule="exact"/>
        <w:rPr>
          <w:rFonts w:ascii="Times New Roman" w:cs="Times New Roman" w:eastAsia="Times New Roman" w:hAnsi="Times New Roman"/>
          <w:sz w:val="18"/>
          <w:szCs w:val="18"/>
          <w:color w:val="auto"/>
        </w:rPr>
      </w:pPr>
    </w:p>
    <w:p>
      <w:pPr>
        <w:ind w:left="540" w:right="40" w:firstLine="532"/>
        <w:spacing w:after="0" w:line="245" w:lineRule="auto"/>
        <w:tabs>
          <w:tab w:leader="none" w:pos="165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65" w:lineRule="exact"/>
        <w:rPr>
          <w:sz w:val="20"/>
          <w:szCs w:val="20"/>
          <w:color w:val="auto"/>
        </w:rPr>
      </w:pPr>
    </w:p>
    <w:p>
      <w:pPr>
        <w:ind w:right="20" w:firstLine="5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means , and, subject to the provisions of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 and in effect from time to time.</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OF SECURITIES</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u w:val="single" w:color="auto"/>
          <w:color w:val="auto"/>
        </w:rPr>
        <w:t>Designation and Terms of Securities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80" w:firstLine="1072"/>
        <w:spacing w:after="0" w:line="245" w:lineRule="auto"/>
        <w:tabs>
          <w:tab w:leader="none" w:pos="164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68" w:lineRule="exact"/>
        <w:rPr>
          <w:rFonts w:ascii="Times New Roman" w:cs="Times New Roman" w:eastAsia="Times New Roman" w:hAnsi="Times New Roman"/>
          <w:sz w:val="18"/>
          <w:szCs w:val="18"/>
          <w:color w:val="auto"/>
        </w:rPr>
      </w:pPr>
    </w:p>
    <w:p>
      <w:pPr>
        <w:ind w:left="2280" w:hanging="667"/>
        <w:spacing w:after="0"/>
        <w:tabs>
          <w:tab w:leader="none" w:pos="22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198" w:lineRule="exact"/>
        <w:rPr>
          <w:rFonts w:ascii="Times New Roman" w:cs="Times New Roman" w:eastAsia="Times New Roman" w:hAnsi="Times New Roman"/>
          <w:sz w:val="18"/>
          <w:szCs w:val="18"/>
          <w:color w:val="auto"/>
        </w:rPr>
      </w:pPr>
    </w:p>
    <w:p>
      <w:pPr>
        <w:ind w:left="540" w:right="340" w:firstLine="1073"/>
        <w:spacing w:after="0" w:line="251" w:lineRule="auto"/>
        <w:tabs>
          <w:tab w:leader="none" w:pos="2283"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161" w:lineRule="exact"/>
        <w:rPr>
          <w:rFonts w:ascii="Times New Roman" w:cs="Times New Roman" w:eastAsia="Times New Roman" w:hAnsi="Times New Roman"/>
          <w:sz w:val="18"/>
          <w:szCs w:val="18"/>
          <w:color w:val="auto"/>
        </w:rPr>
      </w:pPr>
    </w:p>
    <w:p>
      <w:pPr>
        <w:ind w:left="2280" w:hanging="667"/>
        <w:spacing w:after="0"/>
        <w:tabs>
          <w:tab w:leader="none" w:pos="22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98" w:lineRule="exact"/>
        <w:rPr>
          <w:rFonts w:ascii="Times New Roman" w:cs="Times New Roman" w:eastAsia="Times New Roman" w:hAnsi="Times New Roman"/>
          <w:sz w:val="18"/>
          <w:szCs w:val="18"/>
          <w:color w:val="auto"/>
        </w:rPr>
      </w:pPr>
    </w:p>
    <w:p>
      <w:pPr>
        <w:ind w:left="540" w:firstLine="1073"/>
        <w:spacing w:after="0" w:line="245" w:lineRule="auto"/>
        <w:tabs>
          <w:tab w:leader="none" w:pos="2283"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7" w:name="page168"/>
    <w:bookmarkEnd w:id="167"/>
    <w:p>
      <w:pPr>
        <w:ind w:left="1740" w:hanging="667"/>
        <w:spacing w:after="0"/>
        <w:tabs>
          <w:tab w:leader="none" w:pos="17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w:t>
      </w:r>
    </w:p>
    <w:p>
      <w:pPr>
        <w:spacing w:after="0" w:line="179" w:lineRule="exact"/>
        <w:rPr>
          <w:sz w:val="20"/>
          <w:szCs w:val="20"/>
          <w:color w:val="auto"/>
        </w:rPr>
      </w:pPr>
    </w:p>
    <w:p>
      <w:pPr>
        <w:ind w:firstLine="1073"/>
        <w:spacing w:after="0" w:line="251" w:lineRule="auto"/>
        <w:tabs>
          <w:tab w:leader="none" w:pos="17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61" w:lineRule="exact"/>
        <w:rPr>
          <w:rFonts w:ascii="Times New Roman" w:cs="Times New Roman" w:eastAsia="Times New Roman" w:hAnsi="Times New Roman"/>
          <w:sz w:val="18"/>
          <w:szCs w:val="18"/>
          <w:color w:val="auto"/>
        </w:rPr>
      </w:pPr>
    </w:p>
    <w:p>
      <w:pPr>
        <w:ind w:left="1740" w:hanging="667"/>
        <w:spacing w:after="0"/>
        <w:tabs>
          <w:tab w:leader="none" w:pos="17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98" w:lineRule="exact"/>
        <w:rPr>
          <w:rFonts w:ascii="Times New Roman" w:cs="Times New Roman" w:eastAsia="Times New Roman" w:hAnsi="Times New Roman"/>
          <w:sz w:val="18"/>
          <w:szCs w:val="18"/>
          <w:color w:val="auto"/>
        </w:rPr>
      </w:pPr>
    </w:p>
    <w:p>
      <w:pPr>
        <w:ind w:right="180" w:firstLine="1073"/>
        <w:spacing w:after="0" w:line="267" w:lineRule="auto"/>
        <w:tabs>
          <w:tab w:leader="none" w:pos="17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converted or exchanged, in whole or in part;</w:t>
      </w:r>
    </w:p>
    <w:p>
      <w:pPr>
        <w:spacing w:after="0" w:line="147" w:lineRule="exact"/>
        <w:rPr>
          <w:rFonts w:ascii="Times New Roman" w:cs="Times New Roman" w:eastAsia="Times New Roman" w:hAnsi="Times New Roman"/>
          <w:sz w:val="18"/>
          <w:szCs w:val="18"/>
          <w:color w:val="auto"/>
        </w:rPr>
      </w:pPr>
    </w:p>
    <w:p>
      <w:pPr>
        <w:ind w:firstLine="1073"/>
        <w:spacing w:after="0" w:line="245" w:lineRule="auto"/>
        <w:tabs>
          <w:tab w:leader="none" w:pos="17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8" w:lineRule="exact"/>
        <w:rPr>
          <w:rFonts w:ascii="Times New Roman" w:cs="Times New Roman" w:eastAsia="Times New Roman" w:hAnsi="Times New Roman"/>
          <w:sz w:val="18"/>
          <w:szCs w:val="18"/>
          <w:color w:val="auto"/>
        </w:rPr>
      </w:pPr>
    </w:p>
    <w:p>
      <w:pPr>
        <w:ind w:left="1740" w:hanging="667"/>
        <w:spacing w:after="0"/>
        <w:tabs>
          <w:tab w:leader="none" w:pos="17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198" w:lineRule="exact"/>
        <w:rPr>
          <w:rFonts w:ascii="Times New Roman" w:cs="Times New Roman" w:eastAsia="Times New Roman" w:hAnsi="Times New Roman"/>
          <w:sz w:val="18"/>
          <w:szCs w:val="18"/>
          <w:color w:val="auto"/>
        </w:rPr>
      </w:pPr>
    </w:p>
    <w:p>
      <w:pPr>
        <w:ind w:right="80" w:firstLine="1073"/>
        <w:spacing w:after="0" w:line="267" w:lineRule="auto"/>
        <w:tabs>
          <w:tab w:leader="none" w:pos="178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Securities of the series shall be issuable;</w:t>
      </w:r>
    </w:p>
    <w:p>
      <w:pPr>
        <w:spacing w:after="0" w:line="147" w:lineRule="exact"/>
        <w:rPr>
          <w:rFonts w:ascii="Times New Roman" w:cs="Times New Roman" w:eastAsia="Times New Roman" w:hAnsi="Times New Roman"/>
          <w:sz w:val="18"/>
          <w:szCs w:val="18"/>
          <w:color w:val="auto"/>
        </w:rPr>
      </w:pPr>
    </w:p>
    <w:p>
      <w:pPr>
        <w:jc w:val="both"/>
        <w:ind w:right="60" w:firstLine="1073"/>
        <w:spacing w:after="0" w:line="245" w:lineRule="auto"/>
        <w:tabs>
          <w:tab w:leader="none" w:pos="17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68" w:lineRule="exact"/>
        <w:rPr>
          <w:rFonts w:ascii="Times New Roman" w:cs="Times New Roman" w:eastAsia="Times New Roman" w:hAnsi="Times New Roman"/>
          <w:sz w:val="18"/>
          <w:szCs w:val="18"/>
          <w:color w:val="auto"/>
        </w:rPr>
      </w:pPr>
    </w:p>
    <w:p>
      <w:pPr>
        <w:ind w:right="240" w:firstLine="1073"/>
        <w:spacing w:after="0" w:line="251" w:lineRule="auto"/>
        <w:tabs>
          <w:tab w:leader="none" w:pos="17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31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31115</wp:posOffset>
            </wp:positionV>
            <wp:extent cx="7155180" cy="146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680"/>
          </w:cols>
          <w:pgMar w:left="860" w:top="118" w:right="359" w:bottom="1440" w:gutter="0" w:footer="0" w:header="0"/>
        </w:sectPr>
      </w:pPr>
    </w:p>
    <w:bookmarkStart w:id="168" w:name="page169"/>
    <w:bookmarkEnd w:id="168"/>
    <w:p>
      <w:pPr>
        <w:ind w:right="460" w:firstLine="1073"/>
        <w:spacing w:after="0" w:line="264" w:lineRule="auto"/>
        <w:tabs>
          <w:tab w:leader="none" w:pos="1743"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53" w:lineRule="exact"/>
        <w:rPr>
          <w:rFonts w:ascii="Times New Roman" w:cs="Times New Roman" w:eastAsia="Times New Roman" w:hAnsi="Times New Roman"/>
          <w:sz w:val="17"/>
          <w:szCs w:val="17"/>
          <w:color w:val="auto"/>
        </w:rPr>
      </w:pPr>
    </w:p>
    <w:p>
      <w:pPr>
        <w:ind w:right="100" w:firstLine="1073"/>
        <w:spacing w:after="0" w:line="267" w:lineRule="auto"/>
        <w:tabs>
          <w:tab w:leader="none" w:pos="174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than the full principal amount thereof, the portion of the principal amount of Securities of the series which shall be payable upon declaration of acceleration of the maturity thereof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47" w:lineRule="exact"/>
        <w:rPr>
          <w:rFonts w:ascii="Times New Roman" w:cs="Times New Roman" w:eastAsia="Times New Roman" w:hAnsi="Times New Roman"/>
          <w:sz w:val="18"/>
          <w:szCs w:val="18"/>
          <w:color w:val="auto"/>
        </w:rPr>
      </w:pPr>
    </w:p>
    <w:p>
      <w:pPr>
        <w:ind w:left="1740" w:hanging="667"/>
        <w:spacing w:after="0"/>
        <w:tabs>
          <w:tab w:leader="none" w:pos="17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198" w:lineRule="exact"/>
        <w:rPr>
          <w:rFonts w:ascii="Times New Roman" w:cs="Times New Roman" w:eastAsia="Times New Roman" w:hAnsi="Times New Roman"/>
          <w:sz w:val="18"/>
          <w:szCs w:val="18"/>
          <w:color w:val="auto"/>
        </w:rPr>
      </w:pPr>
    </w:p>
    <w:p>
      <w:pPr>
        <w:ind w:firstLine="1073"/>
        <w:spacing w:after="0" w:line="239" w:lineRule="auto"/>
        <w:tabs>
          <w:tab w:leader="none" w:pos="174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76" w:lineRule="exact"/>
        <w:rPr>
          <w:rFonts w:ascii="Times New Roman" w:cs="Times New Roman" w:eastAsia="Times New Roman" w:hAnsi="Times New Roman"/>
          <w:sz w:val="18"/>
          <w:szCs w:val="18"/>
          <w:color w:val="auto"/>
        </w:rPr>
      </w:pPr>
    </w:p>
    <w:p>
      <w:pPr>
        <w:ind w:right="60" w:firstLine="1073"/>
        <w:spacing w:after="0" w:line="251" w:lineRule="auto"/>
        <w:tabs>
          <w:tab w:leader="none" w:pos="174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61" w:lineRule="exact"/>
        <w:rPr>
          <w:rFonts w:ascii="Times New Roman" w:cs="Times New Roman" w:eastAsia="Times New Roman" w:hAnsi="Times New Roman"/>
          <w:sz w:val="18"/>
          <w:szCs w:val="18"/>
          <w:color w:val="auto"/>
        </w:rPr>
      </w:pPr>
    </w:p>
    <w:p>
      <w:pPr>
        <w:ind w:right="260" w:firstLine="1073"/>
        <w:spacing w:after="0" w:line="251" w:lineRule="auto"/>
        <w:tabs>
          <w:tab w:leader="none" w:pos="174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161" w:lineRule="exact"/>
        <w:rPr>
          <w:rFonts w:ascii="Times New Roman" w:cs="Times New Roman" w:eastAsia="Times New Roman" w:hAnsi="Times New Roman"/>
          <w:sz w:val="18"/>
          <w:szCs w:val="18"/>
          <w:color w:val="auto"/>
        </w:rPr>
      </w:pPr>
    </w:p>
    <w:p>
      <w:pPr>
        <w:ind w:right="280" w:firstLine="1073"/>
        <w:spacing w:after="0" w:line="267" w:lineRule="auto"/>
        <w:tabs>
          <w:tab w:leader="none" w:pos="174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147" w:lineRule="exact"/>
        <w:rPr>
          <w:rFonts w:ascii="Times New Roman" w:cs="Times New Roman" w:eastAsia="Times New Roman" w:hAnsi="Times New Roman"/>
          <w:sz w:val="18"/>
          <w:szCs w:val="18"/>
          <w:color w:val="auto"/>
        </w:rPr>
      </w:pPr>
    </w:p>
    <w:p>
      <w:pPr>
        <w:ind w:right="120" w:firstLine="1073"/>
        <w:spacing w:after="0" w:line="267" w:lineRule="auto"/>
        <w:tabs>
          <w:tab w:leader="none" w:pos="174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30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31115</wp:posOffset>
            </wp:positionV>
            <wp:extent cx="7155180" cy="14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660"/>
          </w:cols>
          <w:pgMar w:left="860" w:top="118" w:right="379" w:bottom="1440" w:gutter="0" w:footer="0" w:header="0"/>
        </w:sectPr>
      </w:pPr>
    </w:p>
    <w:bookmarkStart w:id="169" w:name="page170"/>
    <w:bookmarkEnd w:id="169"/>
    <w:p>
      <w:pPr>
        <w:ind w:left="2280" w:hanging="667"/>
        <w:spacing w:after="0"/>
        <w:tabs>
          <w:tab w:leader="none" w:pos="22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197" w:lineRule="exact"/>
        <w:rPr>
          <w:rFonts w:ascii="Times New Roman" w:cs="Times New Roman" w:eastAsia="Times New Roman" w:hAnsi="Times New Roman"/>
          <w:sz w:val="18"/>
          <w:szCs w:val="18"/>
          <w:color w:val="auto"/>
        </w:rPr>
      </w:pPr>
    </w:p>
    <w:p>
      <w:pPr>
        <w:ind w:left="2280" w:hanging="667"/>
        <w:spacing w:after="0"/>
        <w:tabs>
          <w:tab w:leader="none" w:pos="22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98" w:lineRule="exact"/>
        <w:rPr>
          <w:rFonts w:ascii="Times New Roman" w:cs="Times New Roman" w:eastAsia="Times New Roman" w:hAnsi="Times New Roman"/>
          <w:sz w:val="18"/>
          <w:szCs w:val="18"/>
          <w:color w:val="auto"/>
        </w:rPr>
      </w:pPr>
    </w:p>
    <w:p>
      <w:pPr>
        <w:ind w:left="2280" w:hanging="667"/>
        <w:spacing w:after="0"/>
        <w:tabs>
          <w:tab w:leader="none" w:pos="22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198" w:lineRule="exact"/>
        <w:rPr>
          <w:rFonts w:ascii="Times New Roman" w:cs="Times New Roman" w:eastAsia="Times New Roman" w:hAnsi="Times New Roman"/>
          <w:sz w:val="18"/>
          <w:szCs w:val="18"/>
          <w:color w:val="auto"/>
        </w:rPr>
      </w:pPr>
    </w:p>
    <w:p>
      <w:pPr>
        <w:ind w:left="2280" w:hanging="667"/>
        <w:spacing w:after="0"/>
        <w:tabs>
          <w:tab w:leader="none" w:pos="22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w:t>
      </w:r>
    </w:p>
    <w:p>
      <w:pPr>
        <w:spacing w:after="0" w:line="199" w:lineRule="exact"/>
        <w:rPr>
          <w:sz w:val="20"/>
          <w:szCs w:val="20"/>
          <w:color w:val="auto"/>
        </w:rPr>
      </w:pPr>
    </w:p>
    <w:p>
      <w:pPr>
        <w:ind w:right="40" w:firstLine="541"/>
        <w:spacing w:after="0" w:line="267"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48" w:lineRule="exact"/>
        <w:rPr>
          <w:sz w:val="20"/>
          <w:szCs w:val="20"/>
          <w:color w:val="auto"/>
        </w:rPr>
      </w:pPr>
    </w:p>
    <w:p>
      <w:pPr>
        <w:ind w:right="120" w:firstLine="541"/>
        <w:spacing w:after="0" w:line="251"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62" w:lineRule="exact"/>
        <w:rPr>
          <w:sz w:val="20"/>
          <w:szCs w:val="20"/>
          <w:color w:val="auto"/>
        </w:rPr>
      </w:pPr>
    </w:p>
    <w:p>
      <w:pPr>
        <w:jc w:val="both"/>
        <w:ind w:right="440" w:firstLine="541"/>
        <w:spacing w:after="0" w:line="251"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62"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Form of Securities and Trustee’s Certificate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73"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Denominations: Provisions for Payment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541"/>
        <w:spacing w:after="0" w:line="241" w:lineRule="auto"/>
        <w:rPr>
          <w:sz w:val="20"/>
          <w:szCs w:val="20"/>
          <w:color w:val="auto"/>
        </w:rPr>
      </w:pPr>
      <w:r>
        <w:rPr>
          <w:rFonts w:ascii="Times New Roman" w:cs="Times New Roman" w:eastAsia="Times New Roman" w:hAnsi="Times New Roman"/>
          <w:sz w:val="18"/>
          <w:szCs w:val="18"/>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Times New Roman" w:cs="Times New Roman" w:eastAsia="Times New Roman" w:hAnsi="Times New Roman"/>
          <w:sz w:val="18"/>
          <w:szCs w:val="18"/>
          <w:u w:val="single" w:color="auto"/>
          <w:color w:val="auto"/>
        </w:rPr>
        <w:t>Section 2.01(a)(18)</w:t>
      </w:r>
      <w:r>
        <w:rPr>
          <w:rFonts w:ascii="Times New Roman" w:cs="Times New Roman" w:eastAsia="Times New Roman" w:hAnsi="Times New Roman"/>
          <w:sz w:val="18"/>
          <w:szCs w:val="18"/>
          <w:color w:val="auto"/>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0" w:name="page171"/>
    <w:bookmarkEnd w:id="170"/>
    <w:p>
      <w:pPr>
        <w:ind w:right="120" w:firstLine="541"/>
        <w:spacing w:after="0" w:line="242" w:lineRule="auto"/>
        <w:rPr>
          <w:sz w:val="20"/>
          <w:szCs w:val="20"/>
          <w:color w:val="auto"/>
        </w:rPr>
      </w:pPr>
      <w:r>
        <w:rPr>
          <w:rFonts w:ascii="Times New Roman" w:cs="Times New Roman" w:eastAsia="Times New Roman" w:hAnsi="Times New Roman"/>
          <w:sz w:val="18"/>
          <w:szCs w:val="18"/>
          <w:color w:val="auto"/>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20" w:firstLine="541"/>
        <w:spacing w:after="0" w:line="251"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2" w:lineRule="exact"/>
        <w:rPr>
          <w:sz w:val="20"/>
          <w:szCs w:val="20"/>
          <w:color w:val="auto"/>
        </w:rPr>
      </w:pPr>
    </w:p>
    <w:p>
      <w:pPr>
        <w:ind w:left="540" w:firstLine="1073"/>
        <w:spacing w:after="0" w:line="237" w:lineRule="auto"/>
        <w:tabs>
          <w:tab w:leader="none" w:pos="228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179" w:lineRule="exact"/>
        <w:rPr>
          <w:rFonts w:ascii="Times New Roman" w:cs="Times New Roman" w:eastAsia="Times New Roman" w:hAnsi="Times New Roman"/>
          <w:sz w:val="18"/>
          <w:szCs w:val="18"/>
          <w:color w:val="auto"/>
        </w:rPr>
      </w:pPr>
    </w:p>
    <w:p>
      <w:pPr>
        <w:ind w:left="540" w:right="160" w:firstLine="1073"/>
        <w:spacing w:after="0" w:line="245" w:lineRule="auto"/>
        <w:tabs>
          <w:tab w:leader="none" w:pos="228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1" w:name="page172"/>
    <w:bookmarkEnd w:id="171"/>
    <w:p>
      <w:pPr>
        <w:ind w:right="40" w:firstLine="541"/>
        <w:spacing w:after="0" w:line="241" w:lineRule="auto"/>
        <w:rPr>
          <w:sz w:val="20"/>
          <w:szCs w:val="20"/>
          <w:color w:val="auto"/>
        </w:rPr>
      </w:pPr>
      <w:r>
        <w:rPr>
          <w:rFonts w:ascii="Times New Roman" w:cs="Times New Roman" w:eastAsia="Times New Roman" w:hAnsi="Times New Roman"/>
          <w:sz w:val="18"/>
          <w:szCs w:val="18"/>
          <w:color w:val="auto"/>
        </w:rPr>
        <w:t xml:space="preserve">Unless otherwise set forth in a Board Resolution or one or more indentures supplemental hereto establishing the terms of any series of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shall occur, if such Interest Payment Date is the first day of a month, or (ii) the first day of the month in which an Interest Payment Date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shall occur, if such Interest Payment Date is the fifteenth day of a month, whether or not such date is a Business Day.</w:t>
      </w:r>
    </w:p>
    <w:p>
      <w:pPr>
        <w:spacing w:after="0" w:line="172" w:lineRule="exact"/>
        <w:rPr>
          <w:sz w:val="20"/>
          <w:szCs w:val="20"/>
          <w:color w:val="auto"/>
        </w:rPr>
      </w:pPr>
    </w:p>
    <w:p>
      <w:pPr>
        <w:ind w:right="100" w:firstLine="541"/>
        <w:spacing w:after="0" w:line="267"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u w:val="single" w:color="auto"/>
          <w:color w:val="auto"/>
        </w:rPr>
        <w:t>Execution and Authentications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199" w:lineRule="exact"/>
        <w:rPr>
          <w:sz w:val="20"/>
          <w:szCs w:val="20"/>
          <w:color w:val="auto"/>
        </w:rPr>
      </w:pPr>
    </w:p>
    <w:p>
      <w:pPr>
        <w:ind w:firstLine="541"/>
        <w:spacing w:after="0" w:line="25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62" w:lineRule="exact"/>
        <w:rPr>
          <w:sz w:val="20"/>
          <w:szCs w:val="20"/>
          <w:color w:val="auto"/>
        </w:rPr>
      </w:pPr>
    </w:p>
    <w:p>
      <w:pPr>
        <w:ind w:right="60" w:firstLine="541"/>
        <w:spacing w:after="0" w:line="243"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69" w:lineRule="exact"/>
        <w:rPr>
          <w:sz w:val="20"/>
          <w:szCs w:val="20"/>
          <w:color w:val="auto"/>
        </w:rPr>
      </w:pPr>
    </w:p>
    <w:p>
      <w:pPr>
        <w:ind w:right="180" w:firstLine="541"/>
        <w:spacing w:after="0" w:line="243" w:lineRule="auto"/>
        <w:rPr>
          <w:sz w:val="20"/>
          <w:szCs w:val="20"/>
          <w:color w:val="auto"/>
        </w:rPr>
      </w:pPr>
      <w:r>
        <w:rPr>
          <w:rFonts w:ascii="Times New Roman" w:cs="Times New Roman" w:eastAsia="Times New Roman" w:hAnsi="Times New Roman"/>
          <w:sz w:val="18"/>
          <w:szCs w:val="18"/>
          <w:color w:val="auto"/>
        </w:rPr>
        <w:t xml:space="preserve">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ind w:right="260" w:firstLine="541"/>
        <w:spacing w:after="0" w:line="295"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7"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8"/>
          <w:szCs w:val="18"/>
          <w:u w:val="single" w:color="auto"/>
          <w:color w:val="auto"/>
        </w:rPr>
        <w:t>Registration of Transfer and Exchange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1072"/>
        <w:spacing w:after="0" w:line="243" w:lineRule="auto"/>
        <w:tabs>
          <w:tab w:leader="none" w:pos="164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9" w:lineRule="exact"/>
        <w:rPr>
          <w:rFonts w:ascii="Times New Roman" w:cs="Times New Roman" w:eastAsia="Times New Roman" w:hAnsi="Times New Roman"/>
          <w:sz w:val="18"/>
          <w:szCs w:val="18"/>
          <w:color w:val="auto"/>
        </w:rPr>
      </w:pPr>
    </w:p>
    <w:p>
      <w:pPr>
        <w:ind w:right="160" w:firstLine="1072"/>
        <w:spacing w:after="0" w:line="243" w:lineRule="auto"/>
        <w:tabs>
          <w:tab w:leader="none" w:pos="165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20" w:firstLine="541"/>
        <w:spacing w:after="0" w:line="251"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62" w:lineRule="exact"/>
        <w:rPr>
          <w:sz w:val="20"/>
          <w:szCs w:val="20"/>
          <w:color w:val="auto"/>
        </w:rPr>
      </w:pPr>
    </w:p>
    <w:p>
      <w:pPr>
        <w:ind w:right="100" w:firstLine="541"/>
        <w:spacing w:after="0" w:line="251"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62" w:lineRule="exact"/>
        <w:rPr>
          <w:sz w:val="20"/>
          <w:szCs w:val="20"/>
          <w:color w:val="auto"/>
        </w:rPr>
      </w:pPr>
    </w:p>
    <w:p>
      <w:pPr>
        <w:ind w:firstLine="1072"/>
        <w:spacing w:after="0" w:line="245" w:lineRule="auto"/>
        <w:tabs>
          <w:tab w:leader="none" w:pos="164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not involving any transfer.</w:t>
      </w: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3" w:name="page174"/>
    <w:bookmarkEnd w:id="173"/>
    <w:p>
      <w:pPr>
        <w:ind w:firstLine="1072"/>
        <w:spacing w:after="0" w:line="242" w:lineRule="auto"/>
        <w:tabs>
          <w:tab w:leader="none" w:pos="165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are, with respect to any Global Security,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hereof.</w:t>
      </w:r>
    </w:p>
    <w:p>
      <w:pPr>
        <w:spacing w:after="0" w:line="173" w:lineRule="exact"/>
        <w:rPr>
          <w:sz w:val="20"/>
          <w:szCs w:val="20"/>
          <w:color w:val="auto"/>
        </w:rPr>
      </w:pPr>
    </w:p>
    <w:p>
      <w:pPr>
        <w:ind w:right="40" w:firstLine="541"/>
        <w:spacing w:after="0" w:line="243"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Neither the Trustee nor any Agent shall have any responsibility or liability for any actions taken or not taken by the Depositary.</w:t>
      </w:r>
    </w:p>
    <w:p>
      <w:pPr>
        <w:spacing w:after="0" w:line="19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u w:val="single" w:color="auto"/>
          <w:color w:val="auto"/>
        </w:rPr>
        <w:t>Temporary Securities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20" w:firstLine="541"/>
        <w:spacing w:after="0" w:line="238"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u w:val="single" w:color="auto"/>
          <w:color w:val="auto"/>
        </w:rPr>
        <w:t>Mutilated, Destroyed, Lost or Stolen Securities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73" w:lineRule="exact"/>
        <w:rPr>
          <w:sz w:val="20"/>
          <w:szCs w:val="20"/>
          <w:color w:val="auto"/>
        </w:rPr>
      </w:pPr>
    </w:p>
    <w:p>
      <w:pPr>
        <w:ind w:right="20" w:firstLine="541"/>
        <w:spacing w:after="0" w:line="243" w:lineRule="auto"/>
        <w:rPr>
          <w:sz w:val="20"/>
          <w:szCs w:val="20"/>
          <w:color w:val="auto"/>
        </w:rPr>
      </w:pPr>
      <w:r>
        <w:rPr>
          <w:rFonts w:ascii="Times New Roman" w:cs="Times New Roman" w:eastAsia="Times New Roman" w:hAnsi="Times New Roman"/>
          <w:sz w:val="18"/>
          <w:szCs w:val="18"/>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69"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73"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80" w:firstLine="541"/>
        <w:spacing w:after="0"/>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ind w:left="550"/>
        <w:spacing w:after="0"/>
        <w:tabs>
          <w:tab w:leader="none" w:pos="1729"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0" w:right="60" w:firstLine="541"/>
        <w:spacing w:after="0" w:line="243" w:lineRule="auto"/>
        <w:rPr>
          <w:sz w:val="20"/>
          <w:szCs w:val="20"/>
          <w:color w:val="auto"/>
        </w:rPr>
      </w:pPr>
      <w:r>
        <w:rPr>
          <w:rFonts w:ascii="Times New Roman" w:cs="Times New Roman" w:eastAsia="Times New Roman" w:hAnsi="Times New Roman"/>
          <w:sz w:val="18"/>
          <w:szCs w:val="18"/>
          <w:color w:val="auto"/>
        </w:rPr>
        <w:t xml:space="preserve">Nothing in this Indenture or in the Securities, express or implied, shall give or be construed to give to any Person, other than the parties hereto and the holders of the Securities (and, with respect to the provisions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the holders of any indebtedness of the Company to which the Securities of any series are subordinated).</w:t>
      </w:r>
    </w:p>
    <w:p>
      <w:pPr>
        <w:spacing w:after="0" w:line="169" w:lineRule="exact"/>
        <w:rPr>
          <w:sz w:val="20"/>
          <w:szCs w:val="20"/>
          <w:color w:val="auto"/>
        </w:rPr>
      </w:pPr>
    </w:p>
    <w:p>
      <w:pPr>
        <w:ind w:left="550"/>
        <w:spacing w:after="0"/>
        <w:tabs>
          <w:tab w:leader="none" w:pos="1729"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Authenticating Agent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left="10" w:right="40" w:firstLine="541"/>
        <w:spacing w:after="0" w:line="239"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73" w:lineRule="exact"/>
        <w:rPr>
          <w:sz w:val="20"/>
          <w:szCs w:val="20"/>
          <w:color w:val="auto"/>
        </w:rPr>
      </w:pPr>
    </w:p>
    <w:p>
      <w:pPr>
        <w:ind w:left="10" w:right="100" w:firstLine="541"/>
        <w:spacing w:after="0" w:line="241"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3" w:lineRule="exact"/>
        <w:rPr>
          <w:sz w:val="20"/>
          <w:szCs w:val="20"/>
          <w:color w:val="auto"/>
        </w:rPr>
      </w:pPr>
    </w:p>
    <w:p>
      <w:pPr>
        <w:ind w:left="550"/>
        <w:spacing w:after="0"/>
        <w:tabs>
          <w:tab w:leader="none" w:pos="1729"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10" w:firstLine="1072"/>
        <w:spacing w:after="0" w:line="255" w:lineRule="auto"/>
        <w:tabs>
          <w:tab w:leader="none" w:pos="1652"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shall establish pursuant to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that the Securities of a particular series are to be issued as a Global Security, then the Company shall execute and the Trustee shall, in accordance with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w:t>
      </w:r>
    </w:p>
    <w:p>
      <w:pPr>
        <w:ind w:left="10" w:right="20" w:hanging="10"/>
        <w:spacing w:after="0" w:line="272" w:lineRule="auto"/>
        <w:tabs>
          <w:tab w:leader="none" w:pos="31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bear a legend substantially to the following effect: “Except as otherwise provided in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of the Indenture, this Security may be transferred, in whole but not in part, only to another nominee of the Depositary or to a successor Depositary or to a nominee of such successor Depositary.”</w:t>
      </w:r>
    </w:p>
    <w:p>
      <w:pPr>
        <w:spacing w:after="0" w:line="297"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30"/>
          </w:cols>
          <w:pgMar w:left="310" w:top="118" w:right="359" w:bottom="1440" w:gutter="0" w:footer="0" w:header="0"/>
        </w:sectPr>
      </w:pPr>
    </w:p>
    <w:bookmarkStart w:id="176" w:name="page177"/>
    <w:bookmarkEnd w:id="176"/>
    <w:p>
      <w:pPr>
        <w:ind w:firstLine="1072"/>
        <w:spacing w:after="0" w:line="250" w:lineRule="auto"/>
        <w:tabs>
          <w:tab w:leader="none" w:pos="165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the Global Security of a series may be transferred, in whole but not in part and in the manner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only to another nominee of the Depositary for such series, or to a successor Depositary for such series selected or approved by the Company or to a nominee of such successor Depositary.</w:t>
      </w:r>
    </w:p>
    <w:p>
      <w:pPr>
        <w:spacing w:after="0" w:line="163" w:lineRule="exact"/>
        <w:rPr>
          <w:rFonts w:ascii="Times New Roman" w:cs="Times New Roman" w:eastAsia="Times New Roman" w:hAnsi="Times New Roman"/>
          <w:sz w:val="18"/>
          <w:szCs w:val="18"/>
          <w:color w:val="auto"/>
        </w:rPr>
      </w:pPr>
    </w:p>
    <w:p>
      <w:pPr>
        <w:ind w:firstLine="1072"/>
        <w:spacing w:after="0" w:line="237" w:lineRule="auto"/>
        <w:tabs>
          <w:tab w:leader="none" w:pos="164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no longer be applicable to the Securities of such series and the Company will execute, and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no longer apply to the Securities of such series. In such event the Company will execute and,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541"/>
        <w:spacing w:after="0" w:line="267" w:lineRule="auto"/>
        <w:rPr>
          <w:sz w:val="20"/>
          <w:szCs w:val="20"/>
          <w:color w:val="auto"/>
        </w:rPr>
      </w:pPr>
      <w:r>
        <w:rPr>
          <w:rFonts w:ascii="Times New Roman" w:cs="Times New Roman" w:eastAsia="Times New Roman" w:hAnsi="Times New Roman"/>
          <w:sz w:val="18"/>
          <w:szCs w:val="18"/>
          <w:color w:val="auto"/>
        </w:rPr>
        <w:t xml:space="preserve">The Company may redeem the Securities of any series issued hereunder on and after the dates and in accordance with the terms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1072"/>
        <w:spacing w:after="0" w:line="238" w:lineRule="auto"/>
        <w:tabs>
          <w:tab w:leader="none" w:pos="164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4" w:lineRule="exact"/>
        <w:rPr>
          <w:sz w:val="20"/>
          <w:szCs w:val="20"/>
          <w:color w:val="auto"/>
        </w:rPr>
      </w:pPr>
    </w:p>
    <w:p>
      <w:pPr>
        <w:ind w:right="120" w:firstLine="541"/>
        <w:spacing w:after="0" w:line="241"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73" w:lineRule="exact"/>
        <w:rPr>
          <w:sz w:val="20"/>
          <w:szCs w:val="20"/>
          <w:color w:val="auto"/>
        </w:rPr>
      </w:pPr>
    </w:p>
    <w:p>
      <w:pPr>
        <w:jc w:val="both"/>
        <w:ind w:right="140" w:firstLine="541"/>
        <w:spacing w:after="0" w:line="251"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2" w:lineRule="exact"/>
        <w:rPr>
          <w:sz w:val="20"/>
          <w:szCs w:val="20"/>
          <w:color w:val="auto"/>
        </w:rPr>
      </w:pPr>
    </w:p>
    <w:p>
      <w:pPr>
        <w:ind w:firstLine="1072"/>
        <w:spacing w:after="0" w:line="238" w:lineRule="auto"/>
        <w:tabs>
          <w:tab w:leader="none" w:pos="165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8"/>
          <w:szCs w:val="18"/>
          <w:u w:val="single" w:color="auto"/>
          <w:color w:val="auto"/>
        </w:rPr>
        <w:t>Payment Upon Redemption</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80" w:firstLine="1072"/>
        <w:spacing w:after="0" w:line="239" w:lineRule="auto"/>
        <w:tabs>
          <w:tab w:leader="none" w:pos="164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80" w:firstLine="1072"/>
        <w:spacing w:after="0" w:line="251" w:lineRule="auto"/>
        <w:tabs>
          <w:tab w:leader="none" w:pos="165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62"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Sinking Fund</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541"/>
        <w:spacing w:after="0" w:line="267" w:lineRule="auto"/>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shall be applicable to any sinking fund for the retirement of Securities of a series, except as otherwise specified as contemplated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for Securities of such series.</w:t>
      </w:r>
    </w:p>
    <w:p>
      <w:pPr>
        <w:spacing w:after="0" w:line="148" w:lineRule="exact"/>
        <w:rPr>
          <w:sz w:val="20"/>
          <w:szCs w:val="20"/>
          <w:color w:val="auto"/>
        </w:rPr>
      </w:pPr>
    </w:p>
    <w:p>
      <w:pPr>
        <w:ind w:right="40" w:firstLine="541"/>
        <w:spacing w:after="0" w:line="243" w:lineRule="auto"/>
        <w:rPr>
          <w:sz w:val="20"/>
          <w:szCs w:val="20"/>
          <w:color w:val="auto"/>
        </w:rPr>
      </w:pPr>
      <w:r>
        <w:rPr>
          <w:rFonts w:ascii="Times New Roman" w:cs="Times New Roman" w:eastAsia="Times New Roman" w:hAnsi="Times New Roman"/>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sinking fund payment shall be applied to the redemption of Securities of any series as provided for by the terms of Securities of such series.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9" w:name="page180"/>
    <w:bookmarkEnd w:id="179"/>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40" w:firstLine="541"/>
        <w:spacing w:after="0" w:line="241" w:lineRule="auto"/>
        <w:rPr>
          <w:sz w:val="20"/>
          <w:szCs w:val="20"/>
          <w:color w:val="auto"/>
        </w:rPr>
      </w:pPr>
      <w:r>
        <w:rPr>
          <w:rFonts w:ascii="Times New Roman" w:cs="Times New Roman" w:eastAsia="Times New Roman" w:hAnsi="Times New Roman"/>
          <w:sz w:val="18"/>
          <w:szCs w:val="18"/>
          <w:color w:val="auto"/>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73"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40" w:firstLine="541"/>
        <w:spacing w:after="0" w:line="242" w:lineRule="auto"/>
        <w:rPr>
          <w:sz w:val="20"/>
          <w:szCs w:val="20"/>
          <w:color w:val="auto"/>
        </w:rPr>
      </w:pPr>
      <w:r>
        <w:rPr>
          <w:rFonts w:ascii="Times New Roman" w:cs="Times New Roman" w:eastAsia="Times New Roman" w:hAnsi="Times New Roman"/>
          <w:sz w:val="18"/>
          <w:szCs w:val="18"/>
          <w:color w:val="auto"/>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Times New Roman" w:cs="Times New Roman" w:eastAsia="Times New Roman" w:hAnsi="Times New Roman"/>
          <w:sz w:val="18"/>
          <w:szCs w:val="18"/>
          <w:u w:val="single" w:color="auto"/>
          <w:color w:val="auto"/>
        </w:rPr>
        <w:t>Section</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40" w:firstLine="541"/>
        <w:spacing w:after="0" w:line="239"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0" w:name="page181"/>
    <w:bookmarkEnd w:id="180"/>
    <w:p>
      <w:pPr>
        <w:ind w:left="550"/>
        <w:spacing w:after="0"/>
        <w:tabs>
          <w:tab w:leader="none" w:pos="1729"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0" w:firstLine="541"/>
        <w:spacing w:after="0" w:line="246" w:lineRule="auto"/>
        <w:rPr>
          <w:sz w:val="20"/>
          <w:szCs w:val="20"/>
          <w:color w:val="auto"/>
        </w:rPr>
      </w:pPr>
      <w:r>
        <w:rPr>
          <w:rFonts w:ascii="Times New Roman" w:cs="Times New Roman" w:eastAsia="Times New Roman" w:hAnsi="Times New Roman"/>
          <w:sz w:val="18"/>
          <w:szCs w:val="18"/>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where (i) Securities of that series may be presented for payment,</w:t>
      </w:r>
    </w:p>
    <w:p>
      <w:pPr>
        <w:spacing w:after="0" w:line="1" w:lineRule="exact"/>
        <w:rPr>
          <w:sz w:val="20"/>
          <w:szCs w:val="20"/>
          <w:color w:val="auto"/>
        </w:rPr>
      </w:pPr>
    </w:p>
    <w:p>
      <w:pPr>
        <w:ind w:left="10" w:hanging="10"/>
        <w:spacing w:after="0" w:line="237" w:lineRule="auto"/>
        <w:tabs>
          <w:tab w:leader="none" w:pos="27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73" w:lineRule="exact"/>
        <w:rPr>
          <w:sz w:val="20"/>
          <w:szCs w:val="20"/>
          <w:color w:val="auto"/>
        </w:rPr>
      </w:pPr>
    </w:p>
    <w:p>
      <w:pPr>
        <w:ind w:left="550"/>
        <w:spacing w:after="0"/>
        <w:tabs>
          <w:tab w:leader="none" w:pos="1729"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u w:val="single" w:color="auto"/>
          <w:color w:val="auto"/>
        </w:rPr>
        <w:t>Paying Agents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left="10" w:right="140" w:firstLine="1072"/>
        <w:spacing w:after="0" w:line="251" w:lineRule="auto"/>
        <w:tabs>
          <w:tab w:leader="none" w:pos="165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61" w:lineRule="exact"/>
        <w:rPr>
          <w:rFonts w:ascii="Times New Roman" w:cs="Times New Roman" w:eastAsia="Times New Roman" w:hAnsi="Times New Roman"/>
          <w:sz w:val="18"/>
          <w:szCs w:val="18"/>
          <w:color w:val="auto"/>
        </w:rPr>
      </w:pPr>
    </w:p>
    <w:p>
      <w:pPr>
        <w:ind w:left="550" w:right="20" w:firstLine="1073"/>
        <w:spacing w:after="0" w:line="251" w:lineRule="auto"/>
        <w:tabs>
          <w:tab w:leader="none" w:pos="229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61" w:lineRule="exact"/>
        <w:rPr>
          <w:rFonts w:ascii="Times New Roman" w:cs="Times New Roman" w:eastAsia="Times New Roman" w:hAnsi="Times New Roman"/>
          <w:sz w:val="18"/>
          <w:szCs w:val="18"/>
          <w:color w:val="auto"/>
        </w:rPr>
      </w:pPr>
    </w:p>
    <w:p>
      <w:pPr>
        <w:ind w:left="550" w:right="160" w:firstLine="1073"/>
        <w:spacing w:after="0" w:line="267" w:lineRule="auto"/>
        <w:tabs>
          <w:tab w:leader="none" w:pos="229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7" w:lineRule="exact"/>
        <w:rPr>
          <w:rFonts w:ascii="Times New Roman" w:cs="Times New Roman" w:eastAsia="Times New Roman" w:hAnsi="Times New Roman"/>
          <w:sz w:val="18"/>
          <w:szCs w:val="18"/>
          <w:color w:val="auto"/>
        </w:rPr>
      </w:pPr>
    </w:p>
    <w:p>
      <w:pPr>
        <w:ind w:left="550" w:right="160" w:firstLine="1073"/>
        <w:spacing w:after="0" w:line="267" w:lineRule="auto"/>
        <w:tabs>
          <w:tab w:leader="none" w:pos="229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147" w:lineRule="exact"/>
        <w:rPr>
          <w:rFonts w:ascii="Times New Roman" w:cs="Times New Roman" w:eastAsia="Times New Roman" w:hAnsi="Times New Roman"/>
          <w:sz w:val="18"/>
          <w:szCs w:val="18"/>
          <w:color w:val="auto"/>
        </w:rPr>
      </w:pPr>
    </w:p>
    <w:p>
      <w:pPr>
        <w:ind w:left="550" w:right="80" w:firstLine="1073"/>
        <w:spacing w:after="0" w:line="267" w:lineRule="auto"/>
        <w:tabs>
          <w:tab w:leader="none" w:pos="229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any receivership, insolvency, liquidation, bankruptcy, reorganization, readjustment, arrangement, composition or judicial proceedings affecting the Company, the Trustee will automatically be the Paying Agent; and</w:t>
      </w:r>
    </w:p>
    <w:p>
      <w:pPr>
        <w:spacing w:after="0" w:line="147" w:lineRule="exact"/>
        <w:rPr>
          <w:rFonts w:ascii="Times New Roman" w:cs="Times New Roman" w:eastAsia="Times New Roman" w:hAnsi="Times New Roman"/>
          <w:sz w:val="18"/>
          <w:szCs w:val="18"/>
          <w:color w:val="auto"/>
        </w:rPr>
      </w:pPr>
    </w:p>
    <w:p>
      <w:pPr>
        <w:ind w:left="2290" w:hanging="667"/>
        <w:spacing w:after="0"/>
        <w:tabs>
          <w:tab w:leader="none" w:pos="229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198" w:lineRule="exact"/>
        <w:rPr>
          <w:rFonts w:ascii="Times New Roman" w:cs="Times New Roman" w:eastAsia="Times New Roman" w:hAnsi="Times New Roman"/>
          <w:sz w:val="18"/>
          <w:szCs w:val="18"/>
          <w:color w:val="auto"/>
        </w:rPr>
      </w:pPr>
    </w:p>
    <w:p>
      <w:pPr>
        <w:ind w:left="10" w:right="40" w:firstLine="1072"/>
        <w:spacing w:after="0" w:line="239" w:lineRule="auto"/>
        <w:tabs>
          <w:tab w:leader="none" w:pos="166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328"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5180" cy="146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10"/>
          </w:cols>
          <w:pgMar w:left="310" w:top="118" w:right="379" w:bottom="1440" w:gutter="0" w:footer="0" w:header="0"/>
        </w:sectPr>
      </w:pPr>
    </w:p>
    <w:bookmarkStart w:id="181" w:name="page182"/>
    <w:bookmarkEnd w:id="181"/>
    <w:p>
      <w:pPr>
        <w:ind w:firstLine="1072"/>
        <w:spacing w:after="0" w:line="241" w:lineRule="auto"/>
        <w:tabs>
          <w:tab w:leader="none" w:pos="164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Section to the contrary, (i) the agreement to hold sums in trust as provided in this Section is subject to the provisions of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73" w:lineRule="exact"/>
        <w:rPr>
          <w:rFonts w:ascii="Times New Roman" w:cs="Times New Roman" w:eastAsia="Times New Roman" w:hAnsi="Times New Roman"/>
          <w:sz w:val="18"/>
          <w:szCs w:val="18"/>
          <w:color w:val="auto"/>
        </w:rPr>
      </w:pPr>
    </w:p>
    <w:p>
      <w:pPr>
        <w:ind w:left="1640" w:hanging="568"/>
        <w:spacing w:after="0"/>
        <w:tabs>
          <w:tab w:leader="none" w:pos="16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initially appoints the Trustee at its Corporate Trust Office as its paying agent with respect to the Securities.</w:t>
      </w:r>
    </w:p>
    <w:p>
      <w:pPr>
        <w:spacing w:after="0" w:line="19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u w:val="single" w:color="auto"/>
          <w:color w:val="auto"/>
        </w:rPr>
        <w:t>Appointment to Fill Vacancy in Office of Trustee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560" w:firstLine="541"/>
        <w:spacing w:after="0" w:line="267" w:lineRule="auto"/>
        <w:rPr>
          <w:sz w:val="20"/>
          <w:szCs w:val="20"/>
          <w:color w:val="auto"/>
        </w:rPr>
      </w:pPr>
      <w:r>
        <w:rPr>
          <w:rFonts w:ascii="Times New Roman" w:cs="Times New Roman" w:eastAsia="Times New Roman" w:hAnsi="Times New Roman"/>
          <w:sz w:val="18"/>
          <w:szCs w:val="18"/>
          <w:color w:val="auto"/>
        </w:rPr>
        <w:t xml:space="preserve">The Company, whenever necessary to avoid or fill a vacancy in the office of Trustee, will appoint, in the manner provided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a Trustee, so that there shall at all times be a Trustee hereunder.</w:t>
      </w:r>
    </w:p>
    <w:p>
      <w:pPr>
        <w:spacing w:after="0" w:line="14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Compliance with Consolidation Provisions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40" w:firstLine="541"/>
        <w:spacing w:after="0" w:line="251" w:lineRule="auto"/>
        <w:rPr>
          <w:sz w:val="20"/>
          <w:szCs w:val="20"/>
          <w:color w:val="auto"/>
        </w:rPr>
      </w:pPr>
      <w:r>
        <w:rPr>
          <w:rFonts w:ascii="Times New Roman" w:cs="Times New Roman" w:eastAsia="Times New Roman" w:hAnsi="Times New Roman"/>
          <w:sz w:val="18"/>
          <w:szCs w:val="18"/>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hereof are complied with.</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 THE TRUSTEE</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8"/>
          <w:szCs w:val="18"/>
          <w:u w:val="single" w:color="auto"/>
          <w:color w:val="auto"/>
        </w:rPr>
        <w:t>Company to Furnish Trustee Names and Addresses of Securityholders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 xml:space="preserve">The Company will furnish or cause to be furnished to the Trustee (a) within 5 days after each regular record date (as defined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 list, in such form as the Trustee may reasonably require, of the names and addresses of the holders of each series of Securities as of such regular record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shall not be obligated to furnish or cause to be furnished such list at any time that the list shall not differ in any respect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either case, no such list need be furnished for any series for which the Trustee shall be the Security Registrar.</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82" w:name="page183"/>
    <w:bookmarkEnd w:id="182"/>
    <w:p>
      <w:pPr>
        <w:ind w:left="4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8"/>
          <w:szCs w:val="18"/>
          <w:u w:val="single" w:color="auto"/>
          <w:color w:val="auto"/>
        </w:rPr>
        <w:t>Preservation Of Information; Communications With Securityholders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80" w:right="60" w:firstLine="1072"/>
        <w:spacing w:after="0" w:line="251" w:lineRule="auto"/>
        <w:tabs>
          <w:tab w:leader="none" w:pos="156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as to the names and addresses of holders of Securities received by the Trustee in its capacity as Security Registrar (if acting in such capacity).</w:t>
      </w:r>
    </w:p>
    <w:p>
      <w:pPr>
        <w:spacing w:after="0" w:line="161" w:lineRule="exact"/>
        <w:rPr>
          <w:rFonts w:ascii="Times New Roman" w:cs="Times New Roman" w:eastAsia="Times New Roman" w:hAnsi="Times New Roman"/>
          <w:sz w:val="18"/>
          <w:szCs w:val="18"/>
          <w:color w:val="auto"/>
        </w:rPr>
      </w:pPr>
    </w:p>
    <w:p>
      <w:pPr>
        <w:ind w:left="1560" w:hanging="568"/>
        <w:spacing w:after="0"/>
        <w:tabs>
          <w:tab w:leader="none" w:pos="15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destroy any list furnished to it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upon receipt of a new list so furnished.</w:t>
      </w:r>
    </w:p>
    <w:p>
      <w:pPr>
        <w:spacing w:after="0" w:line="198" w:lineRule="exact"/>
        <w:rPr>
          <w:rFonts w:ascii="Times New Roman" w:cs="Times New Roman" w:eastAsia="Times New Roman" w:hAnsi="Times New Roman"/>
          <w:sz w:val="18"/>
          <w:szCs w:val="18"/>
          <w:color w:val="auto"/>
        </w:rPr>
      </w:pPr>
    </w:p>
    <w:p>
      <w:pPr>
        <w:jc w:val="both"/>
        <w:ind w:left="-80" w:right="20" w:firstLine="1072"/>
        <w:spacing w:after="0" w:line="251" w:lineRule="auto"/>
        <w:tabs>
          <w:tab w:leader="none" w:pos="156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2" w:lineRule="exact"/>
        <w:rPr>
          <w:sz w:val="20"/>
          <w:szCs w:val="20"/>
          <w:color w:val="auto"/>
        </w:rPr>
      </w:pPr>
    </w:p>
    <w:p>
      <w:pPr>
        <w:ind w:left="4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8"/>
          <w:szCs w:val="18"/>
          <w:u w:val="single" w:color="auto"/>
          <w:color w:val="auto"/>
        </w:rPr>
        <w:t>Reports by the Company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80" w:firstLine="1072"/>
        <w:spacing w:after="0" w:line="238" w:lineRule="auto"/>
        <w:tabs>
          <w:tab w:leader="none" w:pos="156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Company shall not be required to deliver to the Trustee any materials for which the Company has sought and received confidential treatment by the Commission;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80" w:right="180" w:firstLine="1072"/>
        <w:spacing w:after="0" w:line="245" w:lineRule="auto"/>
        <w:tabs>
          <w:tab w:leader="none" w:pos="157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reports, information and documents to the Trustee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31115</wp:posOffset>
            </wp:positionV>
            <wp:extent cx="7155180" cy="14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80"/>
          </w:cols>
          <w:pgMar w:left="400" w:top="118" w:right="419" w:bottom="1440" w:gutter="0" w:footer="0" w:header="0"/>
        </w:sectPr>
      </w:pPr>
    </w:p>
    <w:bookmarkStart w:id="183" w:name="page184"/>
    <w:bookmarkEnd w:id="183"/>
    <w:p>
      <w:pPr>
        <w:ind w:left="52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7"/>
          <w:szCs w:val="17"/>
          <w:u w:val="single" w:color="auto"/>
          <w:color w:val="auto"/>
        </w:rPr>
        <w:t>Reports by the Trustee</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20" w:right="220" w:firstLine="1072"/>
        <w:spacing w:after="0" w:line="245" w:lineRule="auto"/>
        <w:tabs>
          <w:tab w:leader="none" w:pos="162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168" w:lineRule="exact"/>
        <w:rPr>
          <w:rFonts w:ascii="Times New Roman" w:cs="Times New Roman" w:eastAsia="Times New Roman" w:hAnsi="Times New Roman"/>
          <w:sz w:val="18"/>
          <w:szCs w:val="18"/>
          <w:color w:val="auto"/>
        </w:rPr>
      </w:pPr>
    </w:p>
    <w:p>
      <w:pPr>
        <w:ind w:left="1620" w:hanging="568"/>
        <w:spacing w:after="0"/>
        <w:tabs>
          <w:tab w:leader="none" w:pos="1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198" w:lineRule="exact"/>
        <w:rPr>
          <w:rFonts w:ascii="Times New Roman" w:cs="Times New Roman" w:eastAsia="Times New Roman" w:hAnsi="Times New Roman"/>
          <w:sz w:val="18"/>
          <w:szCs w:val="18"/>
          <w:color w:val="auto"/>
        </w:rPr>
      </w:pPr>
    </w:p>
    <w:p>
      <w:pPr>
        <w:ind w:left="-20" w:right="60" w:firstLine="1072"/>
        <w:spacing w:after="0" w:line="251" w:lineRule="auto"/>
        <w:tabs>
          <w:tab w:leader="none" w:pos="162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EVENT OF DEFAULT</w:t>
      </w:r>
    </w:p>
    <w:p>
      <w:pPr>
        <w:spacing w:after="0" w:line="179" w:lineRule="exact"/>
        <w:rPr>
          <w:sz w:val="20"/>
          <w:szCs w:val="20"/>
          <w:color w:val="auto"/>
        </w:rPr>
      </w:pPr>
    </w:p>
    <w:p>
      <w:pPr>
        <w:ind w:left="52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20" w:right="180" w:firstLine="1072"/>
        <w:spacing w:after="0" w:line="271" w:lineRule="auto"/>
        <w:tabs>
          <w:tab w:leader="none" w:pos="162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one or more of the following events that has occurred and is continuing:</w:t>
      </w:r>
    </w:p>
    <w:p>
      <w:pPr>
        <w:spacing w:after="0" w:line="145" w:lineRule="exact"/>
        <w:rPr>
          <w:rFonts w:ascii="Times New Roman" w:cs="Times New Roman" w:eastAsia="Times New Roman" w:hAnsi="Times New Roman"/>
          <w:sz w:val="18"/>
          <w:szCs w:val="18"/>
          <w:color w:val="auto"/>
        </w:rPr>
      </w:pPr>
    </w:p>
    <w:p>
      <w:pPr>
        <w:ind w:left="520" w:firstLine="1073"/>
        <w:spacing w:after="0" w:line="245" w:lineRule="auto"/>
        <w:tabs>
          <w:tab w:leader="none" w:pos="2263"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defaults in the payment of any installment of interest upon any of the Securities of that series, as and when the same shall become due and payable, and such default continues for a period of 90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valid extension of an interest payment period by the Company in accordance with the terms of any indenture supplemental hereto shall not constitute a default in the payment of interest for this purpose;</w:t>
      </w:r>
    </w:p>
    <w:p>
      <w:pPr>
        <w:spacing w:after="0" w:line="168" w:lineRule="exact"/>
        <w:rPr>
          <w:rFonts w:ascii="Times New Roman" w:cs="Times New Roman" w:eastAsia="Times New Roman" w:hAnsi="Times New Roman"/>
          <w:sz w:val="18"/>
          <w:szCs w:val="18"/>
          <w:color w:val="auto"/>
        </w:rPr>
      </w:pPr>
    </w:p>
    <w:p>
      <w:pPr>
        <w:ind w:left="520" w:right="40" w:firstLine="1073"/>
        <w:spacing w:after="0" w:line="245" w:lineRule="auto"/>
        <w:tabs>
          <w:tab w:leader="none" w:pos="2263"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valid extension of the maturity of such Securities in accordance with the terms of any indenture supplemental hereto shall not constitute a default in the payment of principal or premium, if any;</w:t>
      </w:r>
    </w:p>
    <w:p>
      <w:pPr>
        <w:spacing w:after="0" w:line="168" w:lineRule="exact"/>
        <w:rPr>
          <w:rFonts w:ascii="Times New Roman" w:cs="Times New Roman" w:eastAsia="Times New Roman" w:hAnsi="Times New Roman"/>
          <w:sz w:val="18"/>
          <w:szCs w:val="18"/>
          <w:color w:val="auto"/>
        </w:rPr>
      </w:pPr>
    </w:p>
    <w:p>
      <w:pPr>
        <w:ind w:left="520" w:right="120" w:firstLine="1073"/>
        <w:spacing w:after="0" w:line="241" w:lineRule="auto"/>
        <w:tabs>
          <w:tab w:leader="none" w:pos="2263"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hereunder, shall have been given to the Company by the Trustee or to the Company and the Trustee by the holders of at least 25% in principal amount of the Securities of that series at the time Outstanding;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31115</wp:posOffset>
            </wp:positionV>
            <wp:extent cx="7155180"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184" w:name="page185"/>
    <w:bookmarkEnd w:id="184"/>
    <w:p>
      <w:pPr>
        <w:ind w:left="540" w:right="20" w:firstLine="1073"/>
        <w:spacing w:after="0" w:line="250" w:lineRule="auto"/>
        <w:tabs>
          <w:tab w:leader="none" w:pos="2283"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63" w:lineRule="exact"/>
        <w:rPr>
          <w:rFonts w:ascii="Times New Roman" w:cs="Times New Roman" w:eastAsia="Times New Roman" w:hAnsi="Times New Roman"/>
          <w:sz w:val="18"/>
          <w:szCs w:val="18"/>
          <w:color w:val="auto"/>
        </w:rPr>
      </w:pPr>
    </w:p>
    <w:p>
      <w:pPr>
        <w:jc w:val="both"/>
        <w:ind w:left="540" w:right="160" w:firstLine="1073"/>
        <w:spacing w:after="0" w:line="251" w:lineRule="auto"/>
        <w:tabs>
          <w:tab w:leader="none" w:pos="2283"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61" w:lineRule="exact"/>
        <w:rPr>
          <w:rFonts w:ascii="Times New Roman" w:cs="Times New Roman" w:eastAsia="Times New Roman" w:hAnsi="Times New Roman"/>
          <w:sz w:val="18"/>
          <w:szCs w:val="18"/>
          <w:color w:val="auto"/>
        </w:rPr>
      </w:pPr>
    </w:p>
    <w:p>
      <w:pPr>
        <w:ind w:right="20" w:firstLine="1072"/>
        <w:spacing w:after="0"/>
        <w:tabs>
          <w:tab w:leader="none" w:pos="165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73" w:lineRule="exact"/>
        <w:rPr>
          <w:rFonts w:ascii="Times New Roman" w:cs="Times New Roman" w:eastAsia="Times New Roman" w:hAnsi="Times New Roman"/>
          <w:sz w:val="18"/>
          <w:szCs w:val="18"/>
          <w:color w:val="auto"/>
        </w:rPr>
      </w:pPr>
    </w:p>
    <w:p>
      <w:pPr>
        <w:ind w:firstLine="1072"/>
        <w:spacing w:after="0" w:line="238" w:lineRule="auto"/>
        <w:tabs>
          <w:tab w:leader="none" w:pos="164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199" w:lineRule="exact"/>
        <w:rPr>
          <w:sz w:val="20"/>
          <w:szCs w:val="20"/>
          <w:color w:val="auto"/>
        </w:rPr>
      </w:pPr>
    </w:p>
    <w:p>
      <w:pPr>
        <w:ind w:right="60" w:firstLine="1072"/>
        <w:spacing w:after="0" w:line="243" w:lineRule="auto"/>
        <w:tabs>
          <w:tab w:leader="none" w:pos="165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5" w:name="page186"/>
    <w:bookmarkEnd w:id="185"/>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60" w:firstLine="1072"/>
        <w:spacing w:after="0" w:line="241" w:lineRule="auto"/>
        <w:tabs>
          <w:tab w:leader="none" w:pos="164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firstLine="1072"/>
        <w:spacing w:after="0" w:line="243" w:lineRule="auto"/>
        <w:tabs>
          <w:tab w:leader="none" w:pos="165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69" w:lineRule="exact"/>
        <w:rPr>
          <w:rFonts w:ascii="Times New Roman" w:cs="Times New Roman" w:eastAsia="Times New Roman" w:hAnsi="Times New Roman"/>
          <w:sz w:val="18"/>
          <w:szCs w:val="18"/>
          <w:color w:val="auto"/>
        </w:rPr>
      </w:pPr>
    </w:p>
    <w:p>
      <w:pPr>
        <w:ind w:right="140" w:firstLine="1072"/>
        <w:spacing w:after="0" w:line="261" w:lineRule="auto"/>
        <w:tabs>
          <w:tab w:leader="none" w:pos="1642"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any receivership, insolvency, liquidation, bankruptcy, reorganization, readjustment, arrangement, composition or judicial proceedings affecting the Company, or its creditors or property, irrespective of whether the Trustee shall have made any demand pursuant to this Section</w:t>
      </w:r>
    </w:p>
    <w:p>
      <w:pPr>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6" w:name="page187"/>
    <w:bookmarkEnd w:id="186"/>
    <w:p>
      <w:pPr>
        <w:ind w:firstLine="1072"/>
        <w:spacing w:after="0" w:line="242" w:lineRule="auto"/>
        <w:tabs>
          <w:tab w:leader="none" w:pos="165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be for the ratable benefit of the holders of the Securities of such series.</w:t>
      </w:r>
    </w:p>
    <w:p>
      <w:pPr>
        <w:spacing w:after="0" w:line="172" w:lineRule="exact"/>
        <w:rPr>
          <w:sz w:val="20"/>
          <w:szCs w:val="20"/>
          <w:color w:val="auto"/>
        </w:rPr>
      </w:pPr>
    </w:p>
    <w:p>
      <w:pPr>
        <w:ind w:right="100" w:firstLine="541"/>
        <w:spacing w:after="0" w:line="245"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69" w:lineRule="exact"/>
        <w:rPr>
          <w:sz w:val="20"/>
          <w:szCs w:val="20"/>
          <w:color w:val="auto"/>
        </w:rPr>
      </w:pPr>
    </w:p>
    <w:p>
      <w:pPr>
        <w:jc w:val="both"/>
        <w:ind w:right="80" w:firstLine="541"/>
        <w:spacing w:after="0" w:line="25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62"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8"/>
          <w:szCs w:val="18"/>
          <w:u w:val="single" w:color="auto"/>
          <w:color w:val="auto"/>
        </w:rPr>
        <w:t>Application of Moneys Collected</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right="320" w:firstLine="541"/>
        <w:spacing w:after="0" w:line="245" w:lineRule="auto"/>
        <w:rPr>
          <w:sz w:val="20"/>
          <w:szCs w:val="20"/>
          <w:color w:val="auto"/>
        </w:rPr>
      </w:pPr>
      <w:r>
        <w:rPr>
          <w:rFonts w:ascii="Times New Roman" w:cs="Times New Roman" w:eastAsia="Times New Roman" w:hAnsi="Times New Roman"/>
          <w:sz w:val="18"/>
          <w:szCs w:val="18"/>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3" w:lineRule="exact"/>
        <w:rPr>
          <w:sz w:val="20"/>
          <w:szCs w:val="20"/>
          <w:color w:val="auto"/>
        </w:rPr>
      </w:pPr>
    </w:p>
    <w:p>
      <w:pPr>
        <w:ind w:right="20" w:firstLine="541"/>
        <w:spacing w:after="0" w:line="286" w:lineRule="auto"/>
        <w:rPr>
          <w:sz w:val="20"/>
          <w:szCs w:val="20"/>
          <w:color w:val="auto"/>
        </w:rPr>
      </w:pPr>
      <w:r>
        <w:rPr>
          <w:rFonts w:ascii="Times New Roman" w:cs="Times New Roman" w:eastAsia="Times New Roman" w:hAnsi="Times New Roman"/>
          <w:sz w:val="15"/>
          <w:szCs w:val="15"/>
          <w:b w:val="1"/>
          <w:bCs w:val="1"/>
          <w:color w:val="auto"/>
        </w:rPr>
        <w:t>FIRST</w:t>
      </w:r>
      <w:r>
        <w:rPr>
          <w:rFonts w:ascii="Times New Roman" w:cs="Times New Roman" w:eastAsia="Times New Roman" w:hAnsi="Times New Roman"/>
          <w:sz w:val="15"/>
          <w:szCs w:val="15"/>
          <w:color w:val="auto"/>
        </w:rPr>
        <w:t>: To the payment of all indebtedness of the Company to which such series of Securities is subordinated to the extent required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7.06</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any subordination terms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of the series specified as contemplated by </w:t>
      </w:r>
      <w:r>
        <w:rPr>
          <w:rFonts w:ascii="Times New Roman" w:cs="Times New Roman" w:eastAsia="Times New Roman" w:hAnsi="Times New Roman"/>
          <w:sz w:val="15"/>
          <w:szCs w:val="15"/>
          <w:u w:val="single" w:color="auto"/>
          <w:color w:val="auto"/>
        </w:rPr>
        <w:t>Article 14</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right="340" w:firstLine="541"/>
        <w:spacing w:after="0" w:line="268" w:lineRule="auto"/>
        <w:rPr>
          <w:sz w:val="20"/>
          <w:szCs w:val="20"/>
          <w:color w:val="auto"/>
        </w:rPr>
      </w:pPr>
      <w:r>
        <w:rPr>
          <w:rFonts w:ascii="Times New Roman" w:cs="Times New Roman" w:eastAsia="Times New Roman" w:hAnsi="Times New Roman"/>
          <w:sz w:val="15"/>
          <w:szCs w:val="15"/>
          <w:b w:val="1"/>
          <w:bCs w:val="1"/>
          <w:color w:val="auto"/>
        </w:rPr>
        <w:t>SECOND</w:t>
      </w:r>
      <w:r>
        <w:rPr>
          <w:rFonts w:ascii="Times New Roman" w:cs="Times New Roman" w:eastAsia="Times New Roman" w:hAnsi="Times New Roman"/>
          <w:sz w:val="15"/>
          <w:szCs w:val="15"/>
          <w:color w:val="auto"/>
        </w:rPr>
        <w:t>: To the payment of the amounts then due and unpaid upon Securities of such series for principal (and premium, if any) and interest, in respect of which or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benefit of which such money has been collected, ratably, without preference or priority of any kind, according to the amounts due and payable on such Securities for principal (and premium, if any) and interest, respectively; and</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THIRD</w:t>
      </w:r>
      <w:r>
        <w:rPr>
          <w:rFonts w:ascii="Times New Roman" w:cs="Times New Roman" w:eastAsia="Times New Roman" w:hAnsi="Times New Roman"/>
          <w:sz w:val="15"/>
          <w:szCs w:val="15"/>
          <w:color w:val="auto"/>
        </w:rPr>
        <w:t>: To the payment of the remainder, if any, to the Company or any other Person lawfully entitled thereto.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73" w:lineRule="exact"/>
        <w:rPr>
          <w:sz w:val="20"/>
          <w:szCs w:val="20"/>
          <w:color w:val="auto"/>
        </w:rPr>
      </w:pPr>
    </w:p>
    <w:p>
      <w:pPr>
        <w:ind w:right="20" w:firstLine="541"/>
        <w:spacing w:after="0" w:line="238"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6"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u w:val="single" w:color="auto"/>
          <w:color w:val="auto"/>
        </w:rPr>
        <w:t>Rights and Remedies Cumulative; Delay or Omission Not Waiver</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120" w:firstLine="1072"/>
        <w:spacing w:after="0" w:line="245" w:lineRule="auto"/>
        <w:tabs>
          <w:tab w:leader="none" w:pos="164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68" w:lineRule="exact"/>
        <w:rPr>
          <w:rFonts w:ascii="Times New Roman" w:cs="Times New Roman" w:eastAsia="Times New Roman" w:hAnsi="Times New Roman"/>
          <w:sz w:val="18"/>
          <w:szCs w:val="18"/>
          <w:color w:val="auto"/>
        </w:rPr>
      </w:pPr>
    </w:p>
    <w:p>
      <w:pPr>
        <w:ind w:right="60" w:firstLine="1072"/>
        <w:spacing w:after="0" w:line="245" w:lineRule="auto"/>
        <w:tabs>
          <w:tab w:leader="none" w:pos="165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every power and remedy given by this Article or by law to the Trustee or the Securityholders may be exercised from time to time, and as often as shall be deemed expedient, by the Trustee or by the Securityholders.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8" w:name="page189"/>
    <w:bookmarkEnd w:id="188"/>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8"/>
          <w:szCs w:val="18"/>
          <w:u w:val="single" w:color="auto"/>
          <w:color w:val="auto"/>
        </w:rPr>
        <w:t>Control by Securityholders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541"/>
        <w:spacing w:after="0" w:line="237" w:lineRule="auto"/>
        <w:rPr>
          <w:sz w:val="20"/>
          <w:szCs w:val="20"/>
          <w:color w:val="auto"/>
        </w:rPr>
      </w:pPr>
      <w:r>
        <w:rPr>
          <w:rFonts w:ascii="Times New Roman" w:cs="Times New Roman" w:eastAsia="Times New Roman" w:hAnsi="Times New Roman"/>
          <w:sz w:val="18"/>
          <w:szCs w:val="18"/>
          <w:color w:val="auto"/>
        </w:rPr>
        <w:t xml:space="preserve">The holders of a majority in aggregate principal amount of the Securities of any series at the time Outstanding,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may on behalf of the holders of all of the Securities of such series waive any past default in the performance of any of the covenants contained herein or established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8"/>
          <w:szCs w:val="18"/>
          <w:u w:val="single" w:color="auto"/>
          <w:color w:val="auto"/>
        </w:rPr>
        <w:t>Undertaking to Pay Costs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40" w:firstLine="541"/>
        <w:spacing w:after="0" w:line="239"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Certain Duties and Responsibilities of Trustee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1072"/>
        <w:spacing w:after="0" w:line="241" w:lineRule="auto"/>
        <w:tabs>
          <w:tab w:leader="none" w:pos="164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172" w:lineRule="exact"/>
        <w:rPr>
          <w:rFonts w:ascii="Times New Roman" w:cs="Times New Roman" w:eastAsia="Times New Roman" w:hAnsi="Times New Roman"/>
          <w:sz w:val="18"/>
          <w:szCs w:val="18"/>
          <w:color w:val="auto"/>
        </w:rPr>
      </w:pPr>
    </w:p>
    <w:p>
      <w:pPr>
        <w:ind w:right="140" w:firstLine="1072"/>
        <w:spacing w:after="0" w:line="267" w:lineRule="auto"/>
        <w:tabs>
          <w:tab w:leader="none" w:pos="165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47" w:lineRule="exact"/>
        <w:rPr>
          <w:rFonts w:ascii="Times New Roman" w:cs="Times New Roman" w:eastAsia="Times New Roman" w:hAnsi="Times New Roman"/>
          <w:sz w:val="18"/>
          <w:szCs w:val="18"/>
          <w:color w:val="auto"/>
        </w:rPr>
      </w:pPr>
    </w:p>
    <w:p>
      <w:pPr>
        <w:ind w:left="540" w:right="80" w:firstLine="1073"/>
        <w:spacing w:after="0" w:line="267" w:lineRule="auto"/>
        <w:tabs>
          <w:tab w:leader="none" w:pos="228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47" w:lineRule="exact"/>
        <w:rPr>
          <w:rFonts w:ascii="Times New Roman" w:cs="Times New Roman" w:eastAsia="Times New Roman" w:hAnsi="Times New Roman"/>
          <w:sz w:val="18"/>
          <w:szCs w:val="18"/>
          <w:color w:val="auto"/>
        </w:rPr>
      </w:pPr>
    </w:p>
    <w:p>
      <w:pPr>
        <w:ind w:left="540" w:right="20" w:firstLine="1614"/>
        <w:spacing w:after="0" w:line="245" w:lineRule="auto"/>
        <w:tabs>
          <w:tab w:leader="none" w:pos="2863"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68" w:lineRule="exact"/>
        <w:rPr>
          <w:rFonts w:ascii="Times New Roman" w:cs="Times New Roman" w:eastAsia="Times New Roman" w:hAnsi="Times New Roman"/>
          <w:sz w:val="18"/>
          <w:szCs w:val="18"/>
          <w:color w:val="auto"/>
        </w:rPr>
      </w:pPr>
    </w:p>
    <w:p>
      <w:pPr>
        <w:ind w:left="540" w:firstLine="1614"/>
        <w:spacing w:after="0" w:line="241" w:lineRule="auto"/>
        <w:tabs>
          <w:tab w:leader="none" w:pos="2854"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72" w:lineRule="exact"/>
        <w:rPr>
          <w:rFonts w:ascii="Times New Roman" w:cs="Times New Roman" w:eastAsia="Times New Roman" w:hAnsi="Times New Roman"/>
          <w:sz w:val="18"/>
          <w:szCs w:val="18"/>
          <w:color w:val="auto"/>
        </w:rPr>
      </w:pPr>
    </w:p>
    <w:p>
      <w:pPr>
        <w:ind w:left="540" w:right="600" w:firstLine="1073"/>
        <w:spacing w:after="0" w:line="267" w:lineRule="auto"/>
        <w:tabs>
          <w:tab w:leader="none" w:pos="228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47" w:lineRule="exact"/>
        <w:rPr>
          <w:rFonts w:ascii="Times New Roman" w:cs="Times New Roman" w:eastAsia="Times New Roman" w:hAnsi="Times New Roman"/>
          <w:sz w:val="18"/>
          <w:szCs w:val="18"/>
          <w:color w:val="auto"/>
        </w:rPr>
      </w:pPr>
    </w:p>
    <w:p>
      <w:pPr>
        <w:ind w:left="540" w:firstLine="1073"/>
        <w:spacing w:after="0" w:line="245" w:lineRule="auto"/>
        <w:tabs>
          <w:tab w:leader="none" w:pos="228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0" w:name="page191"/>
    <w:bookmarkEnd w:id="190"/>
    <w:p>
      <w:pPr>
        <w:ind w:left="500" w:right="360" w:firstLine="1073"/>
        <w:spacing w:after="0" w:line="245" w:lineRule="auto"/>
        <w:tabs>
          <w:tab w:leader="none" w:pos="224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68" w:lineRule="exact"/>
        <w:rPr>
          <w:sz w:val="20"/>
          <w:szCs w:val="20"/>
          <w:color w:val="auto"/>
        </w:rPr>
      </w:pPr>
    </w:p>
    <w:p>
      <w:pPr>
        <w:ind w:left="50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40" w:right="80" w:firstLine="1072"/>
        <w:spacing w:after="0" w:line="243" w:lineRule="auto"/>
        <w:tabs>
          <w:tab w:leader="none" w:pos="160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169" w:lineRule="exact"/>
        <w:rPr>
          <w:rFonts w:ascii="Times New Roman" w:cs="Times New Roman" w:eastAsia="Times New Roman" w:hAnsi="Times New Roman"/>
          <w:sz w:val="18"/>
          <w:szCs w:val="18"/>
          <w:color w:val="auto"/>
        </w:rPr>
      </w:pPr>
    </w:p>
    <w:p>
      <w:pPr>
        <w:ind w:left="-40" w:right="80" w:firstLine="1072"/>
        <w:spacing w:after="0" w:line="251" w:lineRule="auto"/>
        <w:tabs>
          <w:tab w:leader="none" w:pos="161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61" w:lineRule="exact"/>
        <w:rPr>
          <w:rFonts w:ascii="Times New Roman" w:cs="Times New Roman" w:eastAsia="Times New Roman" w:hAnsi="Times New Roman"/>
          <w:sz w:val="18"/>
          <w:szCs w:val="18"/>
          <w:color w:val="auto"/>
        </w:rPr>
      </w:pPr>
    </w:p>
    <w:p>
      <w:pPr>
        <w:ind w:left="-40" w:right="160" w:firstLine="1072"/>
        <w:spacing w:after="0" w:line="297" w:lineRule="auto"/>
        <w:tabs>
          <w:tab w:leader="none" w:pos="1602"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124" w:lineRule="exact"/>
        <w:rPr>
          <w:rFonts w:ascii="Times New Roman" w:cs="Times New Roman" w:eastAsia="Times New Roman" w:hAnsi="Times New Roman"/>
          <w:sz w:val="17"/>
          <w:szCs w:val="17"/>
          <w:color w:val="auto"/>
        </w:rPr>
      </w:pPr>
    </w:p>
    <w:p>
      <w:pPr>
        <w:ind w:left="-40" w:right="80" w:firstLine="1072"/>
        <w:spacing w:after="0" w:line="251" w:lineRule="auto"/>
        <w:tabs>
          <w:tab w:leader="none" w:pos="161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spacing w:after="0" w:line="161" w:lineRule="exact"/>
        <w:rPr>
          <w:rFonts w:ascii="Times New Roman" w:cs="Times New Roman" w:eastAsia="Times New Roman" w:hAnsi="Times New Roman"/>
          <w:sz w:val="18"/>
          <w:szCs w:val="18"/>
          <w:color w:val="auto"/>
        </w:rPr>
      </w:pPr>
    </w:p>
    <w:p>
      <w:pPr>
        <w:ind w:left="-40" w:right="220" w:firstLine="1072"/>
        <w:spacing w:after="0" w:line="267" w:lineRule="auto"/>
        <w:tabs>
          <w:tab w:leader="none" w:pos="160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47" w:lineRule="exact"/>
        <w:rPr>
          <w:rFonts w:ascii="Times New Roman" w:cs="Times New Roman" w:eastAsia="Times New Roman" w:hAnsi="Times New Roman"/>
          <w:sz w:val="18"/>
          <w:szCs w:val="18"/>
          <w:color w:val="auto"/>
        </w:rPr>
      </w:pPr>
    </w:p>
    <w:p>
      <w:pPr>
        <w:ind w:left="-40" w:firstLine="1072"/>
        <w:spacing w:after="0" w:line="239" w:lineRule="auto"/>
        <w:tabs>
          <w:tab w:leader="none" w:pos="162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7155180" cy="146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191" w:name="page192"/>
    <w:bookmarkEnd w:id="191"/>
    <w:p>
      <w:pPr>
        <w:ind w:right="120" w:firstLine="1072"/>
        <w:spacing w:after="0" w:line="250" w:lineRule="auto"/>
        <w:tabs>
          <w:tab w:leader="none" w:pos="165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63" w:lineRule="exact"/>
        <w:rPr>
          <w:rFonts w:ascii="Times New Roman" w:cs="Times New Roman" w:eastAsia="Times New Roman" w:hAnsi="Times New Roman"/>
          <w:sz w:val="18"/>
          <w:szCs w:val="18"/>
          <w:color w:val="auto"/>
        </w:rPr>
      </w:pPr>
    </w:p>
    <w:p>
      <w:pPr>
        <w:ind w:firstLine="1072"/>
        <w:spacing w:after="0" w:line="243" w:lineRule="auto"/>
        <w:tabs>
          <w:tab w:leader="none" w:pos="165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69" w:lineRule="exact"/>
        <w:rPr>
          <w:rFonts w:ascii="Times New Roman" w:cs="Times New Roman" w:eastAsia="Times New Roman" w:hAnsi="Times New Roman"/>
          <w:sz w:val="18"/>
          <w:szCs w:val="18"/>
          <w:color w:val="auto"/>
        </w:rPr>
      </w:pPr>
    </w:p>
    <w:p>
      <w:pPr>
        <w:ind w:right="120" w:firstLine="1072"/>
        <w:spacing w:after="0" w:line="251" w:lineRule="auto"/>
        <w:tabs>
          <w:tab w:leader="none" w:pos="165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161" w:lineRule="exact"/>
        <w:rPr>
          <w:rFonts w:ascii="Times New Roman" w:cs="Times New Roman" w:eastAsia="Times New Roman" w:hAnsi="Times New Roman"/>
          <w:sz w:val="18"/>
          <w:szCs w:val="18"/>
          <w:color w:val="auto"/>
        </w:rPr>
      </w:pPr>
    </w:p>
    <w:p>
      <w:pPr>
        <w:ind w:left="1640" w:hanging="568"/>
        <w:spacing w:after="0"/>
        <w:tabs>
          <w:tab w:leader="none" w:pos="16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198" w:lineRule="exact"/>
        <w:rPr>
          <w:rFonts w:ascii="Times New Roman" w:cs="Times New Roman" w:eastAsia="Times New Roman" w:hAnsi="Times New Roman"/>
          <w:sz w:val="18"/>
          <w:szCs w:val="18"/>
          <w:color w:val="auto"/>
        </w:rPr>
      </w:pPr>
    </w:p>
    <w:p>
      <w:pPr>
        <w:ind w:right="580" w:firstLine="1072"/>
        <w:spacing w:after="0" w:line="267" w:lineRule="auto"/>
        <w:tabs>
          <w:tab w:leader="none" w:pos="165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147" w:lineRule="exact"/>
        <w:rPr>
          <w:rFonts w:ascii="Times New Roman" w:cs="Times New Roman" w:eastAsia="Times New Roman" w:hAnsi="Times New Roman"/>
          <w:sz w:val="18"/>
          <w:szCs w:val="18"/>
          <w:color w:val="auto"/>
        </w:rPr>
      </w:pPr>
    </w:p>
    <w:p>
      <w:pPr>
        <w:ind w:left="1640" w:hanging="568"/>
        <w:spacing w:after="0"/>
        <w:tabs>
          <w:tab w:leader="none" w:pos="16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199" w:lineRule="exact"/>
        <w:rPr>
          <w:sz w:val="20"/>
          <w:szCs w:val="20"/>
          <w:color w:val="auto"/>
        </w:rPr>
      </w:pPr>
    </w:p>
    <w:p>
      <w:pPr>
        <w:ind w:right="140" w:firstLine="541"/>
        <w:spacing w:after="0" w:line="251"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62"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8"/>
          <w:szCs w:val="18"/>
          <w:u w:val="single" w:color="auto"/>
          <w:color w:val="auto"/>
        </w:rPr>
        <w:t>Trustee Not Responsible for Recitals or Issuance or Securities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380" w:firstLine="1072"/>
        <w:spacing w:after="0" w:line="267" w:lineRule="auto"/>
        <w:tabs>
          <w:tab w:leader="none" w:pos="164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47" w:lineRule="exact"/>
        <w:rPr>
          <w:rFonts w:ascii="Times New Roman" w:cs="Times New Roman" w:eastAsia="Times New Roman" w:hAnsi="Times New Roman"/>
          <w:sz w:val="18"/>
          <w:szCs w:val="18"/>
          <w:color w:val="auto"/>
        </w:rPr>
      </w:pPr>
    </w:p>
    <w:p>
      <w:pPr>
        <w:ind w:left="1640" w:hanging="568"/>
        <w:spacing w:after="0"/>
        <w:tabs>
          <w:tab w:leader="none" w:pos="16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92" w:name="page193"/>
    <w:bookmarkEnd w:id="192"/>
    <w:p>
      <w:pPr>
        <w:ind w:firstLine="1072"/>
        <w:spacing w:after="0" w:line="250" w:lineRule="auto"/>
        <w:tabs>
          <w:tab w:leader="none" w:pos="164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or for the use or application of any moneys received by any paying agent other than the Trustee.</w:t>
      </w:r>
    </w:p>
    <w:p>
      <w:pPr>
        <w:spacing w:after="0" w:line="164"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0" w:firstLine="541"/>
        <w:spacing w:after="0" w:line="267"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4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8"/>
          <w:szCs w:val="18"/>
          <w:u w:val="single" w:color="auto"/>
          <w:color w:val="auto"/>
        </w:rPr>
        <w:t>Moneys Held in Trust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00" w:firstLine="541"/>
        <w:spacing w:after="0" w:line="251"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62"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40" w:firstLine="1072"/>
        <w:spacing w:after="0" w:line="238" w:lineRule="auto"/>
        <w:tabs>
          <w:tab w:leader="none" w:pos="164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173" w:lineRule="exact"/>
        <w:rPr>
          <w:rFonts w:ascii="Times New Roman" w:cs="Times New Roman" w:eastAsia="Times New Roman" w:hAnsi="Times New Roman"/>
          <w:sz w:val="18"/>
          <w:szCs w:val="18"/>
          <w:color w:val="auto"/>
        </w:rPr>
      </w:pPr>
    </w:p>
    <w:p>
      <w:pPr>
        <w:ind w:right="60" w:firstLine="1072"/>
        <w:spacing w:after="0" w:line="245" w:lineRule="auto"/>
        <w:tabs>
          <w:tab w:leader="none" w:pos="165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3" w:name="page194"/>
    <w:bookmarkEnd w:id="193"/>
    <w:p>
      <w:pPr>
        <w:ind w:firstLine="1072"/>
        <w:spacing w:after="0" w:line="242" w:lineRule="auto"/>
        <w:tabs>
          <w:tab w:leader="none" w:pos="164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Times New Roman" w:cs="Times New Roman" w:eastAsia="Times New Roman" w:hAnsi="Times New Roman"/>
          <w:sz w:val="18"/>
          <w:szCs w:val="18"/>
          <w:u w:val="single" w:color="auto"/>
          <w:color w:val="auto"/>
        </w:rPr>
        <w:t>Section 6.01(a)(4)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survive the termination of this Indenture and the earlier resignation or removal of the Trustee.</w:t>
      </w:r>
    </w:p>
    <w:p>
      <w:pPr>
        <w:spacing w:after="0" w:line="172"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7.07</w:t>
      </w:r>
      <w:r>
        <w:rPr>
          <w:sz w:val="20"/>
          <w:szCs w:val="20"/>
          <w:color w:val="auto"/>
        </w:rPr>
        <w:tab/>
      </w:r>
      <w:r>
        <w:rPr>
          <w:rFonts w:ascii="Times New Roman" w:cs="Times New Roman" w:eastAsia="Times New Roman" w:hAnsi="Times New Roman"/>
          <w:sz w:val="18"/>
          <w:szCs w:val="18"/>
          <w:u w:val="single" w:color="auto"/>
          <w:color w:val="auto"/>
        </w:rPr>
        <w:t>Reliance on Officer’s Certificate or Opinion of Counsel</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73"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300" w:firstLine="541"/>
        <w:spacing w:after="0" w:line="267"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4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7"/>
          <w:szCs w:val="17"/>
          <w:u w:val="single" w:color="auto"/>
          <w:color w:val="auto"/>
        </w:rPr>
        <w:t>Corporate Trustee Required; Eligibility</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180" w:firstLine="541"/>
        <w:spacing w:after="0" w:line="245"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9" w:lineRule="exact"/>
        <w:rPr>
          <w:sz w:val="20"/>
          <w:szCs w:val="20"/>
          <w:color w:val="auto"/>
        </w:rPr>
      </w:pPr>
    </w:p>
    <w:p>
      <w:pPr>
        <w:ind w:right="20" w:firstLine="541"/>
        <w:spacing w:after="0" w:line="241" w:lineRule="auto"/>
        <w:rPr>
          <w:sz w:val="20"/>
          <w:szCs w:val="20"/>
          <w:color w:val="auto"/>
        </w:rPr>
      </w:pPr>
      <w:r>
        <w:rPr>
          <w:rFonts w:ascii="Times New Roman" w:cs="Times New Roman" w:eastAsia="Times New Roman" w:hAnsi="Times New Roman"/>
          <w:sz w:val="18"/>
          <w:szCs w:val="18"/>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20" w:firstLine="1072"/>
        <w:spacing w:after="0" w:line="238" w:lineRule="auto"/>
        <w:tabs>
          <w:tab w:leader="none" w:pos="164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8" w:lineRule="exact"/>
        <w:rPr>
          <w:rFonts w:ascii="Times New Roman" w:cs="Times New Roman" w:eastAsia="Times New Roman" w:hAnsi="Times New Roman"/>
          <w:sz w:val="18"/>
          <w:szCs w:val="18"/>
          <w:color w:val="auto"/>
        </w:rPr>
      </w:pPr>
    </w:p>
    <w:p>
      <w:pPr>
        <w:ind w:left="1640" w:hanging="568"/>
        <w:spacing w:after="0"/>
        <w:tabs>
          <w:tab w:leader="none" w:pos="16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198" w:lineRule="exact"/>
        <w:rPr>
          <w:rFonts w:ascii="Times New Roman" w:cs="Times New Roman" w:eastAsia="Times New Roman" w:hAnsi="Times New Roman"/>
          <w:sz w:val="18"/>
          <w:szCs w:val="18"/>
          <w:color w:val="auto"/>
        </w:rPr>
      </w:pPr>
    </w:p>
    <w:p>
      <w:pPr>
        <w:ind w:left="540" w:right="60" w:firstLine="1073"/>
        <w:spacing w:after="0" w:line="267" w:lineRule="auto"/>
        <w:tabs>
          <w:tab w:leader="none" w:pos="228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fail to comply with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after written request therefor by the Company or by any Securityholder who has been a bona fide holder of a Security or Securities for at least six months; or</w:t>
      </w:r>
    </w:p>
    <w:p>
      <w:pPr>
        <w:spacing w:after="0" w:line="147" w:lineRule="exact"/>
        <w:rPr>
          <w:rFonts w:ascii="Times New Roman" w:cs="Times New Roman" w:eastAsia="Times New Roman" w:hAnsi="Times New Roman"/>
          <w:sz w:val="18"/>
          <w:szCs w:val="18"/>
          <w:color w:val="auto"/>
        </w:rPr>
      </w:pPr>
    </w:p>
    <w:p>
      <w:pPr>
        <w:ind w:left="540" w:right="140" w:firstLine="1073"/>
        <w:spacing w:after="0" w:line="267" w:lineRule="auto"/>
        <w:tabs>
          <w:tab w:leader="none" w:pos="2293"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cease to be eligible in accordance with the provisions of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and shall fail to resign after written request therefor by the Company or by any such Securityholder; or</w:t>
      </w:r>
    </w:p>
    <w:p>
      <w:pPr>
        <w:spacing w:after="0" w:line="147" w:lineRule="exact"/>
        <w:rPr>
          <w:rFonts w:ascii="Times New Roman" w:cs="Times New Roman" w:eastAsia="Times New Roman" w:hAnsi="Times New Roman"/>
          <w:sz w:val="18"/>
          <w:szCs w:val="18"/>
          <w:color w:val="auto"/>
        </w:rPr>
      </w:pPr>
    </w:p>
    <w:p>
      <w:pPr>
        <w:ind w:left="540" w:right="220" w:firstLine="1073"/>
        <w:spacing w:after="0" w:line="251" w:lineRule="auto"/>
        <w:tabs>
          <w:tab w:leader="none" w:pos="229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9" w:lineRule="exact"/>
        <w:rPr>
          <w:sz w:val="20"/>
          <w:szCs w:val="20"/>
          <w:color w:val="auto"/>
        </w:rPr>
      </w:pPr>
    </w:p>
    <w:p>
      <w:pPr>
        <w:ind w:right="200" w:firstLine="1072"/>
        <w:spacing w:after="0" w:line="251" w:lineRule="auto"/>
        <w:tabs>
          <w:tab w:leader="none" w:pos="164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5" w:name="page196"/>
    <w:bookmarkEnd w:id="195"/>
    <w:p>
      <w:pPr>
        <w:ind w:right="180" w:firstLine="1072"/>
        <w:spacing w:after="0" w:line="265" w:lineRule="auto"/>
        <w:tabs>
          <w:tab w:leader="none" w:pos="165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50" w:lineRule="exact"/>
        <w:rPr>
          <w:rFonts w:ascii="Times New Roman" w:cs="Times New Roman" w:eastAsia="Times New Roman" w:hAnsi="Times New Roman"/>
          <w:sz w:val="18"/>
          <w:szCs w:val="18"/>
          <w:color w:val="auto"/>
        </w:rPr>
      </w:pPr>
    </w:p>
    <w:p>
      <w:pPr>
        <w:ind w:right="120" w:firstLine="1072"/>
        <w:spacing w:after="0" w:line="267" w:lineRule="auto"/>
        <w:tabs>
          <w:tab w:leader="none" w:pos="164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4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1072"/>
        <w:spacing w:after="0"/>
        <w:tabs>
          <w:tab w:leader="none" w:pos="164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3" w:lineRule="exact"/>
        <w:rPr>
          <w:rFonts w:ascii="Times New Roman" w:cs="Times New Roman" w:eastAsia="Times New Roman" w:hAnsi="Times New Roman"/>
          <w:sz w:val="18"/>
          <w:szCs w:val="18"/>
          <w:color w:val="auto"/>
        </w:rPr>
      </w:pPr>
    </w:p>
    <w:p>
      <w:pPr>
        <w:ind w:firstLine="1072"/>
        <w:spacing w:after="0" w:line="237" w:lineRule="auto"/>
        <w:tabs>
          <w:tab w:leader="none" w:pos="165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6" w:name="page197"/>
    <w:bookmarkEnd w:id="196"/>
    <w:p>
      <w:pPr>
        <w:ind w:right="160" w:firstLine="1072"/>
        <w:spacing w:after="0" w:line="266" w:lineRule="auto"/>
        <w:tabs>
          <w:tab w:leader="none" w:pos="164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48" w:lineRule="exact"/>
        <w:rPr>
          <w:rFonts w:ascii="Times New Roman" w:cs="Times New Roman" w:eastAsia="Times New Roman" w:hAnsi="Times New Roman"/>
          <w:sz w:val="18"/>
          <w:szCs w:val="18"/>
          <w:color w:val="auto"/>
        </w:rPr>
      </w:pPr>
    </w:p>
    <w:p>
      <w:pPr>
        <w:ind w:right="140" w:firstLine="1072"/>
        <w:spacing w:after="0" w:line="267" w:lineRule="auto"/>
        <w:tabs>
          <w:tab w:leader="none" w:pos="165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47" w:lineRule="exact"/>
        <w:rPr>
          <w:rFonts w:ascii="Times New Roman" w:cs="Times New Roman" w:eastAsia="Times New Roman" w:hAnsi="Times New Roman"/>
          <w:sz w:val="18"/>
          <w:szCs w:val="18"/>
          <w:color w:val="auto"/>
        </w:rPr>
      </w:pPr>
    </w:p>
    <w:p>
      <w:pPr>
        <w:ind w:right="160" w:firstLine="1072"/>
        <w:spacing w:after="0" w:line="245" w:lineRule="auto"/>
        <w:tabs>
          <w:tab w:leader="none" w:pos="164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6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7"/>
          <w:szCs w:val="17"/>
          <w:u w:val="single" w:color="auto"/>
          <w:color w:val="auto"/>
        </w:rPr>
        <w:t>Merger, Conversion, Consolidation or Succession to Business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80" w:firstLine="541"/>
        <w:spacing w:after="0"/>
        <w:rPr>
          <w:sz w:val="20"/>
          <w:szCs w:val="20"/>
          <w:color w:val="auto"/>
        </w:rPr>
      </w:pPr>
      <w:r>
        <w:rPr>
          <w:rFonts w:ascii="Times New Roman" w:cs="Times New Roman" w:eastAsia="Times New Roman" w:hAnsi="Times New Roman"/>
          <w:sz w:val="18"/>
          <w:szCs w:val="18"/>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corporation shall be qualified under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and eligible under the provisions of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4"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7.13</w:t>
      </w:r>
      <w:r>
        <w:rPr>
          <w:sz w:val="20"/>
          <w:szCs w:val="20"/>
          <w:color w:val="auto"/>
        </w:rPr>
        <w:tab/>
      </w:r>
      <w:r>
        <w:rPr>
          <w:rFonts w:ascii="Times New Roman" w:cs="Times New Roman" w:eastAsia="Times New Roman" w:hAnsi="Times New Roman"/>
          <w:sz w:val="18"/>
          <w:szCs w:val="18"/>
          <w:u w:val="single" w:color="auto"/>
          <w:color w:val="auto"/>
        </w:rPr>
        <w:t>Preferential Collection of Claims Against the Company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97" w:lineRule="auto"/>
        <w:rPr>
          <w:sz w:val="20"/>
          <w:szCs w:val="20"/>
          <w:color w:val="auto"/>
        </w:rPr>
      </w:pPr>
      <w:r>
        <w:rPr>
          <w:rFonts w:ascii="Times New Roman" w:cs="Times New Roman" w:eastAsia="Times New Roman" w:hAnsi="Times New Roman"/>
          <w:sz w:val="17"/>
          <w:szCs w:val="17"/>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7" w:name="page198"/>
    <w:bookmarkEnd w:id="197"/>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7.14</w:t>
      </w:r>
      <w:r>
        <w:rPr>
          <w:sz w:val="20"/>
          <w:szCs w:val="20"/>
          <w:color w:val="auto"/>
        </w:rPr>
        <w:tab/>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u w:val="single" w:color="auto"/>
          <w:color w:val="auto"/>
        </w:rPr>
        <w:t>Evidence of Action by Securityholders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right="40" w:firstLine="541"/>
        <w:spacing w:after="0" w:line="243" w:lineRule="auto"/>
        <w:rPr>
          <w:sz w:val="20"/>
          <w:szCs w:val="20"/>
          <w:color w:val="auto"/>
        </w:rPr>
      </w:pPr>
      <w:r>
        <w:rPr>
          <w:rFonts w:ascii="Times New Roman" w:cs="Times New Roman" w:eastAsia="Times New Roman" w:hAnsi="Times New Roman"/>
          <w:sz w:val="18"/>
          <w:szCs w:val="18"/>
          <w:color w:val="auto"/>
        </w:rPr>
        <w:t xml:space="preserve">Whenever in this Indenture it 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71" w:lineRule="exact"/>
        <w:rPr>
          <w:sz w:val="20"/>
          <w:szCs w:val="20"/>
          <w:color w:val="auto"/>
        </w:rPr>
      </w:pPr>
    </w:p>
    <w:p>
      <w:pPr>
        <w:ind w:right="120" w:firstLine="541"/>
        <w:spacing w:after="0" w:line="239" w:lineRule="auto"/>
        <w:rPr>
          <w:sz w:val="20"/>
          <w:szCs w:val="20"/>
          <w:color w:val="auto"/>
        </w:rPr>
      </w:pPr>
      <w:r>
        <w:rPr>
          <w:rFonts w:ascii="Times New Roman" w:cs="Times New Roman" w:eastAsia="Times New Roman" w:hAnsi="Times New Roman"/>
          <w:sz w:val="18"/>
          <w:szCs w:val="18"/>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73"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8"/>
          <w:szCs w:val="18"/>
          <w:u w:val="single" w:color="auto"/>
          <w:color w:val="auto"/>
        </w:rPr>
        <w:t>Proof of Execution by Securityholders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20" w:firstLine="541"/>
        <w:spacing w:after="0" w:line="267"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8" w:lineRule="exact"/>
        <w:rPr>
          <w:sz w:val="20"/>
          <w:szCs w:val="20"/>
          <w:color w:val="auto"/>
        </w:rPr>
      </w:pPr>
    </w:p>
    <w:p>
      <w:pPr>
        <w:ind w:left="1640" w:hanging="568"/>
        <w:spacing w:after="0"/>
        <w:tabs>
          <w:tab w:leader="none" w:pos="16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ind w:right="200" w:firstLine="1072"/>
        <w:spacing w:after="0" w:line="266" w:lineRule="auto"/>
        <w:tabs>
          <w:tab w:leader="none" w:pos="165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4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8"/>
          <w:szCs w:val="18"/>
          <w:u w:val="single" w:color="auto"/>
          <w:color w:val="auto"/>
        </w:rPr>
        <w:t>Who May be Deemed Owners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40" w:firstLine="541"/>
        <w:spacing w:after="0" w:line="241" w:lineRule="auto"/>
        <w:rPr>
          <w:sz w:val="20"/>
          <w:szCs w:val="20"/>
          <w:color w:val="auto"/>
        </w:rPr>
      </w:pPr>
      <w:r>
        <w:rPr>
          <w:rFonts w:ascii="Times New Roman" w:cs="Times New Roman" w:eastAsia="Times New Roman" w:hAnsi="Times New Roman"/>
          <w:sz w:val="18"/>
          <w:szCs w:val="18"/>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interest on such Security and for all other purposes; and neither the Company nor the Trustee nor any paying agent nor any Security Registrar shall be affected by any notice to the contrary.</w:t>
      </w:r>
    </w:p>
    <w:p>
      <w:pPr>
        <w:spacing w:after="0" w:line="173"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8"/>
          <w:szCs w:val="18"/>
          <w:u w:val="single" w:color="auto"/>
          <w:color w:val="auto"/>
        </w:rPr>
        <w:t>Certain Securities Owned by Company Disregarded</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541"/>
        <w:spacing w:after="0" w:line="238"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7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8"/>
          <w:szCs w:val="18"/>
          <w:u w:val="single" w:color="auto"/>
          <w:color w:val="auto"/>
        </w:rPr>
        <w:t>Actions Binding on Future Securityholders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 xml:space="preserve">At any time prior to (but not after) the evidencing to the Trustee,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Supplemental Indentures Without the Consent of Securityholders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20" w:firstLine="541"/>
        <w:spacing w:after="0" w:line="251"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162" w:lineRule="exact"/>
        <w:rPr>
          <w:sz w:val="20"/>
          <w:szCs w:val="20"/>
          <w:color w:val="auto"/>
        </w:rPr>
      </w:pPr>
    </w:p>
    <w:p>
      <w:pPr>
        <w:ind w:left="1640" w:hanging="568"/>
        <w:spacing w:after="0"/>
        <w:tabs>
          <w:tab w:leader="none" w:pos="16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198" w:lineRule="exact"/>
        <w:rPr>
          <w:rFonts w:ascii="Times New Roman" w:cs="Times New Roman" w:eastAsia="Times New Roman" w:hAnsi="Times New Roman"/>
          <w:sz w:val="18"/>
          <w:szCs w:val="18"/>
          <w:color w:val="auto"/>
        </w:rPr>
      </w:pPr>
    </w:p>
    <w:p>
      <w:pPr>
        <w:ind w:left="1640" w:hanging="568"/>
        <w:spacing w:after="0"/>
        <w:tabs>
          <w:tab w:leader="none" w:pos="16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comply with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1640" w:hanging="568"/>
        <w:spacing w:after="0"/>
        <w:tabs>
          <w:tab w:leader="none" w:pos="16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98" w:lineRule="exact"/>
        <w:rPr>
          <w:rFonts w:ascii="Times New Roman" w:cs="Times New Roman" w:eastAsia="Times New Roman" w:hAnsi="Times New Roman"/>
          <w:sz w:val="18"/>
          <w:szCs w:val="18"/>
          <w:color w:val="auto"/>
        </w:rPr>
      </w:pPr>
    </w:p>
    <w:p>
      <w:pPr>
        <w:ind w:firstLine="1072"/>
        <w:spacing w:after="0" w:line="243" w:lineRule="auto"/>
        <w:tabs>
          <w:tab w:leader="none" w:pos="165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69" w:lineRule="exact"/>
        <w:rPr>
          <w:rFonts w:ascii="Times New Roman" w:cs="Times New Roman" w:eastAsia="Times New Roman" w:hAnsi="Times New Roman"/>
          <w:sz w:val="18"/>
          <w:szCs w:val="18"/>
          <w:color w:val="auto"/>
        </w:rPr>
      </w:pPr>
    </w:p>
    <w:p>
      <w:pPr>
        <w:ind w:right="280" w:firstLine="1072"/>
        <w:spacing w:after="0" w:line="267" w:lineRule="auto"/>
        <w:tabs>
          <w:tab w:leader="none" w:pos="164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47" w:lineRule="exact"/>
        <w:rPr>
          <w:rFonts w:ascii="Times New Roman" w:cs="Times New Roman" w:eastAsia="Times New Roman" w:hAnsi="Times New Roman"/>
          <w:sz w:val="18"/>
          <w:szCs w:val="18"/>
          <w:color w:val="auto"/>
        </w:rPr>
      </w:pPr>
    </w:p>
    <w:p>
      <w:pPr>
        <w:ind w:left="1660" w:hanging="588"/>
        <w:spacing w:after="0"/>
        <w:tabs>
          <w:tab w:leader="none" w:pos="1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198" w:lineRule="exact"/>
        <w:rPr>
          <w:rFonts w:ascii="Times New Roman" w:cs="Times New Roman" w:eastAsia="Times New Roman" w:hAnsi="Times New Roman"/>
          <w:sz w:val="18"/>
          <w:szCs w:val="18"/>
          <w:color w:val="auto"/>
        </w:rPr>
      </w:pPr>
    </w:p>
    <w:p>
      <w:pPr>
        <w:jc w:val="both"/>
        <w:ind w:right="160" w:firstLine="1072"/>
        <w:spacing w:after="0" w:line="251" w:lineRule="auto"/>
        <w:tabs>
          <w:tab w:leader="none" w:pos="165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the issuance of and establish the form and terms and conditions of the Securities of any series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to establish the form of any certifications required to be furnished pursuant to the terms of this Indenture or any series of Securities, or to add to the rights of the holders of any series of Securities;</w:t>
      </w:r>
    </w:p>
    <w:p>
      <w:pPr>
        <w:spacing w:after="0" w:line="161" w:lineRule="exact"/>
        <w:rPr>
          <w:rFonts w:ascii="Times New Roman" w:cs="Times New Roman" w:eastAsia="Times New Roman" w:hAnsi="Times New Roman"/>
          <w:sz w:val="18"/>
          <w:szCs w:val="18"/>
          <w:color w:val="auto"/>
        </w:rPr>
      </w:pPr>
    </w:p>
    <w:p>
      <w:pPr>
        <w:ind w:right="380" w:firstLine="1072"/>
        <w:spacing w:after="0" w:line="267" w:lineRule="auto"/>
        <w:tabs>
          <w:tab w:leader="none" w:pos="165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appoint a separate trustee with respect to any series; or</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0" w:name="page201"/>
    <w:bookmarkEnd w:id="200"/>
    <w:p>
      <w:pPr>
        <w:ind w:left="1640" w:hanging="568"/>
        <w:spacing w:after="0"/>
        <w:tabs>
          <w:tab w:leader="none" w:pos="1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w:t>
      </w:r>
    </w:p>
    <w:p>
      <w:pPr>
        <w:spacing w:after="0" w:line="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Indenture Act.</w:t>
      </w:r>
    </w:p>
    <w:p>
      <w:pPr>
        <w:spacing w:after="0" w:line="179" w:lineRule="exact"/>
        <w:rPr>
          <w:sz w:val="20"/>
          <w:szCs w:val="20"/>
          <w:color w:val="auto"/>
        </w:rPr>
      </w:pPr>
    </w:p>
    <w:p>
      <w:pPr>
        <w:ind w:right="140" w:firstLine="541"/>
        <w:spacing w:after="0" w:line="251"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62" w:lineRule="exact"/>
        <w:rPr>
          <w:sz w:val="20"/>
          <w:szCs w:val="20"/>
          <w:color w:val="auto"/>
        </w:rPr>
      </w:pPr>
    </w:p>
    <w:p>
      <w:pPr>
        <w:ind w:right="220" w:firstLine="541"/>
        <w:spacing w:after="0" w:line="267" w:lineRule="auto"/>
        <w:rPr>
          <w:sz w:val="20"/>
          <w:szCs w:val="20"/>
          <w:color w:val="auto"/>
        </w:rPr>
      </w:pPr>
      <w:r>
        <w:rPr>
          <w:rFonts w:ascii="Times New Roman" w:cs="Times New Roman" w:eastAsia="Times New Roman" w:hAnsi="Times New Roman"/>
          <w:sz w:val="18"/>
          <w:szCs w:val="18"/>
          <w:color w:val="auto"/>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8"/>
          <w:szCs w:val="18"/>
          <w:u w:val="single" w:color="auto"/>
          <w:color w:val="auto"/>
        </w:rPr>
        <w:t>Supplemental Indentures With Consent of Securityholders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 xml:space="preserve">With the consent (evidenced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the rights of the holders of the Securities of such series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73" w:lineRule="exact"/>
        <w:rPr>
          <w:sz w:val="20"/>
          <w:szCs w:val="20"/>
          <w:color w:val="auto"/>
        </w:rPr>
      </w:pPr>
    </w:p>
    <w:p>
      <w:pPr>
        <w:ind w:right="20" w:firstLine="541"/>
        <w:spacing w:after="0" w:line="251"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62"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right="80" w:firstLine="541"/>
        <w:spacing w:after="0" w:line="243" w:lineRule="auto"/>
        <w:rPr>
          <w:sz w:val="20"/>
          <w:szCs w:val="20"/>
          <w:color w:val="auto"/>
        </w:rPr>
      </w:pPr>
      <w:r>
        <w:rPr>
          <w:rFonts w:ascii="Times New Roman" w:cs="Times New Roman" w:eastAsia="Times New Roman" w:hAnsi="Times New Roman"/>
          <w:sz w:val="18"/>
          <w:szCs w:val="18"/>
          <w:color w:val="auto"/>
        </w:rPr>
        <w:t xml:space="preserve">Upon the execution of any supplemental indenture pursuant to the provisions of this Article or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01" w:name="page202"/>
    <w:bookmarkEnd w:id="201"/>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Securities Affected by Supplemental Indentures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160" w:firstLine="541"/>
        <w:spacing w:after="0" w:line="241" w:lineRule="auto"/>
        <w:rPr>
          <w:sz w:val="20"/>
          <w:szCs w:val="20"/>
          <w:color w:val="auto"/>
        </w:rPr>
      </w:pPr>
      <w:r>
        <w:rPr>
          <w:rFonts w:ascii="Times New Roman" w:cs="Times New Roman" w:eastAsia="Times New Roman" w:hAnsi="Times New Roman"/>
          <w:sz w:val="18"/>
          <w:szCs w:val="18"/>
          <w:color w:val="auto"/>
        </w:rPr>
        <w:t xml:space="preserve">Securities of any series affected by a supplemental indenture, authenticated and delivered after the execution of such supplemental indenture pursuant to the provisions of this Article or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73"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76" w:lineRule="exact"/>
        <w:rPr>
          <w:sz w:val="20"/>
          <w:szCs w:val="20"/>
          <w:color w:val="auto"/>
        </w:rPr>
      </w:pPr>
    </w:p>
    <w:p>
      <w:pPr>
        <w:ind w:right="20" w:firstLine="541"/>
        <w:spacing w:after="0" w:line="243"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8"/>
          <w:szCs w:val="18"/>
          <w:u w:val="single" w:color="auto"/>
          <w:color w:val="auto"/>
        </w:rPr>
        <w:t>Company May Consolidate, Etc</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52" w:lineRule="auto"/>
        <w:rPr>
          <w:sz w:val="20"/>
          <w:szCs w:val="20"/>
          <w:color w:val="auto"/>
        </w:rPr>
      </w:pPr>
      <w:r>
        <w:rPr>
          <w:rFonts w:ascii="Times New Roman" w:cs="Times New Roman" w:eastAsia="Times New Roman" w:hAnsi="Times New Roman"/>
          <w:sz w:val="17"/>
          <w:szCs w:val="17"/>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Times New Roman" w:cs="Times New Roman" w:eastAsia="Times New Roman" w:hAnsi="Times New Roman"/>
          <w:sz w:val="17"/>
          <w:szCs w:val="17"/>
          <w:u w:val="single" w:color="auto"/>
          <w:color w:val="auto"/>
        </w:rPr>
        <w:t>Section</w:t>
      </w:r>
    </w:p>
    <w:p>
      <w:pPr>
        <w:spacing w:after="0" w:line="236" w:lineRule="auto"/>
        <w:rPr>
          <w:sz w:val="20"/>
          <w:szCs w:val="20"/>
          <w:color w:val="auto"/>
        </w:rPr>
      </w:pP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176"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10.02</w:t>
      </w:r>
      <w:r>
        <w:rPr>
          <w:sz w:val="20"/>
          <w:szCs w:val="20"/>
          <w:color w:val="auto"/>
        </w:rPr>
        <w:tab/>
      </w:r>
      <w:r>
        <w:rPr>
          <w:rFonts w:ascii="Times New Roman" w:cs="Times New Roman" w:eastAsia="Times New Roman" w:hAnsi="Times New Roman"/>
          <w:sz w:val="18"/>
          <w:szCs w:val="18"/>
          <w:u w:val="single" w:color="auto"/>
          <w:color w:val="auto"/>
        </w:rPr>
        <w:t>Successor Entity Substituted</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1072"/>
        <w:spacing w:after="0" w:line="245" w:lineRule="auto"/>
        <w:tabs>
          <w:tab w:leader="none" w:pos="164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68" w:lineRule="exact"/>
        <w:rPr>
          <w:rFonts w:ascii="Times New Roman" w:cs="Times New Roman" w:eastAsia="Times New Roman" w:hAnsi="Times New Roman"/>
          <w:sz w:val="18"/>
          <w:szCs w:val="18"/>
          <w:color w:val="auto"/>
        </w:rPr>
      </w:pPr>
    </w:p>
    <w:p>
      <w:pPr>
        <w:ind w:right="20" w:firstLine="1072"/>
        <w:spacing w:after="0" w:line="267" w:lineRule="auto"/>
        <w:tabs>
          <w:tab w:leader="none" w:pos="165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47" w:lineRule="exact"/>
        <w:rPr>
          <w:rFonts w:ascii="Times New Roman" w:cs="Times New Roman" w:eastAsia="Times New Roman" w:hAnsi="Times New Roman"/>
          <w:sz w:val="18"/>
          <w:szCs w:val="18"/>
          <w:color w:val="auto"/>
        </w:rPr>
      </w:pPr>
    </w:p>
    <w:p>
      <w:pPr>
        <w:ind w:right="20" w:firstLine="1072"/>
        <w:spacing w:after="0" w:line="251" w:lineRule="auto"/>
        <w:tabs>
          <w:tab w:leader="none" w:pos="164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3" w:name="page204"/>
    <w:bookmarkEnd w:id="20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7"/>
          <w:szCs w:val="17"/>
          <w:u w:val="single" w:color="auto"/>
          <w:color w:val="auto"/>
        </w:rPr>
        <w:t>Satisfaction and Discharge of Indenture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541"/>
        <w:spacing w:after="0" w:line="237" w:lineRule="auto"/>
        <w:rPr>
          <w:sz w:val="20"/>
          <w:szCs w:val="20"/>
          <w:color w:val="auto"/>
        </w:rPr>
      </w:pPr>
      <w:r>
        <w:rPr>
          <w:rFonts w:ascii="Times New Roman" w:cs="Times New Roman" w:eastAsia="Times New Roman" w:hAnsi="Times New Roman"/>
          <w:sz w:val="18"/>
          <w:szCs w:val="18"/>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that shall survive until the date of maturity or redemption date, as the case may be, and </w:t>
      </w:r>
      <w:r>
        <w:rPr>
          <w:rFonts w:ascii="Times New Roman" w:cs="Times New Roman" w:eastAsia="Times New Roman" w:hAnsi="Times New Roman"/>
          <w:sz w:val="18"/>
          <w:szCs w:val="18"/>
          <w:u w:val="single" w:color="auto"/>
          <w:color w:val="auto"/>
        </w:rPr>
        <w:t>Sections 7.06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8"/>
          <w:szCs w:val="18"/>
          <w:u w:val="single" w:color="auto"/>
          <w:color w:val="auto"/>
        </w:rPr>
        <w:t>Discharge of Obligations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60" w:firstLine="541"/>
        <w:spacing w:after="0" w:line="239" w:lineRule="auto"/>
        <w:rPr>
          <w:sz w:val="20"/>
          <w:szCs w:val="20"/>
          <w:color w:val="auto"/>
        </w:rPr>
      </w:pPr>
      <w:r>
        <w:rPr>
          <w:rFonts w:ascii="Times New Roman" w:cs="Times New Roman" w:eastAsia="Times New Roman" w:hAnsi="Times New Roman"/>
          <w:sz w:val="18"/>
          <w:szCs w:val="18"/>
          <w:color w:val="auto"/>
        </w:rPr>
        <w:t xml:space="preserve">If at any time all such Securities of a particular series not heretofore delivered to the Trustee for cancellation or that have not become due and payable as described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hereof that shall survive until such Securities shall mature and be paid.</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Thereafter, </w:t>
      </w:r>
      <w:r>
        <w:rPr>
          <w:rFonts w:ascii="Times New Roman" w:cs="Times New Roman" w:eastAsia="Times New Roman" w:hAnsi="Times New Roman"/>
          <w:sz w:val="18"/>
          <w:szCs w:val="18"/>
          <w:u w:val="single" w:color="auto"/>
          <w:color w:val="auto"/>
        </w:rPr>
        <w:t>Sections 7.06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shall survive.</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04" w:name="page205"/>
    <w:bookmarkEnd w:id="204"/>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11.03</w:t>
      </w:r>
      <w:r>
        <w:rPr>
          <w:sz w:val="20"/>
          <w:szCs w:val="20"/>
          <w:color w:val="auto"/>
        </w:rPr>
        <w:tab/>
      </w:r>
      <w:r>
        <w:rPr>
          <w:rFonts w:ascii="Times New Roman" w:cs="Times New Roman" w:eastAsia="Times New Roman" w:hAnsi="Times New Roman"/>
          <w:sz w:val="17"/>
          <w:szCs w:val="17"/>
          <w:u w:val="single" w:color="auto"/>
          <w:color w:val="auto"/>
        </w:rPr>
        <w:t>Deposited Moneys to be Held in Trust</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right="40" w:firstLine="541"/>
        <w:spacing w:after="0" w:line="251" w:lineRule="auto"/>
        <w:rPr>
          <w:sz w:val="20"/>
          <w:szCs w:val="20"/>
          <w:color w:val="auto"/>
        </w:rPr>
      </w:pPr>
      <w:r>
        <w:rPr>
          <w:rFonts w:ascii="Times New Roman" w:cs="Times New Roman" w:eastAsia="Times New Roman" w:hAnsi="Times New Roman"/>
          <w:sz w:val="18"/>
          <w:szCs w:val="18"/>
          <w:color w:val="auto"/>
        </w:rPr>
        <w:t xml:space="preserve">All moneys or Governmental Obligations deposited with the Trustee pursuant to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11.02</w:t>
      </w:r>
      <w:r>
        <w:rPr>
          <w:rFonts w:ascii="Times New Roman" w:cs="Times New Roman" w:eastAsia="Times New Roman" w:hAnsi="Times New Roman"/>
          <w:sz w:val="18"/>
          <w:szCs w:val="18"/>
          <w:color w:val="auto"/>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62"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11.04</w:t>
      </w:r>
      <w:r>
        <w:rPr>
          <w:sz w:val="20"/>
          <w:szCs w:val="20"/>
          <w:color w:val="auto"/>
        </w:rPr>
        <w:tab/>
      </w:r>
      <w:r>
        <w:rPr>
          <w:rFonts w:ascii="Times New Roman" w:cs="Times New Roman" w:eastAsia="Times New Roman" w:hAnsi="Times New Roman"/>
          <w:sz w:val="18"/>
          <w:szCs w:val="18"/>
          <w:u w:val="single" w:color="auto"/>
          <w:color w:val="auto"/>
        </w:rPr>
        <w:t>Payment of Moneys Held by Paying Agents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51"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62"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11.05</w:t>
      </w:r>
      <w:r>
        <w:rPr>
          <w:sz w:val="20"/>
          <w:szCs w:val="20"/>
          <w:color w:val="auto"/>
        </w:rPr>
        <w:tab/>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DIRECTORS</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12.01</w:t>
      </w:r>
      <w:r>
        <w:rPr>
          <w:sz w:val="20"/>
          <w:szCs w:val="20"/>
          <w:color w:val="auto"/>
        </w:rPr>
        <w:tab/>
      </w:r>
      <w:r>
        <w:rPr>
          <w:rFonts w:ascii="Times New Roman" w:cs="Times New Roman" w:eastAsia="Times New Roman" w:hAnsi="Times New Roman"/>
          <w:sz w:val="17"/>
          <w:szCs w:val="17"/>
          <w:u w:val="single" w:color="auto"/>
          <w:color w:val="auto"/>
        </w:rPr>
        <w:t>No Recourse</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541"/>
        <w:spacing w:after="0" w:line="23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13.01</w:t>
      </w:r>
      <w:r>
        <w:rPr>
          <w:sz w:val="20"/>
          <w:szCs w:val="20"/>
          <w:color w:val="auto"/>
        </w:rPr>
        <w:tab/>
      </w:r>
      <w:r>
        <w:rPr>
          <w:rFonts w:ascii="Times New Roman" w:cs="Times New Roman" w:eastAsia="Times New Roman" w:hAnsi="Times New Roman"/>
          <w:sz w:val="18"/>
          <w:szCs w:val="18"/>
          <w:u w:val="single" w:color="auto"/>
          <w:color w:val="auto"/>
        </w:rPr>
        <w:t>Effect on Successors and Assigns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520" w:firstLine="541"/>
        <w:spacing w:after="0" w:line="267"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4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13.02</w:t>
      </w:r>
      <w:r>
        <w:rPr>
          <w:sz w:val="20"/>
          <w:szCs w:val="20"/>
          <w:color w:val="auto"/>
        </w:rPr>
        <w:tab/>
      </w:r>
      <w:r>
        <w:rPr>
          <w:rFonts w:ascii="Times New Roman" w:cs="Times New Roman" w:eastAsia="Times New Roman" w:hAnsi="Times New Roman"/>
          <w:sz w:val="18"/>
          <w:szCs w:val="18"/>
          <w:u w:val="single" w:color="auto"/>
          <w:color w:val="auto"/>
        </w:rPr>
        <w:t>Actions by Successor</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right="100" w:firstLine="541"/>
        <w:spacing w:after="0" w:line="251"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62"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13.03</w:t>
      </w:r>
      <w:r>
        <w:rPr>
          <w:sz w:val="20"/>
          <w:szCs w:val="20"/>
          <w:color w:val="auto"/>
        </w:rPr>
        <w:tab/>
      </w:r>
      <w:r>
        <w:rPr>
          <w:rFonts w:ascii="Times New Roman" w:cs="Times New Roman" w:eastAsia="Times New Roman" w:hAnsi="Times New Roman"/>
          <w:sz w:val="18"/>
          <w:szCs w:val="18"/>
          <w:u w:val="single" w:color="auto"/>
          <w:color w:val="auto"/>
        </w:rPr>
        <w:t>Surrender of Company Powers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541"/>
        <w:spacing w:after="0" w:line="267"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13.04</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1"/>
        <w:spacing w:after="0" w:line="239"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[__].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6" w:name="page207"/>
    <w:bookmarkEnd w:id="206"/>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13.05</w:t>
      </w:r>
      <w:r>
        <w:rPr>
          <w:sz w:val="20"/>
          <w:szCs w:val="20"/>
          <w:color w:val="auto"/>
        </w:rPr>
        <w:tab/>
      </w:r>
      <w:r>
        <w:rPr>
          <w:rFonts w:ascii="Times New Roman" w:cs="Times New Roman" w:eastAsia="Times New Roman" w:hAnsi="Times New Roman"/>
          <w:sz w:val="17"/>
          <w:szCs w:val="17"/>
          <w:u w:val="single" w:color="auto"/>
          <w:color w:val="auto"/>
        </w:rPr>
        <w:t>Governing Law; Jury Trial Waiver</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firstLine="541"/>
        <w:spacing w:after="0" w:line="241" w:lineRule="auto"/>
        <w:rPr>
          <w:sz w:val="20"/>
          <w:szCs w:val="20"/>
          <w:color w:val="auto"/>
        </w:rPr>
      </w:pPr>
      <w:r>
        <w:rPr>
          <w:rFonts w:ascii="Times New Roman" w:cs="Times New Roman" w:eastAsia="Times New Roman" w:hAnsi="Times New Roman"/>
          <w:sz w:val="18"/>
          <w:szCs w:val="18"/>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73"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13.06</w:t>
      </w:r>
      <w:r>
        <w:rPr>
          <w:sz w:val="20"/>
          <w:szCs w:val="20"/>
          <w:color w:val="auto"/>
        </w:rPr>
        <w:tab/>
      </w:r>
      <w:r>
        <w:rPr>
          <w:rFonts w:ascii="Times New Roman" w:cs="Times New Roman" w:eastAsia="Times New Roman" w:hAnsi="Times New Roman"/>
          <w:sz w:val="17"/>
          <w:szCs w:val="17"/>
          <w:u w:val="single" w:color="auto"/>
          <w:color w:val="auto"/>
        </w:rPr>
        <w:t>Treatment of Securities as Debt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140" w:firstLine="541"/>
        <w:spacing w:after="0" w:line="267"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4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13.07</w:t>
      </w:r>
      <w:r>
        <w:rPr>
          <w:sz w:val="20"/>
          <w:szCs w:val="20"/>
          <w:color w:val="auto"/>
        </w:rPr>
        <w:tab/>
      </w:r>
      <w:r>
        <w:rPr>
          <w:rFonts w:ascii="Times New Roman" w:cs="Times New Roman" w:eastAsia="Times New Roman" w:hAnsi="Times New Roman"/>
          <w:sz w:val="18"/>
          <w:szCs w:val="18"/>
          <w:u w:val="single" w:color="auto"/>
          <w:color w:val="auto"/>
        </w:rPr>
        <w:t>Certificates and Opinions as to Conditions Precedent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00" w:firstLine="1072"/>
        <w:spacing w:after="0" w:line="245" w:lineRule="auto"/>
        <w:tabs>
          <w:tab w:leader="none" w:pos="164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relating to the proposed action have been complied with and an Opinion of Counsel stating that in the opinion of such counsel all such covenants and conditions precedent have been complied with.</w:t>
      </w:r>
    </w:p>
    <w:p>
      <w:pPr>
        <w:spacing w:after="0" w:line="168" w:lineRule="exact"/>
        <w:rPr>
          <w:rFonts w:ascii="Times New Roman" w:cs="Times New Roman" w:eastAsia="Times New Roman" w:hAnsi="Times New Roman"/>
          <w:sz w:val="18"/>
          <w:szCs w:val="18"/>
          <w:color w:val="auto"/>
        </w:rPr>
      </w:pPr>
    </w:p>
    <w:p>
      <w:pPr>
        <w:ind w:right="60" w:firstLine="1072"/>
        <w:spacing w:after="0" w:line="241" w:lineRule="auto"/>
        <w:tabs>
          <w:tab w:leader="none" w:pos="165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3"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13.08</w:t>
      </w:r>
      <w:r>
        <w:rPr>
          <w:sz w:val="20"/>
          <w:szCs w:val="20"/>
          <w:color w:val="auto"/>
        </w:rPr>
        <w:tab/>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 w:firstLine="541"/>
        <w:spacing w:after="0" w:line="241" w:lineRule="auto"/>
        <w:rPr>
          <w:sz w:val="20"/>
          <w:szCs w:val="20"/>
          <w:color w:val="auto"/>
        </w:rPr>
      </w:pPr>
      <w:r>
        <w:rPr>
          <w:rFonts w:ascii="Times New Roman" w:cs="Times New Roman" w:eastAsia="Times New Roman" w:hAnsi="Times New Roman"/>
          <w:sz w:val="18"/>
          <w:szCs w:val="18"/>
          <w:color w:val="auto"/>
        </w:rPr>
        <w:t xml:space="preserve">Except as provided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7" w:name="page208"/>
    <w:bookmarkEnd w:id="207"/>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13.09</w:t>
      </w:r>
      <w:r>
        <w:rPr>
          <w:sz w:val="20"/>
          <w:szCs w:val="20"/>
          <w:color w:val="auto"/>
        </w:rPr>
        <w:tab/>
      </w:r>
      <w:r>
        <w:rPr>
          <w:rFonts w:ascii="Times New Roman" w:cs="Times New Roman" w:eastAsia="Times New Roman" w:hAnsi="Times New Roman"/>
          <w:sz w:val="17"/>
          <w:szCs w:val="17"/>
          <w:u w:val="single" w:color="auto"/>
          <w:color w:val="auto"/>
        </w:rPr>
        <w:t>Conflict with Trust Indenture Act</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firstLine="541"/>
        <w:spacing w:after="0" w:line="267"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48"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00" w:firstLine="541"/>
        <w:spacing w:after="0" w:line="245"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6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13.11</w:t>
      </w:r>
      <w:r>
        <w:rPr>
          <w:sz w:val="20"/>
          <w:szCs w:val="20"/>
          <w:color w:val="auto"/>
        </w:rPr>
        <w:tab/>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40" w:firstLine="541"/>
        <w:spacing w:after="0" w:line="245"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6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40" w:firstLine="541"/>
        <w:spacing w:after="0"/>
        <w:rPr>
          <w:sz w:val="20"/>
          <w:szCs w:val="20"/>
          <w:color w:val="auto"/>
        </w:rPr>
      </w:pPr>
      <w:r>
        <w:rPr>
          <w:rFonts w:ascii="Times New Roman" w:cs="Times New Roman" w:eastAsia="Times New Roman" w:hAnsi="Times New Roman"/>
          <w:sz w:val="18"/>
          <w:szCs w:val="18"/>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74"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13.13</w:t>
      </w:r>
      <w:r>
        <w:rPr>
          <w:sz w:val="20"/>
          <w:szCs w:val="20"/>
          <w:color w:val="auto"/>
        </w:rPr>
        <w:tab/>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right="180" w:firstLine="541"/>
        <w:spacing w:after="0" w:line="245"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8" w:name="page209"/>
    <w:bookmarkEnd w:id="208"/>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13.14</w:t>
      </w:r>
      <w:r>
        <w:rPr>
          <w:sz w:val="20"/>
          <w:szCs w:val="20"/>
          <w:color w:val="auto"/>
        </w:rPr>
        <w:tab/>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860" w:firstLine="541"/>
        <w:spacing w:after="0" w:line="267" w:lineRule="auto"/>
        <w:rPr>
          <w:sz w:val="20"/>
          <w:szCs w:val="20"/>
          <w:color w:val="auto"/>
        </w:rPr>
      </w:pPr>
      <w:r>
        <w:rPr>
          <w:rFonts w:ascii="Times New Roman" w:cs="Times New Roman" w:eastAsia="Times New Roman" w:hAnsi="Times New Roman"/>
          <w:sz w:val="18"/>
          <w:szCs w:val="18"/>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SUBORDINATION OF SECURITIES</w:t>
      </w:r>
    </w:p>
    <w:p>
      <w:pPr>
        <w:spacing w:after="0" w:line="179" w:lineRule="exact"/>
        <w:rPr>
          <w:sz w:val="20"/>
          <w:szCs w:val="20"/>
          <w:color w:val="auto"/>
        </w:rPr>
      </w:pPr>
    </w:p>
    <w:p>
      <w:pPr>
        <w:ind w:left="54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14.01</w:t>
      </w:r>
      <w:r>
        <w:rPr>
          <w:sz w:val="20"/>
          <w:szCs w:val="20"/>
          <w:color w:val="auto"/>
        </w:rPr>
        <w:tab/>
      </w:r>
      <w:r>
        <w:rPr>
          <w:rFonts w:ascii="Times New Roman" w:cs="Times New Roman" w:eastAsia="Times New Roman" w:hAnsi="Times New Roman"/>
          <w:sz w:val="17"/>
          <w:szCs w:val="17"/>
          <w:u w:val="single" w:color="auto"/>
          <w:color w:val="auto"/>
        </w:rPr>
        <w:t>Subordination Terms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firstLine="541"/>
        <w:spacing w:after="0" w:line="267" w:lineRule="auto"/>
        <w:rPr>
          <w:sz w:val="20"/>
          <w:szCs w:val="20"/>
          <w:color w:val="auto"/>
        </w:rPr>
      </w:pPr>
      <w:r>
        <w:rPr>
          <w:rFonts w:ascii="Times New Roman" w:cs="Times New Roman" w:eastAsia="Times New Roman" w:hAnsi="Times New Roman"/>
          <w:sz w:val="18"/>
          <w:szCs w:val="18"/>
          <w:color w:val="auto"/>
        </w:rPr>
        <w:t>The payment by the Company of the principal of, premium, if any, and interest on any series of Securities issued hereunder shall be subordinated to the extent set forth in an indenture supplemental hereto relating to such series.</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5180" cy="146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09" w:name="page210"/>
    <w:bookmarkEnd w:id="209"/>
    <w:p>
      <w:pPr>
        <w:ind w:left="4500" w:right="1239" w:hanging="5092"/>
        <w:spacing w:after="0" w:line="520" w:lineRule="auto"/>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parties hereto have caused this Indenture to be duly executed all as of the day and year first above written.</w:t>
      </w:r>
      <w:r>
        <w:rPr>
          <w:rFonts w:ascii="Times New Roman" w:cs="Times New Roman" w:eastAsia="Times New Roman" w:hAnsi="Times New Roman"/>
          <w:sz w:val="15"/>
          <w:szCs w:val="15"/>
          <w:b w:val="1"/>
          <w:bCs w:val="1"/>
          <w:color w:val="auto"/>
        </w:rPr>
        <w:t xml:space="preserve"> AVROBIO, INC., </w:t>
      </w:r>
      <w:r>
        <w:rPr>
          <w:rFonts w:ascii="Times New Roman" w:cs="Times New Roman" w:eastAsia="Times New Roman" w:hAnsi="Times New Roman"/>
          <w:sz w:val="15"/>
          <w:szCs w:val="15"/>
          <w:color w:val="auto"/>
        </w:rPr>
        <w:t>as Issuer</w:t>
      </w:r>
    </w:p>
    <w:p>
      <w:pPr>
        <w:ind w:left="45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21590</wp:posOffset>
            </wp:positionV>
            <wp:extent cx="3219450" cy="146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3219450" cy="14605"/>
                    </a:xfrm>
                    <a:prstGeom prst="rect">
                      <a:avLst/>
                    </a:prstGeom>
                    <a:noFill/>
                  </pic:spPr>
                </pic:pic>
              </a:graphicData>
            </a:graphic>
          </wp:anchor>
        </w:drawing>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21590</wp:posOffset>
            </wp:positionV>
            <wp:extent cx="3219450" cy="146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3219450" cy="14605"/>
                    </a:xfrm>
                    <a:prstGeom prst="rect">
                      <a:avLst/>
                    </a:prstGeom>
                    <a:noFill/>
                  </pic:spPr>
                </pic:pic>
              </a:graphicData>
            </a:graphic>
          </wp:anchor>
        </w:drawing>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21590</wp:posOffset>
            </wp:positionV>
            <wp:extent cx="3219450" cy="146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3219450" cy="146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b w:val="1"/>
          <w:bCs w:val="1"/>
          <w:color w:val="auto"/>
        </w:rPr>
        <w:t xml:space="preserve">[TRUSTEE], </w:t>
      </w:r>
      <w:r>
        <w:rPr>
          <w:rFonts w:ascii="Times New Roman" w:cs="Times New Roman" w:eastAsia="Times New Roman" w:hAnsi="Times New Roman"/>
          <w:sz w:val="15"/>
          <w:szCs w:val="15"/>
          <w:color w:val="auto"/>
        </w:rPr>
        <w:t>as Trustee</w:t>
      </w:r>
    </w:p>
    <w:p>
      <w:pPr>
        <w:spacing w:after="0" w:line="1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21590</wp:posOffset>
            </wp:positionV>
            <wp:extent cx="3219450" cy="14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3219450" cy="14605"/>
                    </a:xfrm>
                    <a:prstGeom prst="rect">
                      <a:avLst/>
                    </a:prstGeom>
                    <a:noFill/>
                  </pic:spPr>
                </pic:pic>
              </a:graphicData>
            </a:graphic>
          </wp:anchor>
        </w:drawing>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21590</wp:posOffset>
            </wp:positionV>
            <wp:extent cx="3219450" cy="146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3219450" cy="14605"/>
                    </a:xfrm>
                    <a:prstGeom prst="rect">
                      <a:avLst/>
                    </a:prstGeom>
                    <a:noFill/>
                  </pic:spPr>
                </pic:pic>
              </a:graphicData>
            </a:graphic>
          </wp:anchor>
        </w:drawing>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21590</wp:posOffset>
            </wp:positionV>
            <wp:extent cx="3219450" cy="146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3219450" cy="14605"/>
                    </a:xfrm>
                    <a:prstGeom prst="rect">
                      <a:avLst/>
                    </a:prstGeom>
                    <a:noFill/>
                  </pic:spPr>
                </pic:pic>
              </a:graphicData>
            </a:graphic>
          </wp:anchor>
        </w:drawing>
      </w:r>
    </w:p>
    <w:p>
      <w:pPr>
        <w:spacing w:after="0" w:line="21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Signature Page to Form of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233680</wp:posOffset>
            </wp:positionV>
            <wp:extent cx="7155180" cy="146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0" w:name="page211"/>
    <w:bookmarkEnd w:id="210"/>
    <w:p>
      <w:pPr>
        <w:ind w:left="10"/>
        <w:spacing w:after="0"/>
        <w:rPr>
          <w:sz w:val="20"/>
          <w:szCs w:val="20"/>
          <w:color w:val="auto"/>
        </w:rPr>
      </w:pPr>
      <w:r>
        <w:rPr>
          <w:rFonts w:ascii="Times New Roman" w:cs="Times New Roman" w:eastAsia="Times New Roman" w:hAnsi="Times New Roman"/>
          <w:sz w:val="18"/>
          <w:szCs w:val="18"/>
          <w:b w:val="1"/>
          <w:bCs w:val="1"/>
          <w:color w:val="auto"/>
        </w:rPr>
        <w:t>TRUST INDENTURE ACT CROSS-REFERENCE TABLE</w:t>
      </w:r>
      <w:r>
        <w:rPr>
          <w:rFonts w:ascii="Times New Roman" w:cs="Times New Roman" w:eastAsia="Times New Roman" w:hAnsi="Times New Roman"/>
          <w:sz w:val="30"/>
          <w:szCs w:val="30"/>
          <w:b w:val="1"/>
          <w:bCs w:val="1"/>
          <w:color w:val="auto"/>
          <w:vertAlign w:val="superscript"/>
        </w:rPr>
        <w:t>2</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Section of Trust Indenture Act of 1939, as amended</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b w:val="1"/>
                <w:bCs w:val="1"/>
                <w:color w:val="auto"/>
              </w:rPr>
              <w:t>Section of Indenture</w:t>
            </w:r>
          </w:p>
        </w:tc>
      </w:tr>
      <w:tr>
        <w:trPr>
          <w:trHeight w:val="181"/>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310(a)</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7.09</w:t>
            </w:r>
          </w:p>
        </w:tc>
      </w:tr>
      <w:tr>
        <w:trPr>
          <w:trHeight w:val="166"/>
        </w:trPr>
        <w:tc>
          <w:tcPr>
            <w:tcW w:w="5680" w:type="dxa"/>
            <w:vAlign w:val="bottom"/>
          </w:tcPr>
          <w:p>
            <w:pPr>
              <w:ind w:left="100"/>
              <w:spacing w:after="0" w:line="166" w:lineRule="exact"/>
              <w:rPr>
                <w:sz w:val="20"/>
                <w:szCs w:val="20"/>
                <w:color w:val="auto"/>
              </w:rPr>
            </w:pPr>
            <w:r>
              <w:rPr>
                <w:rFonts w:ascii="Times New Roman" w:cs="Times New Roman" w:eastAsia="Times New Roman" w:hAnsi="Times New Roman"/>
                <w:sz w:val="15"/>
                <w:szCs w:val="15"/>
                <w:color w:val="auto"/>
              </w:rPr>
              <w:t>310(b)</w:t>
            </w:r>
          </w:p>
        </w:tc>
        <w:tc>
          <w:tcPr>
            <w:tcW w:w="5580" w:type="dxa"/>
            <w:vAlign w:val="bottom"/>
          </w:tcPr>
          <w:p>
            <w:pPr>
              <w:ind w:left="2320"/>
              <w:spacing w:after="0" w:line="166" w:lineRule="exact"/>
              <w:rPr>
                <w:sz w:val="20"/>
                <w:szCs w:val="20"/>
                <w:color w:val="auto"/>
              </w:rPr>
            </w:pPr>
            <w:r>
              <w:rPr>
                <w:rFonts w:ascii="Times New Roman" w:cs="Times New Roman" w:eastAsia="Times New Roman" w:hAnsi="Times New Roman"/>
                <w:sz w:val="15"/>
                <w:szCs w:val="15"/>
                <w:color w:val="auto"/>
              </w:rPr>
              <w:t>7.08</w:t>
            </w:r>
          </w:p>
        </w:tc>
      </w:tr>
      <w:tr>
        <w:trPr>
          <w:trHeight w:val="194"/>
        </w:trPr>
        <w:tc>
          <w:tcPr>
            <w:tcW w:w="5680" w:type="dxa"/>
            <w:vAlign w:val="bottom"/>
          </w:tcPr>
          <w:p>
            <w:pPr>
              <w:spacing w:after="0"/>
              <w:rPr>
                <w:sz w:val="16"/>
                <w:szCs w:val="16"/>
                <w:color w:val="auto"/>
              </w:rPr>
            </w:pP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7.10</w:t>
            </w:r>
          </w:p>
        </w:tc>
      </w:tr>
      <w:tr>
        <w:trPr>
          <w:trHeight w:val="181"/>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310(c)</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0"/>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311(a)</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7.13</w:t>
            </w:r>
          </w:p>
        </w:tc>
      </w:tr>
      <w:tr>
        <w:trPr>
          <w:trHeight w:val="180"/>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311(b)</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7.13</w:t>
            </w:r>
          </w:p>
        </w:tc>
      </w:tr>
      <w:tr>
        <w:trPr>
          <w:trHeight w:val="180"/>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311(c)</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Inapplicable</w:t>
            </w:r>
          </w:p>
        </w:tc>
      </w:tr>
      <w:tr>
        <w:trPr>
          <w:trHeight w:val="166"/>
        </w:trPr>
        <w:tc>
          <w:tcPr>
            <w:tcW w:w="5680" w:type="dxa"/>
            <w:vAlign w:val="bottom"/>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312(a)</w:t>
            </w:r>
          </w:p>
        </w:tc>
        <w:tc>
          <w:tcPr>
            <w:tcW w:w="5580" w:type="dxa"/>
            <w:vAlign w:val="bottom"/>
            <w:shd w:val="clear" w:color="auto" w:fill="CCEEFF"/>
          </w:tcPr>
          <w:p>
            <w:pPr>
              <w:ind w:left="2320"/>
              <w:spacing w:after="0" w:line="166" w:lineRule="exact"/>
              <w:rPr>
                <w:sz w:val="20"/>
                <w:szCs w:val="20"/>
                <w:color w:val="auto"/>
              </w:rPr>
            </w:pPr>
            <w:r>
              <w:rPr>
                <w:rFonts w:ascii="Times New Roman" w:cs="Times New Roman" w:eastAsia="Times New Roman" w:hAnsi="Times New Roman"/>
                <w:sz w:val="15"/>
                <w:szCs w:val="15"/>
                <w:color w:val="auto"/>
              </w:rPr>
              <w:t>5.01</w:t>
            </w:r>
          </w:p>
        </w:tc>
      </w:tr>
      <w:tr>
        <w:trPr>
          <w:trHeight w:val="195"/>
        </w:trPr>
        <w:tc>
          <w:tcPr>
            <w:tcW w:w="5680" w:type="dxa"/>
            <w:vAlign w:val="bottom"/>
            <w:shd w:val="clear" w:color="auto" w:fill="CCEEFF"/>
          </w:tcPr>
          <w:p>
            <w:pPr>
              <w:spacing w:after="0"/>
              <w:rPr>
                <w:sz w:val="16"/>
                <w:szCs w:val="16"/>
                <w:color w:val="auto"/>
              </w:rPr>
            </w:pP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5.02(a)</w:t>
            </w:r>
          </w:p>
        </w:tc>
      </w:tr>
      <w:tr>
        <w:trPr>
          <w:trHeight w:val="180"/>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312(b)</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5.02(c)</w:t>
            </w:r>
          </w:p>
        </w:tc>
      </w:tr>
      <w:tr>
        <w:trPr>
          <w:trHeight w:val="180"/>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312(c)</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5.02(c)</w:t>
            </w:r>
          </w:p>
        </w:tc>
      </w:tr>
      <w:tr>
        <w:trPr>
          <w:trHeight w:val="180"/>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313(a)</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5.04(a)</w:t>
            </w:r>
          </w:p>
        </w:tc>
      </w:tr>
      <w:tr>
        <w:trPr>
          <w:trHeight w:val="180"/>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313(b)</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5.04(b)</w:t>
            </w:r>
          </w:p>
        </w:tc>
      </w:tr>
      <w:tr>
        <w:trPr>
          <w:trHeight w:val="166"/>
        </w:trPr>
        <w:tc>
          <w:tcPr>
            <w:tcW w:w="5680" w:type="dxa"/>
            <w:vAlign w:val="bottom"/>
          </w:tcPr>
          <w:p>
            <w:pPr>
              <w:ind w:left="100"/>
              <w:spacing w:after="0" w:line="166" w:lineRule="exact"/>
              <w:rPr>
                <w:sz w:val="20"/>
                <w:szCs w:val="20"/>
                <w:color w:val="auto"/>
              </w:rPr>
            </w:pPr>
            <w:r>
              <w:rPr>
                <w:rFonts w:ascii="Times New Roman" w:cs="Times New Roman" w:eastAsia="Times New Roman" w:hAnsi="Times New Roman"/>
                <w:sz w:val="15"/>
                <w:szCs w:val="15"/>
                <w:color w:val="auto"/>
              </w:rPr>
              <w:t>313(c)</w:t>
            </w:r>
          </w:p>
        </w:tc>
        <w:tc>
          <w:tcPr>
            <w:tcW w:w="5580" w:type="dxa"/>
            <w:vAlign w:val="bottom"/>
          </w:tcPr>
          <w:p>
            <w:pPr>
              <w:ind w:left="2320"/>
              <w:spacing w:after="0" w:line="166" w:lineRule="exact"/>
              <w:rPr>
                <w:sz w:val="20"/>
                <w:szCs w:val="20"/>
                <w:color w:val="auto"/>
              </w:rPr>
            </w:pPr>
            <w:r>
              <w:rPr>
                <w:rFonts w:ascii="Times New Roman" w:cs="Times New Roman" w:eastAsia="Times New Roman" w:hAnsi="Times New Roman"/>
                <w:sz w:val="15"/>
                <w:szCs w:val="15"/>
                <w:color w:val="auto"/>
              </w:rPr>
              <w:t>5.04(a)</w:t>
            </w:r>
          </w:p>
        </w:tc>
      </w:tr>
      <w:tr>
        <w:trPr>
          <w:trHeight w:val="194"/>
        </w:trPr>
        <w:tc>
          <w:tcPr>
            <w:tcW w:w="5680" w:type="dxa"/>
            <w:vAlign w:val="bottom"/>
          </w:tcPr>
          <w:p>
            <w:pPr>
              <w:spacing w:after="0"/>
              <w:rPr>
                <w:sz w:val="16"/>
                <w:szCs w:val="16"/>
                <w:color w:val="auto"/>
              </w:rPr>
            </w:pP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5.04(b)</w:t>
            </w:r>
          </w:p>
        </w:tc>
      </w:tr>
      <w:tr>
        <w:trPr>
          <w:trHeight w:val="181"/>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313(d)</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5.04(c)</w:t>
            </w:r>
          </w:p>
        </w:tc>
      </w:tr>
      <w:tr>
        <w:trPr>
          <w:trHeight w:val="166"/>
        </w:trPr>
        <w:tc>
          <w:tcPr>
            <w:tcW w:w="5680" w:type="dxa"/>
            <w:vAlign w:val="bottom"/>
          </w:tcPr>
          <w:p>
            <w:pPr>
              <w:ind w:left="100"/>
              <w:spacing w:after="0" w:line="166" w:lineRule="exact"/>
              <w:rPr>
                <w:sz w:val="20"/>
                <w:szCs w:val="20"/>
                <w:color w:val="auto"/>
              </w:rPr>
            </w:pPr>
            <w:r>
              <w:rPr>
                <w:rFonts w:ascii="Times New Roman" w:cs="Times New Roman" w:eastAsia="Times New Roman" w:hAnsi="Times New Roman"/>
                <w:sz w:val="15"/>
                <w:szCs w:val="15"/>
                <w:color w:val="auto"/>
              </w:rPr>
              <w:t>314(a)</w:t>
            </w:r>
          </w:p>
        </w:tc>
        <w:tc>
          <w:tcPr>
            <w:tcW w:w="5580" w:type="dxa"/>
            <w:vAlign w:val="bottom"/>
          </w:tcPr>
          <w:p>
            <w:pPr>
              <w:ind w:left="2320"/>
              <w:spacing w:after="0" w:line="166" w:lineRule="exact"/>
              <w:rPr>
                <w:sz w:val="20"/>
                <w:szCs w:val="20"/>
                <w:color w:val="auto"/>
              </w:rPr>
            </w:pPr>
            <w:r>
              <w:rPr>
                <w:rFonts w:ascii="Times New Roman" w:cs="Times New Roman" w:eastAsia="Times New Roman" w:hAnsi="Times New Roman"/>
                <w:sz w:val="15"/>
                <w:szCs w:val="15"/>
                <w:color w:val="auto"/>
              </w:rPr>
              <w:t>5.03</w:t>
            </w:r>
          </w:p>
        </w:tc>
      </w:tr>
      <w:tr>
        <w:trPr>
          <w:trHeight w:val="194"/>
        </w:trPr>
        <w:tc>
          <w:tcPr>
            <w:tcW w:w="5680" w:type="dxa"/>
            <w:vAlign w:val="bottom"/>
          </w:tcPr>
          <w:p>
            <w:pPr>
              <w:spacing w:after="0"/>
              <w:rPr>
                <w:sz w:val="16"/>
                <w:szCs w:val="16"/>
                <w:color w:val="auto"/>
              </w:rPr>
            </w:pP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13.12</w:t>
            </w:r>
          </w:p>
        </w:tc>
      </w:tr>
      <w:tr>
        <w:trPr>
          <w:trHeight w:val="181"/>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314(b)</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0"/>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314(c)</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13.07(a)</w:t>
            </w:r>
          </w:p>
        </w:tc>
      </w:tr>
      <w:tr>
        <w:trPr>
          <w:trHeight w:val="180"/>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314(d)</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Inapplicable</w:t>
            </w:r>
          </w:p>
        </w:tc>
      </w:tr>
      <w:tr>
        <w:trPr>
          <w:trHeight w:val="180"/>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314(e)</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13.07(b)</w:t>
            </w:r>
          </w:p>
        </w:tc>
      </w:tr>
      <w:tr>
        <w:trPr>
          <w:trHeight w:val="180"/>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314(f)</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Inapplicable</w:t>
            </w:r>
          </w:p>
        </w:tc>
      </w:tr>
      <w:tr>
        <w:trPr>
          <w:trHeight w:val="166"/>
        </w:trPr>
        <w:tc>
          <w:tcPr>
            <w:tcW w:w="5680" w:type="dxa"/>
            <w:vAlign w:val="bottom"/>
          </w:tcPr>
          <w:p>
            <w:pPr>
              <w:ind w:left="100"/>
              <w:spacing w:after="0" w:line="166" w:lineRule="exact"/>
              <w:rPr>
                <w:sz w:val="20"/>
                <w:szCs w:val="20"/>
                <w:color w:val="auto"/>
              </w:rPr>
            </w:pPr>
            <w:r>
              <w:rPr>
                <w:rFonts w:ascii="Times New Roman" w:cs="Times New Roman" w:eastAsia="Times New Roman" w:hAnsi="Times New Roman"/>
                <w:sz w:val="15"/>
                <w:szCs w:val="15"/>
                <w:color w:val="auto"/>
              </w:rPr>
              <w:t>315(a)</w:t>
            </w:r>
          </w:p>
        </w:tc>
        <w:tc>
          <w:tcPr>
            <w:tcW w:w="5580" w:type="dxa"/>
            <w:vAlign w:val="bottom"/>
          </w:tcPr>
          <w:p>
            <w:pPr>
              <w:ind w:left="2320"/>
              <w:spacing w:after="0" w:line="166" w:lineRule="exact"/>
              <w:rPr>
                <w:sz w:val="20"/>
                <w:szCs w:val="20"/>
                <w:color w:val="auto"/>
              </w:rPr>
            </w:pPr>
            <w:r>
              <w:rPr>
                <w:rFonts w:ascii="Times New Roman" w:cs="Times New Roman" w:eastAsia="Times New Roman" w:hAnsi="Times New Roman"/>
                <w:sz w:val="15"/>
                <w:szCs w:val="15"/>
                <w:color w:val="auto"/>
              </w:rPr>
              <w:t>7.01(a)</w:t>
            </w:r>
          </w:p>
        </w:tc>
      </w:tr>
      <w:tr>
        <w:trPr>
          <w:trHeight w:val="194"/>
        </w:trPr>
        <w:tc>
          <w:tcPr>
            <w:tcW w:w="5680" w:type="dxa"/>
            <w:vAlign w:val="bottom"/>
          </w:tcPr>
          <w:p>
            <w:pPr>
              <w:spacing w:after="0"/>
              <w:rPr>
                <w:sz w:val="16"/>
                <w:szCs w:val="16"/>
                <w:color w:val="auto"/>
              </w:rPr>
            </w:pP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7.01(b)</w:t>
            </w:r>
          </w:p>
        </w:tc>
      </w:tr>
      <w:tr>
        <w:trPr>
          <w:trHeight w:val="181"/>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315(b)</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7.14</w:t>
            </w:r>
          </w:p>
        </w:tc>
      </w:tr>
      <w:tr>
        <w:trPr>
          <w:trHeight w:val="180"/>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315(c)</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7.01(a)</w:t>
            </w:r>
          </w:p>
        </w:tc>
      </w:tr>
      <w:tr>
        <w:trPr>
          <w:trHeight w:val="180"/>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315(d)</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7.01(b)</w:t>
            </w:r>
          </w:p>
        </w:tc>
      </w:tr>
      <w:tr>
        <w:trPr>
          <w:trHeight w:val="180"/>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315(e)</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6.07</w:t>
            </w:r>
          </w:p>
        </w:tc>
      </w:tr>
      <w:tr>
        <w:trPr>
          <w:trHeight w:val="166"/>
        </w:trPr>
        <w:tc>
          <w:tcPr>
            <w:tcW w:w="5680" w:type="dxa"/>
            <w:vAlign w:val="bottom"/>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316(a)</w:t>
            </w:r>
          </w:p>
        </w:tc>
        <w:tc>
          <w:tcPr>
            <w:tcW w:w="5580" w:type="dxa"/>
            <w:vAlign w:val="bottom"/>
            <w:shd w:val="clear" w:color="auto" w:fill="CCEEFF"/>
          </w:tcPr>
          <w:p>
            <w:pPr>
              <w:ind w:left="2320"/>
              <w:spacing w:after="0" w:line="166" w:lineRule="exact"/>
              <w:rPr>
                <w:sz w:val="20"/>
                <w:szCs w:val="20"/>
                <w:color w:val="auto"/>
              </w:rPr>
            </w:pPr>
            <w:r>
              <w:rPr>
                <w:rFonts w:ascii="Times New Roman" w:cs="Times New Roman" w:eastAsia="Times New Roman" w:hAnsi="Times New Roman"/>
                <w:sz w:val="15"/>
                <w:szCs w:val="15"/>
                <w:color w:val="auto"/>
              </w:rPr>
              <w:t>6.06</w:t>
            </w:r>
          </w:p>
        </w:tc>
      </w:tr>
      <w:tr>
        <w:trPr>
          <w:trHeight w:val="195"/>
        </w:trPr>
        <w:tc>
          <w:tcPr>
            <w:tcW w:w="5680" w:type="dxa"/>
            <w:vAlign w:val="bottom"/>
            <w:shd w:val="clear" w:color="auto" w:fill="CCEEFF"/>
          </w:tcPr>
          <w:p>
            <w:pPr>
              <w:spacing w:after="0"/>
              <w:rPr>
                <w:sz w:val="16"/>
                <w:szCs w:val="16"/>
                <w:color w:val="auto"/>
              </w:rPr>
            </w:pP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8.04</w:t>
            </w:r>
          </w:p>
        </w:tc>
      </w:tr>
      <w:tr>
        <w:trPr>
          <w:trHeight w:val="180"/>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316(b)</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6.04</w:t>
            </w:r>
          </w:p>
        </w:tc>
      </w:tr>
      <w:tr>
        <w:trPr>
          <w:trHeight w:val="180"/>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316(c)</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8.01</w:t>
            </w:r>
          </w:p>
        </w:tc>
      </w:tr>
      <w:tr>
        <w:trPr>
          <w:trHeight w:val="180"/>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317(a)</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6.02</w:t>
            </w:r>
          </w:p>
        </w:tc>
      </w:tr>
      <w:tr>
        <w:trPr>
          <w:trHeight w:val="180"/>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317(b)</w:t>
            </w:r>
          </w:p>
        </w:tc>
        <w:tc>
          <w:tcPr>
            <w:tcW w:w="55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4.03</w:t>
            </w:r>
          </w:p>
        </w:tc>
      </w:tr>
      <w:tr>
        <w:trPr>
          <w:trHeight w:val="194"/>
        </w:trPr>
        <w:tc>
          <w:tcPr>
            <w:tcW w:w="5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318(a)</w:t>
            </w:r>
          </w:p>
        </w:tc>
        <w:tc>
          <w:tcPr>
            <w:tcW w:w="558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137350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1373505" cy="6985"/>
                    </a:xfrm>
                    <a:prstGeom prst="rect">
                      <a:avLst/>
                    </a:prstGeom>
                    <a:noFill/>
                  </pic:spPr>
                </pic:pic>
              </a:graphicData>
            </a:graphic>
          </wp:anchor>
        </w:drawing>
      </w:r>
    </w:p>
    <w:p>
      <w:pPr>
        <w:spacing w:after="0" w:line="253" w:lineRule="exact"/>
        <w:rPr>
          <w:sz w:val="20"/>
          <w:szCs w:val="20"/>
          <w:color w:val="auto"/>
        </w:rPr>
      </w:pPr>
    </w:p>
    <w:p>
      <w:pPr>
        <w:ind w:left="130" w:hanging="130"/>
        <w:spacing w:after="0"/>
        <w:tabs>
          <w:tab w:leader="none" w:pos="130" w:val="left"/>
        </w:tabs>
        <w:numPr>
          <w:ilvl w:val="0"/>
          <w:numId w:val="2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Cross-Reference Table does not constitute part of the Indenture and shall not have any bearing on the interpretation of any of its terms or provisions.</w:t>
      </w:r>
    </w:p>
    <w:p>
      <w:pPr>
        <w:spacing w:after="0" w:line="38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155180" cy="146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10" w:right="319" w:bottom="1440" w:gutter="0" w:footer="0" w:header="0"/>
        </w:sectPr>
      </w:pPr>
    </w:p>
    <w:bookmarkStart w:id="211" w:name="page212"/>
    <w:bookmarkEnd w:id="211"/>
    <w:p>
      <w:pPr>
        <w:ind w:left="10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5.1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[GOODWIN LETTERHEAD]</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8,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Technology Square</w:t>
      </w:r>
    </w:p>
    <w:p>
      <w:pPr>
        <w:spacing w:after="0" w:line="235" w:lineRule="auto"/>
        <w:rPr>
          <w:sz w:val="20"/>
          <w:szCs w:val="20"/>
          <w:color w:val="auto"/>
        </w:rPr>
      </w:pPr>
      <w:r>
        <w:rPr>
          <w:rFonts w:ascii="Times New Roman" w:cs="Times New Roman" w:eastAsia="Times New Roman" w:hAnsi="Times New Roman"/>
          <w:sz w:val="18"/>
          <w:szCs w:val="18"/>
          <w:color w:val="auto"/>
        </w:rPr>
        <w:t>Sixth Floor</w:t>
      </w: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179" w:lineRule="exact"/>
        <w:rPr>
          <w:sz w:val="20"/>
          <w:szCs w:val="20"/>
          <w:color w:val="auto"/>
        </w:rPr>
      </w:pPr>
    </w:p>
    <w:p>
      <w:pPr>
        <w:ind w:left="540"/>
        <w:spacing w:after="0"/>
        <w:tabs>
          <w:tab w:leader="none" w:pos="12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S-3</w:t>
      </w:r>
    </w:p>
    <w:p>
      <w:pPr>
        <w:spacing w:after="0" w:line="199" w:lineRule="exact"/>
        <w:rPr>
          <w:sz w:val="20"/>
          <w:szCs w:val="20"/>
          <w:color w:val="auto"/>
        </w:rPr>
      </w:pPr>
    </w:p>
    <w:p>
      <w:pPr>
        <w:jc w:val="both"/>
        <w:ind w:firstLine="541"/>
        <w:spacing w:after="0" w:line="238"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(as amended or supplemented,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offering by AVROBIO,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up to $250,000,000 of any combination of (i)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(ii) preferred stock, par value $0.0001 per share, of the Company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(iii) debt securities of the Company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(iv) warrants to purchase Common Stock, Preferred Stock and/or Debt Securities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(v) units comprised of Common Stock, Preferred Stock, Debt Securities and Warrants in any combination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to the prospectus contained in the Registration Statement.</w:t>
      </w:r>
    </w:p>
    <w:p>
      <w:pPr>
        <w:spacing w:after="0" w:line="178" w:lineRule="exact"/>
        <w:rPr>
          <w:sz w:val="20"/>
          <w:szCs w:val="20"/>
          <w:color w:val="auto"/>
        </w:rPr>
      </w:pPr>
    </w:p>
    <w:p>
      <w:pPr>
        <w:jc w:val="both"/>
        <w:ind w:firstLine="541"/>
        <w:spacing w:after="0" w:line="251"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the law of New York.</w:t>
      </w:r>
    </w:p>
    <w:p>
      <w:pPr>
        <w:spacing w:after="0" w:line="199" w:lineRule="exact"/>
        <w:rPr>
          <w:sz w:val="20"/>
          <w:szCs w:val="20"/>
          <w:color w:val="auto"/>
        </w:rPr>
      </w:pPr>
    </w:p>
    <w:p>
      <w:pPr>
        <w:jc w:val="both"/>
        <w:ind w:firstLine="541"/>
        <w:spacing w:after="0"/>
        <w:rPr>
          <w:sz w:val="20"/>
          <w:szCs w:val="20"/>
          <w:color w:val="auto"/>
        </w:rPr>
      </w:pPr>
      <w:r>
        <w:rPr>
          <w:rFonts w:ascii="Times New Roman" w:cs="Times New Roman" w:eastAsia="Times New Roman" w:hAnsi="Times New Roman"/>
          <w:sz w:val="18"/>
          <w:szCs w:val="18"/>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available for issuance under the Company’s certificate of incorporation as then in effect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88900</wp:posOffset>
            </wp:positionV>
            <wp:extent cx="7155180" cy="14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248" w:right="3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2022</w:t>
      </w: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purposes of the opinions set forth below, we refer to the following as the “Future Authorization and Issuance” of Securities:</w:t>
      </w:r>
    </w:p>
    <w:p>
      <w:pPr>
        <w:spacing w:after="0" w:line="207" w:lineRule="exact"/>
        <w:rPr>
          <w:sz w:val="20"/>
          <w:szCs w:val="20"/>
          <w:color w:val="auto"/>
        </w:rPr>
      </w:pPr>
    </w:p>
    <w:p>
      <w:pPr>
        <w:jc w:val="both"/>
        <w:ind w:left="1080" w:hanging="279"/>
        <w:spacing w:after="0" w:line="265" w:lineRule="auto"/>
        <w:tabs>
          <w:tab w:leader="none" w:pos="108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of the Securities, (a) the authorization by the Company of the amount, terms and issuance of such Securities (the “</w:t>
      </w:r>
      <w:r>
        <w:rPr>
          <w:rFonts w:ascii="Times New Roman" w:cs="Times New Roman" w:eastAsia="Times New Roman" w:hAnsi="Times New Roman"/>
          <w:sz w:val="15"/>
          <w:szCs w:val="15"/>
          <w:u w:val="single" w:color="auto"/>
          <w:color w:val="auto"/>
        </w:rPr>
        <w:t>Authorization</w:t>
      </w:r>
      <w:r>
        <w:rPr>
          <w:rFonts w:ascii="Times New Roman" w:cs="Times New Roman" w:eastAsia="Times New Roman" w:hAnsi="Times New Roman"/>
          <w:sz w:val="15"/>
          <w:szCs w:val="15"/>
          <w:color w:val="auto"/>
        </w:rPr>
        <w:t>”)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172" w:lineRule="exact"/>
        <w:rPr>
          <w:rFonts w:ascii="Times New Roman" w:cs="Times New Roman" w:eastAsia="Times New Roman" w:hAnsi="Times New Roman"/>
          <w:sz w:val="15"/>
          <w:szCs w:val="15"/>
          <w:color w:val="auto"/>
        </w:rPr>
      </w:pPr>
    </w:p>
    <w:p>
      <w:pPr>
        <w:jc w:val="both"/>
        <w:ind w:left="1080" w:hanging="279"/>
        <w:spacing w:after="0" w:line="265" w:lineRule="auto"/>
        <w:tabs>
          <w:tab w:leader="none" w:pos="108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172" w:lineRule="exact"/>
        <w:rPr>
          <w:rFonts w:ascii="Times New Roman" w:cs="Times New Roman" w:eastAsia="Times New Roman" w:hAnsi="Times New Roman"/>
          <w:sz w:val="15"/>
          <w:szCs w:val="15"/>
          <w:color w:val="auto"/>
        </w:rPr>
      </w:pPr>
    </w:p>
    <w:p>
      <w:pPr>
        <w:jc w:val="both"/>
        <w:ind w:left="1080" w:hanging="279"/>
        <w:spacing w:after="0" w:line="260" w:lineRule="auto"/>
        <w:tabs>
          <w:tab w:leader="none" w:pos="108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and</w:t>
      </w:r>
    </w:p>
    <w:p>
      <w:pPr>
        <w:spacing w:after="0" w:line="176" w:lineRule="exact"/>
        <w:rPr>
          <w:rFonts w:ascii="Times New Roman" w:cs="Times New Roman" w:eastAsia="Times New Roman" w:hAnsi="Times New Roman"/>
          <w:sz w:val="15"/>
          <w:szCs w:val="15"/>
          <w:color w:val="auto"/>
        </w:rPr>
      </w:pPr>
    </w:p>
    <w:p>
      <w:pPr>
        <w:jc w:val="both"/>
        <w:ind w:left="1080" w:hanging="279"/>
        <w:spacing w:after="0" w:line="265" w:lineRule="auto"/>
        <w:tabs>
          <w:tab w:leader="none" w:pos="108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Warrants or Units, (a) the authorization, execution and delivery by the Company and the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Based upon the foregoing, and subject to the additional qualifications set forth below, we are of the opinion that:</w:t>
      </w:r>
    </w:p>
    <w:p>
      <w:pPr>
        <w:spacing w:after="0" w:line="199" w:lineRule="exact"/>
        <w:rPr>
          <w:sz w:val="20"/>
          <w:szCs w:val="20"/>
          <w:color w:val="auto"/>
        </w:rPr>
      </w:pPr>
    </w:p>
    <w:p>
      <w:pPr>
        <w:ind w:firstLine="531"/>
        <w:spacing w:after="0" w:line="267" w:lineRule="auto"/>
        <w:tabs>
          <w:tab w:leader="none" w:pos="119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shares of Common Stock, such shares of Common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7155180" cy="146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2022</w:t>
      </w: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79" w:lineRule="exact"/>
        <w:rPr>
          <w:sz w:val="20"/>
          <w:szCs w:val="20"/>
          <w:color w:val="auto"/>
        </w:rPr>
      </w:pPr>
    </w:p>
    <w:p>
      <w:pPr>
        <w:ind w:right="240" w:firstLine="531"/>
        <w:spacing w:after="0" w:line="267" w:lineRule="auto"/>
        <w:tabs>
          <w:tab w:leader="none" w:pos="112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shares of Preferred Stock, such shares of Preferred Stock will be validly issued, fully paid and nonassessable.</w:t>
      </w:r>
    </w:p>
    <w:p>
      <w:pPr>
        <w:spacing w:after="0" w:line="147" w:lineRule="exact"/>
        <w:rPr>
          <w:rFonts w:ascii="Times New Roman" w:cs="Times New Roman" w:eastAsia="Times New Roman" w:hAnsi="Times New Roman"/>
          <w:sz w:val="18"/>
          <w:szCs w:val="18"/>
          <w:color w:val="auto"/>
        </w:rPr>
      </w:pPr>
    </w:p>
    <w:p>
      <w:pPr>
        <w:ind w:left="1120" w:hanging="589"/>
        <w:spacing w:after="0"/>
        <w:tabs>
          <w:tab w:leader="none" w:pos="11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Debt Securities, such Debt Securities will be valid and binding obligations of the Company.</w:t>
      </w:r>
    </w:p>
    <w:p>
      <w:pPr>
        <w:spacing w:after="0" w:line="198" w:lineRule="exact"/>
        <w:rPr>
          <w:rFonts w:ascii="Times New Roman" w:cs="Times New Roman" w:eastAsia="Times New Roman" w:hAnsi="Times New Roman"/>
          <w:sz w:val="18"/>
          <w:szCs w:val="18"/>
          <w:color w:val="auto"/>
        </w:rPr>
      </w:pPr>
    </w:p>
    <w:p>
      <w:pPr>
        <w:ind w:left="1120" w:hanging="589"/>
        <w:spacing w:after="0"/>
        <w:tabs>
          <w:tab w:leader="none" w:pos="11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Warrants, such Warrants will be valid and binding obligations of the Company.</w:t>
      </w:r>
    </w:p>
    <w:p>
      <w:pPr>
        <w:spacing w:after="0" w:line="198" w:lineRule="exact"/>
        <w:rPr>
          <w:rFonts w:ascii="Times New Roman" w:cs="Times New Roman" w:eastAsia="Times New Roman" w:hAnsi="Times New Roman"/>
          <w:sz w:val="18"/>
          <w:szCs w:val="18"/>
          <w:color w:val="auto"/>
        </w:rPr>
      </w:pPr>
    </w:p>
    <w:p>
      <w:pPr>
        <w:ind w:left="1120" w:hanging="589"/>
        <w:spacing w:after="0"/>
        <w:tabs>
          <w:tab w:leader="none" w:pos="11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Units, such Units will be valid and binding obligations of the Company.</w:t>
      </w:r>
    </w:p>
    <w:p>
      <w:pPr>
        <w:spacing w:after="0" w:line="199"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46" w:lineRule="exact"/>
        <w:rPr>
          <w:sz w:val="20"/>
          <w:szCs w:val="20"/>
          <w:color w:val="auto"/>
        </w:rPr>
      </w:pPr>
    </w:p>
    <w:p>
      <w:pPr>
        <w:jc w:val="both"/>
        <w:ind w:firstLine="541"/>
        <w:spacing w:after="0" w:line="269"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Lawyer </w:t>
      </w:r>
      <w:r>
        <w:rPr>
          <w:rFonts w:ascii="Times New Roman" w:cs="Times New Roman" w:eastAsia="Times New Roman" w:hAnsi="Times New Roman"/>
          <w:sz w:val="18"/>
          <w:szCs w:val="18"/>
          <w:color w:val="auto"/>
        </w:rPr>
        <w:t>815 (Summer 2019).</w:t>
      </w:r>
    </w:p>
    <w:p>
      <w:pPr>
        <w:spacing w:after="0" w:line="146" w:lineRule="exact"/>
        <w:rPr>
          <w:sz w:val="20"/>
          <w:szCs w:val="20"/>
          <w:color w:val="auto"/>
        </w:rPr>
      </w:pPr>
    </w:p>
    <w:p>
      <w:pPr>
        <w:jc w:val="both"/>
        <w:ind w:firstLine="541"/>
        <w:spacing w:after="0" w:line="251"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 xml:space="preserve">/s/ Goodwin Procter </w:t>
      </w:r>
      <w:r>
        <w:rPr>
          <w:rFonts w:ascii="Times New Roman" w:cs="Times New Roman" w:eastAsia="Times New Roman" w:hAnsi="Times New Roman"/>
          <w:sz w:val="10"/>
          <w:szCs w:val="10"/>
          <w:color w:val="auto"/>
        </w:rPr>
        <w:t>llp</w:t>
      </w:r>
    </w:p>
    <w:p>
      <w:pPr>
        <w:spacing w:after="0" w:line="1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7155180" cy="14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4" w:name="page215"/>
    <w:bookmarkEnd w:id="214"/>
    <w:p>
      <w:pPr>
        <w:ind w:left="10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5.2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[GOODWIN LETTERHEAD]</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8,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Technology Square</w:t>
      </w:r>
    </w:p>
    <w:p>
      <w:pPr>
        <w:spacing w:after="0" w:line="235" w:lineRule="auto"/>
        <w:rPr>
          <w:sz w:val="20"/>
          <w:szCs w:val="20"/>
          <w:color w:val="auto"/>
        </w:rPr>
      </w:pPr>
      <w:r>
        <w:rPr>
          <w:rFonts w:ascii="Times New Roman" w:cs="Times New Roman" w:eastAsia="Times New Roman" w:hAnsi="Times New Roman"/>
          <w:sz w:val="18"/>
          <w:szCs w:val="18"/>
          <w:color w:val="auto"/>
        </w:rPr>
        <w:t>Sixth Floor</w:t>
      </w: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179" w:lineRule="exact"/>
        <w:rPr>
          <w:sz w:val="20"/>
          <w:szCs w:val="20"/>
          <w:color w:val="auto"/>
        </w:rPr>
      </w:pPr>
    </w:p>
    <w:p>
      <w:pPr>
        <w:ind w:left="540"/>
        <w:spacing w:after="0"/>
        <w:tabs>
          <w:tab w:leader="none" w:pos="12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199" w:lineRule="exact"/>
        <w:rPr>
          <w:sz w:val="20"/>
          <w:szCs w:val="20"/>
          <w:color w:val="auto"/>
        </w:rPr>
      </w:pPr>
    </w:p>
    <w:p>
      <w:pPr>
        <w:jc w:val="both"/>
        <w:ind w:firstLine="541"/>
        <w:spacing w:after="0" w:line="239"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(as amended or supplemented,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on November 8, 2022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the offering by AVROBIO,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up to $250,000,000 of any combination of securities of the types specified therein. Reference is made to our opinion letter dated November 8, 2022 and included as Exhibit 5.1 to the Registration Statement. We are delivering this supplemental opinion letter in connection with the sales agreement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contained in the Registration Statement. The Prospectus relates to the offering by the Company of up to $50,000,000 in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covered by the Registration Statement. The Shares are being offered and sold by the sales agent named in, and pursuant to, the sales agreement between the Company and such sales agent.</w:t>
      </w:r>
    </w:p>
    <w:p>
      <w:pPr>
        <w:spacing w:after="0" w:line="176" w:lineRule="exact"/>
        <w:rPr>
          <w:sz w:val="20"/>
          <w:szCs w:val="20"/>
          <w:color w:val="auto"/>
        </w:rPr>
      </w:pPr>
    </w:p>
    <w:p>
      <w:pPr>
        <w:jc w:val="both"/>
        <w:ind w:firstLine="541"/>
        <w:spacing w:after="0" w:line="251"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62" w:lineRule="exact"/>
        <w:rPr>
          <w:sz w:val="20"/>
          <w:szCs w:val="20"/>
          <w:color w:val="auto"/>
        </w:rPr>
      </w:pPr>
    </w:p>
    <w:p>
      <w:pPr>
        <w:jc w:val="both"/>
        <w:ind w:firstLine="541"/>
        <w:spacing w:after="0" w:line="245"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the Shares are issued for a price per share equal to or greater than the minimum price authorized by the Company’s board of directors prior to the date hereof (the “</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and that no event occurs that causes the number of authorized shares of Common Stock available for issuance by the Company to be less than the number of then unissued Shares that may be issued for the Minimum Price.</w:t>
      </w:r>
    </w:p>
    <w:p>
      <w:pPr>
        <w:spacing w:after="0" w:line="169" w:lineRule="exact"/>
        <w:rPr>
          <w:sz w:val="20"/>
          <w:szCs w:val="20"/>
          <w:color w:val="auto"/>
        </w:rPr>
      </w:pPr>
    </w:p>
    <w:p>
      <w:pPr>
        <w:jc w:val="both"/>
        <w:ind w:firstLine="541"/>
        <w:spacing w:after="0" w:line="245" w:lineRule="auto"/>
        <w:rPr>
          <w:sz w:val="20"/>
          <w:szCs w:val="20"/>
          <w:color w:val="auto"/>
        </w:rPr>
      </w:pPr>
      <w:r>
        <w:rPr>
          <w:rFonts w:ascii="Times New Roman" w:cs="Times New Roman" w:eastAsia="Times New Roman" w:hAnsi="Times New Roman"/>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and (b) the issuance of the Shares in accordance with the Approval and the receipt by the Company of the consideration (which shall not be less than the par value of such Shares) to be paid in accordance with the Approval.</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104775</wp:posOffset>
            </wp:positionV>
            <wp:extent cx="7155180" cy="14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248" w:right="3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2022</w:t>
      </w: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79"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Future Approval and Issuance, will be validly issued, fully paid and nonassessable.</w:t>
      </w:r>
    </w:p>
    <w:p>
      <w:pPr>
        <w:spacing w:after="0" w:line="148" w:lineRule="exact"/>
        <w:rPr>
          <w:sz w:val="20"/>
          <w:szCs w:val="20"/>
          <w:color w:val="auto"/>
        </w:rPr>
      </w:pPr>
    </w:p>
    <w:p>
      <w:pPr>
        <w:jc w:val="both"/>
        <w:ind w:firstLine="541"/>
        <w:spacing w:after="0" w:line="245"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Registration Statement. We hereby consent to the filing of this opinion letter as Exhibit 5.2 to the Registration Statement and the reference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 xml:space="preserve">/s/ Goodwin Procter </w:t>
      </w:r>
      <w:r>
        <w:rPr>
          <w:rFonts w:ascii="Times New Roman" w:cs="Times New Roman" w:eastAsia="Times New Roman" w:hAnsi="Times New Roman"/>
          <w:sz w:val="10"/>
          <w:szCs w:val="10"/>
          <w:color w:val="auto"/>
        </w:rPr>
        <w:t>llp</w:t>
      </w:r>
    </w:p>
    <w:p>
      <w:pPr>
        <w:spacing w:after="0" w:line="1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7155180" cy="146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23.1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AVROBIO, Inc. for the registration of common stock, preferred stock, debt securities, warrants and units, and to the incorporation by reference therein of our report dated March 17, 2022, with respect to the consolidated financial statements of AVROBIO, Inc., included in its Annual Report (Form 10-K) for the year ended December 31, 2021, filed with the Securities and Exchange Commission.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442595</wp:posOffset>
            </wp:positionV>
            <wp:extent cx="7155180" cy="146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248" w:right="319" w:bottom="1440" w:gutter="0" w:footer="0" w:header="0"/>
        </w:sectPr>
      </w:pPr>
    </w:p>
    <w:bookmarkStart w:id="217" w:name="page218"/>
    <w:bookmarkEnd w:id="217"/>
    <w:p>
      <w:pPr>
        <w:ind w:left="10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285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155180" cy="28575"/>
                    </a:xfrm>
                    <a:prstGeom prst="rect">
                      <a:avLst/>
                    </a:prstGeom>
                    <a:noFill/>
                  </pic:spPr>
                </pic:pic>
              </a:graphicData>
            </a:graphic>
          </wp:anchor>
        </w:drawing>
        <w:t>Exhibit 107</w:t>
      </w:r>
    </w:p>
    <w:p>
      <w:pPr>
        <w:spacing w:after="0" w:line="1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S-3</w:t>
      </w:r>
    </w:p>
    <w:p>
      <w:pPr>
        <w:spacing w:after="0" w:line="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 Type)</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 and Carry Forward Securities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80" w:type="dxa"/>
            <w:vAlign w:val="bottom"/>
            <w:tcBorders>
              <w:top w:val="single" w:sz="8" w:color="auto"/>
              <w:left w:val="single" w:sz="8" w:color="auto"/>
              <w:right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680" w:type="dxa"/>
            <w:vAlign w:val="bottom"/>
            <w:tcBorders>
              <w:top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spacing w:after="0"/>
              <w:rPr>
                <w:sz w:val="16"/>
                <w:szCs w:val="16"/>
                <w:color w:val="auto"/>
              </w:rPr>
            </w:pPr>
          </w:p>
        </w:tc>
        <w:tc>
          <w:tcPr>
            <w:tcW w:w="1140" w:type="dxa"/>
            <w:vAlign w:val="bottom"/>
            <w:tcBorders>
              <w:top w:val="single" w:sz="8" w:color="auto"/>
              <w:right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jc w:val="center"/>
              <w:ind w:right="145"/>
              <w:spacing w:after="0"/>
              <w:rPr>
                <w:sz w:val="20"/>
                <w:szCs w:val="20"/>
                <w:color w:val="auto"/>
              </w:rPr>
            </w:pPr>
            <w:r>
              <w:rPr>
                <w:rFonts w:ascii="Times New Roman" w:cs="Times New Roman" w:eastAsia="Times New Roman" w:hAnsi="Times New Roman"/>
                <w:sz w:val="15"/>
                <w:szCs w:val="15"/>
                <w:b w:val="1"/>
                <w:bCs w:val="1"/>
                <w:color w:val="auto"/>
              </w:rPr>
              <w:t>Filing Fee</w:t>
            </w: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Previously Paid</w:t>
            </w: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Fee</w:t>
            </w: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In Connection</w:t>
            </w: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Calculation</w:t>
            </w: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Proposed</w:t>
            </w: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Carry</w:t>
            </w:r>
          </w:p>
        </w:tc>
        <w:tc>
          <w:tcPr>
            <w:tcW w:w="11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with Unsold</w:t>
            </w: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or</w:t>
            </w: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Maximum</w:t>
            </w:r>
          </w:p>
        </w:tc>
        <w:tc>
          <w:tcPr>
            <w:tcW w:w="1140" w:type="dxa"/>
            <w:vAlign w:val="bottom"/>
            <w:tcBorders>
              <w:right w:val="single" w:sz="8" w:color="auto"/>
            </w:tcBorders>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rPr>
              <w:t>Maximum</w:t>
            </w: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Carry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200" w:type="dxa"/>
            <w:vAlign w:val="bottom"/>
          </w:tcPr>
          <w:p>
            <w:pPr>
              <w:spacing w:after="0"/>
              <w:rPr>
                <w:sz w:val="15"/>
                <w:szCs w:val="15"/>
                <w:color w:val="auto"/>
              </w:rPr>
            </w:pPr>
          </w:p>
        </w:tc>
        <w:tc>
          <w:tcPr>
            <w:tcW w:w="900" w:type="dxa"/>
            <w:vAlign w:val="bottom"/>
            <w:tcBorders>
              <w:right w:val="single" w:sz="8" w:color="auto"/>
            </w:tcBorders>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9"/>
              </w:rPr>
              <w:t>Securities</w:t>
            </w: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Carry</w:t>
            </w: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Offering</w:t>
            </w:r>
          </w:p>
        </w:tc>
        <w:tc>
          <w:tcPr>
            <w:tcW w:w="1140" w:type="dxa"/>
            <w:vAlign w:val="bottom"/>
            <w:tcBorders>
              <w:right w:val="single" w:sz="8" w:color="auto"/>
            </w:tcBorders>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7"/>
              </w:rPr>
              <w:t>Aggregate</w:t>
            </w: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Initial</w:t>
            </w:r>
          </w:p>
        </w:tc>
        <w:tc>
          <w:tcPr>
            <w:tcW w:w="200" w:type="dxa"/>
            <w:vAlign w:val="bottom"/>
          </w:tcPr>
          <w:p>
            <w:pPr>
              <w:spacing w:after="0"/>
              <w:rPr>
                <w:sz w:val="15"/>
                <w:szCs w:val="15"/>
                <w:color w:val="auto"/>
              </w:rPr>
            </w:pPr>
          </w:p>
        </w:tc>
        <w:tc>
          <w:tcPr>
            <w:tcW w:w="900" w:type="dxa"/>
            <w:vAlign w:val="bottom"/>
            <w:tcBorders>
              <w:right w:val="single" w:sz="8" w:color="auto"/>
            </w:tcBorders>
          </w:tcPr>
          <w:p>
            <w:pPr>
              <w:jc w:val="center"/>
              <w:ind w:right="145"/>
              <w:spacing w:after="0"/>
              <w:rPr>
                <w:sz w:val="20"/>
                <w:szCs w:val="20"/>
                <w:color w:val="auto"/>
              </w:rPr>
            </w:pPr>
            <w:r>
              <w:rPr>
                <w:rFonts w:ascii="Times New Roman" w:cs="Times New Roman" w:eastAsia="Times New Roman" w:hAnsi="Times New Roman"/>
                <w:sz w:val="15"/>
                <w:szCs w:val="15"/>
                <w:b w:val="1"/>
                <w:bCs w:val="1"/>
                <w:color w:val="auto"/>
              </w:rPr>
              <w:t>to be</w:t>
            </w: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140" w:type="dxa"/>
            <w:vAlign w:val="bottom"/>
            <w:tcBorders>
              <w:right w:val="single" w:sz="8" w:color="auto"/>
            </w:tcBorders>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Fee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Registration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File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effective</w:t>
            </w:r>
          </w:p>
        </w:tc>
        <w:tc>
          <w:tcPr>
            <w:tcW w:w="200" w:type="dxa"/>
            <w:vAlign w:val="bottom"/>
          </w:tcPr>
          <w:p>
            <w:pPr>
              <w:spacing w:after="0"/>
              <w:rPr>
                <w:sz w:val="15"/>
                <w:szCs w:val="15"/>
                <w:color w:val="auto"/>
              </w:rPr>
            </w:pPr>
          </w:p>
        </w:tc>
        <w:tc>
          <w:tcPr>
            <w:tcW w:w="900" w:type="dxa"/>
            <w:vAlign w:val="bottom"/>
            <w:tcBorders>
              <w:right w:val="single" w:sz="8" w:color="auto"/>
            </w:tcBorders>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8"/>
              </w:rPr>
              <w:t>Carried</w:t>
            </w:r>
          </w:p>
        </w:tc>
        <w:tc>
          <w:tcPr>
            <w:tcW w:w="0" w:type="dxa"/>
            <w:vAlign w:val="bottom"/>
          </w:tcPr>
          <w:p>
            <w:pPr>
              <w:spacing w:after="0"/>
              <w:rPr>
                <w:sz w:val="1"/>
                <w:szCs w:val="1"/>
                <w:color w:val="auto"/>
              </w:rPr>
            </w:pPr>
          </w:p>
        </w:tc>
      </w:tr>
      <w:tr>
        <w:trPr>
          <w:trHeight w:val="201"/>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Type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Rule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Registered (1)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Per Unit (2)</w:t>
            </w:r>
          </w:p>
        </w:tc>
        <w:tc>
          <w:tcPr>
            <w:tcW w:w="1140" w:type="dxa"/>
            <w:vAlign w:val="bottom"/>
            <w:tcBorders>
              <w:bottom w:val="single" w:sz="8" w:color="auto"/>
              <w:right w:val="single" w:sz="8" w:color="auto"/>
            </w:tcBorders>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rPr>
              <w:t>Price (3)</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Fee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Form 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center"/>
              <w:ind w:right="145"/>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0" w:type="dxa"/>
            <w:vAlign w:val="bottom"/>
          </w:tcPr>
          <w:p>
            <w:pPr>
              <w:spacing w:after="0"/>
              <w:rPr>
                <w:sz w:val="1"/>
                <w:szCs w:val="1"/>
                <w:color w:val="auto"/>
              </w:rPr>
            </w:pPr>
          </w:p>
        </w:tc>
      </w:tr>
      <w:tr>
        <w:trPr>
          <w:trHeight w:val="183"/>
        </w:trPr>
        <w:tc>
          <w:tcPr>
            <w:tcW w:w="680" w:type="dxa"/>
            <w:vAlign w:val="bottom"/>
            <w:tcBorders>
              <w:left w:val="single" w:sz="8" w:color="auto"/>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center"/>
              <w:ind w:left="145"/>
              <w:spacing w:after="0"/>
              <w:rPr>
                <w:sz w:val="20"/>
                <w:szCs w:val="20"/>
                <w:color w:val="auto"/>
              </w:rPr>
            </w:pPr>
            <w:r>
              <w:rPr>
                <w:rFonts w:ascii="Times New Roman" w:cs="Times New Roman" w:eastAsia="Times New Roman" w:hAnsi="Times New Roman"/>
                <w:sz w:val="15"/>
                <w:szCs w:val="15"/>
                <w:b w:val="1"/>
                <w:bCs w:val="1"/>
                <w:color w:val="auto"/>
                <w:w w:val="99"/>
              </w:rPr>
              <w:t>Newly Registered Securities</w:t>
            </w:r>
          </w:p>
        </w:tc>
        <w:tc>
          <w:tcPr>
            <w:tcW w:w="9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0" w:type="dxa"/>
            <w:vAlign w:val="bottom"/>
            <w:tcBorders>
              <w:left w:val="single" w:sz="8" w:color="auto"/>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rPr>
              <w:t>Common</w:t>
            </w:r>
          </w:p>
        </w:tc>
        <w:tc>
          <w:tcPr>
            <w:tcW w:w="840" w:type="dxa"/>
            <w:vAlign w:val="bottom"/>
            <w:tcBorders>
              <w:right w:val="single" w:sz="8" w:color="auto"/>
            </w:tcBorders>
            <w:shd w:val="clear" w:color="auto" w:fill="CCEEFF"/>
          </w:tcPr>
          <w:p>
            <w:pPr>
              <w:spacing w:after="0"/>
              <w:rPr>
                <w:sz w:val="14"/>
                <w:szCs w:val="14"/>
                <w:color w:val="auto"/>
              </w:rPr>
            </w:pPr>
          </w:p>
        </w:tc>
        <w:tc>
          <w:tcPr>
            <w:tcW w:w="1020" w:type="dxa"/>
            <w:vAlign w:val="bottom"/>
            <w:tcBorders>
              <w:right w:val="single" w:sz="8" w:color="auto"/>
            </w:tcBorders>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1140" w:type="dxa"/>
            <w:vAlign w:val="bottom"/>
            <w:tcBorders>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Fees</w:t>
            </w:r>
          </w:p>
        </w:tc>
        <w:tc>
          <w:tcPr>
            <w:tcW w:w="88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stock,</w:t>
            </w:r>
          </w:p>
        </w:tc>
        <w:tc>
          <w:tcPr>
            <w:tcW w:w="8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to Be</w:t>
            </w: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par value</w:t>
            </w:r>
          </w:p>
        </w:tc>
        <w:tc>
          <w:tcPr>
            <w:tcW w:w="840" w:type="dxa"/>
            <w:vAlign w:val="bottom"/>
            <w:tcBorders>
              <w:right w:val="single" w:sz="8" w:color="auto"/>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w w:val="99"/>
              </w:rPr>
              <w:t>457(o)</w:t>
            </w:r>
          </w:p>
        </w:tc>
        <w:tc>
          <w:tcPr>
            <w:tcW w:w="10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Paid</w:t>
            </w:r>
          </w:p>
        </w:tc>
        <w:tc>
          <w:tcPr>
            <w:tcW w:w="88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$0.0001</w:t>
            </w:r>
          </w:p>
        </w:tc>
        <w:tc>
          <w:tcPr>
            <w:tcW w:w="8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8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per share</w:t>
            </w: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rPr>
              <w:t>Preferred</w:t>
            </w:r>
          </w:p>
        </w:tc>
        <w:tc>
          <w:tcPr>
            <w:tcW w:w="8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stock,</w:t>
            </w:r>
          </w:p>
        </w:tc>
        <w:tc>
          <w:tcPr>
            <w:tcW w:w="8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par value</w:t>
            </w:r>
          </w:p>
        </w:tc>
        <w:tc>
          <w:tcPr>
            <w:tcW w:w="840" w:type="dxa"/>
            <w:vAlign w:val="bottom"/>
            <w:tcBorders>
              <w:right w:val="single" w:sz="8" w:color="auto"/>
            </w:tcBorders>
          </w:tcPr>
          <w:p>
            <w:pPr>
              <w:jc w:val="center"/>
              <w:ind w:left="45"/>
              <w:spacing w:after="0"/>
              <w:rPr>
                <w:sz w:val="20"/>
                <w:szCs w:val="20"/>
                <w:color w:val="auto"/>
              </w:rPr>
            </w:pPr>
            <w:r>
              <w:rPr>
                <w:rFonts w:ascii="Times New Roman" w:cs="Times New Roman" w:eastAsia="Times New Roman" w:hAnsi="Times New Roman"/>
                <w:sz w:val="15"/>
                <w:szCs w:val="15"/>
                <w:color w:val="auto"/>
                <w:w w:val="99"/>
              </w:rPr>
              <w:t>457(o)</w:t>
            </w: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$0.0001</w:t>
            </w:r>
          </w:p>
        </w:tc>
        <w:tc>
          <w:tcPr>
            <w:tcW w:w="8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per share</w:t>
            </w:r>
          </w:p>
        </w:tc>
        <w:tc>
          <w:tcPr>
            <w:tcW w:w="8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80" w:type="dxa"/>
            <w:vAlign w:val="bottom"/>
            <w:tcBorders>
              <w:left w:val="single" w:sz="8" w:color="auto"/>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Debt</w:t>
            </w:r>
          </w:p>
        </w:tc>
        <w:tc>
          <w:tcPr>
            <w:tcW w:w="680" w:type="dxa"/>
            <w:vAlign w:val="bottom"/>
            <w:tcBorders>
              <w:right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5"/>
              </w:rPr>
              <w:t>Debt</w:t>
            </w:r>
          </w:p>
        </w:tc>
        <w:tc>
          <w:tcPr>
            <w:tcW w:w="840" w:type="dxa"/>
            <w:vAlign w:val="bottom"/>
            <w:tcBorders>
              <w:right w:val="single" w:sz="8" w:color="auto"/>
            </w:tcBorders>
            <w:vMerge w:val="restart"/>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w w:val="99"/>
              </w:rPr>
              <w:t>457(o)</w:t>
            </w:r>
          </w:p>
        </w:tc>
        <w:tc>
          <w:tcPr>
            <w:tcW w:w="1020" w:type="dxa"/>
            <w:vAlign w:val="bottom"/>
            <w:tcBorders>
              <w:right w:val="single" w:sz="8" w:color="auto"/>
            </w:tcBorders>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1140" w:type="dxa"/>
            <w:vAlign w:val="bottom"/>
            <w:tcBorders>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680" w:type="dxa"/>
            <w:vAlign w:val="bottom"/>
            <w:tcBorders>
              <w:left w:val="single" w:sz="8" w:color="auto"/>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continue"/>
            <w:shd w:val="clear" w:color="auto" w:fill="CCEEFF"/>
          </w:tcPr>
          <w:p>
            <w:pPr>
              <w:spacing w:after="0"/>
              <w:rPr>
                <w:sz w:val="9"/>
                <w:szCs w:val="9"/>
                <w:color w:val="auto"/>
              </w:rPr>
            </w:pPr>
          </w:p>
        </w:tc>
        <w:tc>
          <w:tcPr>
            <w:tcW w:w="6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securities</w:t>
            </w:r>
          </w:p>
        </w:tc>
        <w:tc>
          <w:tcPr>
            <w:tcW w:w="84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114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spacing w:after="0"/>
              <w:rPr>
                <w:sz w:val="9"/>
                <w:szCs w:val="9"/>
                <w:color w:val="auto"/>
              </w:rPr>
            </w:pPr>
          </w:p>
        </w:tc>
        <w:tc>
          <w:tcPr>
            <w:tcW w:w="900" w:type="dxa"/>
            <w:vAlign w:val="bottom"/>
            <w:tcBorders>
              <w:right w:val="single" w:sz="8" w:color="auto"/>
            </w:tcBorders>
            <w:shd w:val="clear" w:color="auto" w:fill="CCEEFF"/>
          </w:tcPr>
          <w:p>
            <w:pPr>
              <w:spacing w:after="0"/>
              <w:rPr>
                <w:sz w:val="9"/>
                <w:szCs w:val="9"/>
                <w:color w:val="auto"/>
              </w:rPr>
            </w:pPr>
          </w:p>
        </w:tc>
        <w:tc>
          <w:tcPr>
            <w:tcW w:w="820" w:type="dxa"/>
            <w:vAlign w:val="bottom"/>
            <w:tcBorders>
              <w:right w:val="single" w:sz="8" w:color="auto"/>
            </w:tcBorders>
            <w:shd w:val="clear" w:color="auto" w:fill="CCEEFF"/>
          </w:tcPr>
          <w:p>
            <w:pPr>
              <w:spacing w:after="0"/>
              <w:rPr>
                <w:sz w:val="9"/>
                <w:szCs w:val="9"/>
                <w:color w:val="auto"/>
              </w:rPr>
            </w:pPr>
          </w:p>
        </w:tc>
        <w:tc>
          <w:tcPr>
            <w:tcW w:w="840" w:type="dxa"/>
            <w:vAlign w:val="bottom"/>
            <w:tcBorders>
              <w:right w:val="single" w:sz="8" w:color="auto"/>
            </w:tcBorders>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8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880" w:type="dxa"/>
            <w:vAlign w:val="bottom"/>
            <w:tcBorders>
              <w:bottom w:val="single" w:sz="8" w:color="auto"/>
              <w:right w:val="single" w:sz="8" w:color="auto"/>
            </w:tcBorders>
            <w:shd w:val="clear" w:color="auto" w:fill="CCEEFF"/>
          </w:tcPr>
          <w:p>
            <w:pPr>
              <w:spacing w:after="0"/>
              <w:rPr>
                <w:sz w:val="8"/>
                <w:szCs w:val="8"/>
                <w:color w:val="auto"/>
              </w:rPr>
            </w:pPr>
          </w:p>
        </w:tc>
        <w:tc>
          <w:tcPr>
            <w:tcW w:w="68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840" w:type="dxa"/>
            <w:vAlign w:val="bottom"/>
            <w:tcBorders>
              <w:bottom w:val="single" w:sz="8" w:color="auto"/>
              <w:right w:val="single" w:sz="8" w:color="auto"/>
            </w:tcBorders>
            <w:shd w:val="clear" w:color="auto" w:fill="CCEEFF"/>
          </w:tcPr>
          <w:p>
            <w:pPr>
              <w:spacing w:after="0"/>
              <w:rPr>
                <w:sz w:val="8"/>
                <w:szCs w:val="8"/>
                <w:color w:val="auto"/>
              </w:rPr>
            </w:pPr>
          </w:p>
        </w:tc>
        <w:tc>
          <w:tcPr>
            <w:tcW w:w="1020" w:type="dxa"/>
            <w:vAlign w:val="bottom"/>
            <w:tcBorders>
              <w:bottom w:val="single" w:sz="8" w:color="auto"/>
              <w:right w:val="single" w:sz="8" w:color="auto"/>
            </w:tcBorders>
            <w:shd w:val="clear" w:color="auto" w:fill="CCEEFF"/>
          </w:tcPr>
          <w:p>
            <w:pPr>
              <w:spacing w:after="0"/>
              <w:rPr>
                <w:sz w:val="8"/>
                <w:szCs w:val="8"/>
                <w:color w:val="auto"/>
              </w:rPr>
            </w:pPr>
          </w:p>
        </w:tc>
        <w:tc>
          <w:tcPr>
            <w:tcW w:w="860" w:type="dxa"/>
            <w:vAlign w:val="bottom"/>
            <w:tcBorders>
              <w:bottom w:val="single" w:sz="8" w:color="auto"/>
              <w:right w:val="single" w:sz="8" w:color="auto"/>
            </w:tcBorders>
            <w:shd w:val="clear" w:color="auto" w:fill="CCEEFF"/>
          </w:tcPr>
          <w:p>
            <w:pPr>
              <w:spacing w:after="0"/>
              <w:rPr>
                <w:sz w:val="8"/>
                <w:szCs w:val="8"/>
                <w:color w:val="auto"/>
              </w:rPr>
            </w:pPr>
          </w:p>
        </w:tc>
        <w:tc>
          <w:tcPr>
            <w:tcW w:w="1140" w:type="dxa"/>
            <w:vAlign w:val="bottom"/>
            <w:tcBorders>
              <w:bottom w:val="single" w:sz="8" w:color="auto"/>
              <w:right w:val="single" w:sz="8" w:color="auto"/>
            </w:tcBorders>
            <w:shd w:val="clear" w:color="auto" w:fill="CCEEFF"/>
          </w:tcPr>
          <w:p>
            <w:pPr>
              <w:spacing w:after="0"/>
              <w:rPr>
                <w:sz w:val="8"/>
                <w:szCs w:val="8"/>
                <w:color w:val="auto"/>
              </w:rPr>
            </w:pPr>
          </w:p>
        </w:tc>
        <w:tc>
          <w:tcPr>
            <w:tcW w:w="880" w:type="dxa"/>
            <w:vAlign w:val="bottom"/>
            <w:tcBorders>
              <w:bottom w:val="single" w:sz="8" w:color="auto"/>
              <w:right w:val="single" w:sz="8" w:color="auto"/>
            </w:tcBorders>
            <w:shd w:val="clear" w:color="auto" w:fill="CCEEFF"/>
          </w:tcPr>
          <w:p>
            <w:pPr>
              <w:spacing w:after="0"/>
              <w:rPr>
                <w:sz w:val="8"/>
                <w:szCs w:val="8"/>
                <w:color w:val="auto"/>
              </w:rPr>
            </w:pPr>
          </w:p>
        </w:tc>
        <w:tc>
          <w:tcPr>
            <w:tcW w:w="900" w:type="dxa"/>
            <w:vAlign w:val="bottom"/>
            <w:tcBorders>
              <w:bottom w:val="single" w:sz="8" w:color="auto"/>
              <w:right w:val="single" w:sz="8" w:color="auto"/>
            </w:tcBorders>
            <w:shd w:val="clear" w:color="auto" w:fill="CCEEFF"/>
          </w:tcPr>
          <w:p>
            <w:pPr>
              <w:spacing w:after="0"/>
              <w:rPr>
                <w:sz w:val="8"/>
                <w:szCs w:val="8"/>
                <w:color w:val="auto"/>
              </w:rPr>
            </w:pPr>
          </w:p>
        </w:tc>
        <w:tc>
          <w:tcPr>
            <w:tcW w:w="820" w:type="dxa"/>
            <w:vAlign w:val="bottom"/>
            <w:tcBorders>
              <w:bottom w:val="single" w:sz="8" w:color="auto"/>
              <w:right w:val="single" w:sz="8" w:color="auto"/>
            </w:tcBorders>
            <w:shd w:val="clear" w:color="auto" w:fill="CCEEFF"/>
          </w:tcPr>
          <w:p>
            <w:pPr>
              <w:spacing w:after="0"/>
              <w:rPr>
                <w:sz w:val="8"/>
                <w:szCs w:val="8"/>
                <w:color w:val="auto"/>
              </w:rPr>
            </w:pPr>
          </w:p>
        </w:tc>
        <w:tc>
          <w:tcPr>
            <w:tcW w:w="840" w:type="dxa"/>
            <w:vAlign w:val="bottom"/>
            <w:tcBorders>
              <w:bottom w:val="single" w:sz="8" w:color="auto"/>
              <w:right w:val="single" w:sz="8" w:color="auto"/>
            </w:tcBorders>
            <w:shd w:val="clear" w:color="auto" w:fill="CCEEFF"/>
          </w:tcPr>
          <w:p>
            <w:pPr>
              <w:spacing w:after="0"/>
              <w:rPr>
                <w:sz w:val="8"/>
                <w:szCs w:val="8"/>
                <w:color w:val="auto"/>
              </w:rPr>
            </w:pPr>
          </w:p>
        </w:tc>
        <w:tc>
          <w:tcPr>
            <w:tcW w:w="700" w:type="dxa"/>
            <w:vAlign w:val="bottom"/>
            <w:tcBorders>
              <w:bottom w:val="single" w:sz="8" w:color="auto"/>
              <w:right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Other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Warrants</w:t>
            </w:r>
          </w:p>
        </w:tc>
        <w:tc>
          <w:tcPr>
            <w:tcW w:w="840" w:type="dxa"/>
            <w:vAlign w:val="bottom"/>
            <w:tcBorders>
              <w:bottom w:val="single" w:sz="8" w:color="auto"/>
              <w:right w:val="single" w:sz="8" w:color="auto"/>
            </w:tcBorders>
          </w:tcPr>
          <w:p>
            <w:pPr>
              <w:jc w:val="center"/>
              <w:ind w:left="45"/>
              <w:spacing w:after="0"/>
              <w:rPr>
                <w:sz w:val="20"/>
                <w:szCs w:val="20"/>
                <w:color w:val="auto"/>
              </w:rPr>
            </w:pPr>
            <w:r>
              <w:rPr>
                <w:rFonts w:ascii="Times New Roman" w:cs="Times New Roman" w:eastAsia="Times New Roman" w:hAnsi="Times New Roman"/>
                <w:sz w:val="15"/>
                <w:szCs w:val="15"/>
                <w:color w:val="auto"/>
                <w:w w:val="99"/>
              </w:rPr>
              <w:t>457(o)</w:t>
            </w:r>
          </w:p>
        </w:tc>
        <w:tc>
          <w:tcPr>
            <w:tcW w:w="10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Other</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Units</w:t>
            </w:r>
          </w:p>
        </w:tc>
        <w:tc>
          <w:tcPr>
            <w:tcW w:w="840" w:type="dxa"/>
            <w:vAlign w:val="bottom"/>
            <w:tcBorders>
              <w:bottom w:val="single" w:sz="8" w:color="auto"/>
              <w:right w:val="single" w:sz="8" w:color="auto"/>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w w:val="99"/>
              </w:rPr>
              <w:t>457(o)</w:t>
            </w:r>
          </w:p>
        </w:tc>
        <w:tc>
          <w:tcPr>
            <w:tcW w:w="1020" w:type="dxa"/>
            <w:vAlign w:val="bottom"/>
            <w:tcBorders>
              <w:bottom w:val="single" w:sz="8" w:color="auto"/>
              <w:right w:val="single" w:sz="8" w:color="auto"/>
            </w:tcBorders>
            <w:shd w:val="clear" w:color="auto" w:fill="CCEEFF"/>
          </w:tcPr>
          <w:p>
            <w:pPr>
              <w:spacing w:after="0"/>
              <w:rPr>
                <w:sz w:val="15"/>
                <w:szCs w:val="15"/>
                <w:color w:val="auto"/>
              </w:rPr>
            </w:pPr>
          </w:p>
        </w:tc>
        <w:tc>
          <w:tcPr>
            <w:tcW w:w="860" w:type="dxa"/>
            <w:vAlign w:val="bottom"/>
            <w:tcBorders>
              <w:bottom w:val="single" w:sz="8" w:color="auto"/>
              <w:right w:val="single" w:sz="8" w:color="auto"/>
            </w:tcBorders>
            <w:shd w:val="clear" w:color="auto" w:fill="CCEEFF"/>
          </w:tcPr>
          <w:p>
            <w:pPr>
              <w:spacing w:after="0"/>
              <w:rPr>
                <w:sz w:val="15"/>
                <w:szCs w:val="15"/>
                <w:color w:val="auto"/>
              </w:rPr>
            </w:pPr>
          </w:p>
        </w:tc>
        <w:tc>
          <w:tcPr>
            <w:tcW w:w="1140" w:type="dxa"/>
            <w:vAlign w:val="bottom"/>
            <w:tcBorders>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rPr>
              <w:t>Unallocated</w:t>
            </w:r>
          </w:p>
        </w:tc>
        <w:tc>
          <w:tcPr>
            <w:tcW w:w="6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(Universal)</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840" w:type="dxa"/>
            <w:vAlign w:val="bottom"/>
            <w:tcBorders>
              <w:right w:val="single" w:sz="8" w:color="auto"/>
            </w:tcBorders>
          </w:tcPr>
          <w:p>
            <w:pPr>
              <w:jc w:val="center"/>
              <w:ind w:left="45"/>
              <w:spacing w:after="0"/>
              <w:rPr>
                <w:sz w:val="20"/>
                <w:szCs w:val="20"/>
                <w:color w:val="auto"/>
              </w:rPr>
            </w:pPr>
            <w:r>
              <w:rPr>
                <w:rFonts w:ascii="Times New Roman" w:cs="Times New Roman" w:eastAsia="Times New Roman" w:hAnsi="Times New Roman"/>
                <w:sz w:val="15"/>
                <w:szCs w:val="15"/>
                <w:color w:val="auto"/>
                <w:w w:val="99"/>
              </w:rPr>
              <w:t>457(o)</w:t>
            </w: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$175,050,000</w:t>
            </w:r>
          </w:p>
        </w:tc>
        <w:tc>
          <w:tcPr>
            <w:tcW w:w="880" w:type="dxa"/>
            <w:vAlign w:val="bottom"/>
            <w:tcBorders>
              <w:right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0.00011020</w:t>
            </w:r>
          </w:p>
        </w:tc>
        <w:tc>
          <w:tcPr>
            <w:tcW w:w="900" w:type="dxa"/>
            <w:vAlign w:val="bottom"/>
            <w:tcBorders>
              <w:right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$19,290.51</w:t>
            </w:r>
          </w:p>
        </w:tc>
        <w:tc>
          <w:tcPr>
            <w:tcW w:w="8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Shelf</w:t>
            </w:r>
          </w:p>
        </w:tc>
        <w:tc>
          <w:tcPr>
            <w:tcW w:w="6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80" w:type="dxa"/>
            <w:vAlign w:val="bottom"/>
            <w:tcBorders>
              <w:left w:val="single" w:sz="8" w:color="auto"/>
              <w:right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rPr>
              <w:t>Fees</w:t>
            </w:r>
          </w:p>
        </w:tc>
        <w:tc>
          <w:tcPr>
            <w:tcW w:w="880" w:type="dxa"/>
            <w:vAlign w:val="bottom"/>
            <w:tcBorders>
              <w:right w:val="single" w:sz="8" w:color="auto"/>
            </w:tcBorders>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spacing w:after="0"/>
              <w:rPr>
                <w:sz w:val="14"/>
                <w:szCs w:val="14"/>
                <w:color w:val="auto"/>
              </w:rPr>
            </w:pPr>
          </w:p>
        </w:tc>
        <w:tc>
          <w:tcPr>
            <w:tcW w:w="1020" w:type="dxa"/>
            <w:vAlign w:val="bottom"/>
            <w:tcBorders>
              <w:right w:val="single" w:sz="8" w:color="auto"/>
            </w:tcBorders>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1140" w:type="dxa"/>
            <w:vAlign w:val="bottom"/>
            <w:tcBorders>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Previously</w:t>
            </w:r>
          </w:p>
        </w:tc>
        <w:tc>
          <w:tcPr>
            <w:tcW w:w="880" w:type="dxa"/>
            <w:vAlign w:val="bottom"/>
            <w:tcBorders>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N/A</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840" w:type="dxa"/>
            <w:vAlign w:val="bottom"/>
            <w:tcBorders>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N/A</w:t>
            </w:r>
          </w:p>
        </w:tc>
        <w:tc>
          <w:tcPr>
            <w:tcW w:w="1020" w:type="dxa"/>
            <w:vAlign w:val="bottom"/>
            <w:tcBorders>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N/A</w:t>
            </w:r>
          </w:p>
        </w:tc>
        <w:tc>
          <w:tcPr>
            <w:tcW w:w="860" w:type="dxa"/>
            <w:vAlign w:val="bottom"/>
            <w:tcBorders>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tcBorders>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N/A</w:t>
            </w:r>
          </w:p>
        </w:tc>
        <w:tc>
          <w:tcPr>
            <w:tcW w:w="8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N/A</w:t>
            </w:r>
          </w:p>
        </w:tc>
        <w:tc>
          <w:tcPr>
            <w:tcW w:w="82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Paid</w:t>
            </w:r>
          </w:p>
        </w:tc>
        <w:tc>
          <w:tcPr>
            <w:tcW w:w="880" w:type="dxa"/>
            <w:vAlign w:val="bottom"/>
            <w:tcBorders>
              <w:bottom w:val="single" w:sz="8" w:color="auto"/>
              <w:right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center"/>
              <w:ind w:left="145"/>
              <w:spacing w:after="0"/>
              <w:rPr>
                <w:sz w:val="20"/>
                <w:szCs w:val="20"/>
                <w:color w:val="auto"/>
              </w:rPr>
            </w:pPr>
            <w:r>
              <w:rPr>
                <w:rFonts w:ascii="Times New Roman" w:cs="Times New Roman" w:eastAsia="Times New Roman" w:hAnsi="Times New Roman"/>
                <w:sz w:val="15"/>
                <w:szCs w:val="15"/>
                <w:b w:val="1"/>
                <w:bCs w:val="1"/>
                <w:color w:val="auto"/>
              </w:rPr>
              <w:t>Carry Forward Securities</w:t>
            </w:r>
          </w:p>
        </w:tc>
        <w:tc>
          <w:tcPr>
            <w:tcW w:w="9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0" w:type="dxa"/>
            <w:vAlign w:val="bottom"/>
            <w:tcBorders>
              <w:left w:val="single" w:sz="8" w:color="auto"/>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rPr>
              <w:t>Common</w:t>
            </w:r>
          </w:p>
        </w:tc>
        <w:tc>
          <w:tcPr>
            <w:tcW w:w="840" w:type="dxa"/>
            <w:vAlign w:val="bottom"/>
            <w:tcBorders>
              <w:right w:val="single" w:sz="8" w:color="auto"/>
            </w:tcBorders>
            <w:shd w:val="clear" w:color="auto" w:fill="CCEEFF"/>
          </w:tcPr>
          <w:p>
            <w:pPr>
              <w:spacing w:after="0"/>
              <w:rPr>
                <w:sz w:val="14"/>
                <w:szCs w:val="14"/>
                <w:color w:val="auto"/>
              </w:rPr>
            </w:pPr>
          </w:p>
        </w:tc>
        <w:tc>
          <w:tcPr>
            <w:tcW w:w="1020" w:type="dxa"/>
            <w:vAlign w:val="bottom"/>
            <w:tcBorders>
              <w:right w:val="single" w:sz="8" w:color="auto"/>
            </w:tcBorders>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1140" w:type="dxa"/>
            <w:vAlign w:val="bottom"/>
            <w:tcBorders>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Carry</w:t>
            </w:r>
          </w:p>
        </w:tc>
        <w:tc>
          <w:tcPr>
            <w:tcW w:w="88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stock,</w:t>
            </w:r>
          </w:p>
        </w:tc>
        <w:tc>
          <w:tcPr>
            <w:tcW w:w="8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Forward</w:t>
            </w:r>
          </w:p>
        </w:tc>
        <w:tc>
          <w:tcPr>
            <w:tcW w:w="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par value</w:t>
            </w:r>
          </w:p>
        </w:tc>
        <w:tc>
          <w:tcPr>
            <w:tcW w:w="840" w:type="dxa"/>
            <w:vAlign w:val="bottom"/>
            <w:tcBorders>
              <w:right w:val="single" w:sz="8" w:color="auto"/>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w w:val="98"/>
              </w:rPr>
              <w:t>415(a)(6)</w:t>
            </w:r>
          </w:p>
        </w:tc>
        <w:tc>
          <w:tcPr>
            <w:tcW w:w="10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S-3</w:t>
            </w:r>
          </w:p>
        </w:tc>
        <w:tc>
          <w:tcPr>
            <w:tcW w:w="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333-235641</w:t>
            </w: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01/14/2020</w:t>
            </w:r>
          </w:p>
        </w:tc>
        <w:tc>
          <w:tcPr>
            <w:tcW w:w="20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Securities</w:t>
            </w:r>
          </w:p>
        </w:tc>
        <w:tc>
          <w:tcPr>
            <w:tcW w:w="88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$0.0001</w:t>
            </w:r>
          </w:p>
        </w:tc>
        <w:tc>
          <w:tcPr>
            <w:tcW w:w="8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8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per share</w:t>
            </w: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rPr>
              <w:t>Preferred</w:t>
            </w:r>
          </w:p>
        </w:tc>
        <w:tc>
          <w:tcPr>
            <w:tcW w:w="8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stock,</w:t>
            </w:r>
          </w:p>
        </w:tc>
        <w:tc>
          <w:tcPr>
            <w:tcW w:w="8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Equity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par value</w:t>
            </w:r>
          </w:p>
        </w:tc>
        <w:tc>
          <w:tcPr>
            <w:tcW w:w="840" w:type="dxa"/>
            <w:vAlign w:val="bottom"/>
            <w:tcBorders>
              <w:right w:val="single" w:sz="8" w:color="auto"/>
            </w:tcBorders>
          </w:tcPr>
          <w:p>
            <w:pPr>
              <w:jc w:val="center"/>
              <w:ind w:left="45"/>
              <w:spacing w:after="0"/>
              <w:rPr>
                <w:sz w:val="20"/>
                <w:szCs w:val="20"/>
                <w:color w:val="auto"/>
              </w:rPr>
            </w:pPr>
            <w:r>
              <w:rPr>
                <w:rFonts w:ascii="Times New Roman" w:cs="Times New Roman" w:eastAsia="Times New Roman" w:hAnsi="Times New Roman"/>
                <w:sz w:val="15"/>
                <w:szCs w:val="15"/>
                <w:color w:val="auto"/>
                <w:w w:val="98"/>
              </w:rPr>
              <w:t>415(a)(6)</w:t>
            </w: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S-3</w:t>
            </w:r>
          </w:p>
        </w:tc>
        <w:tc>
          <w:tcPr>
            <w:tcW w:w="8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01/14/2020</w:t>
            </w:r>
          </w:p>
        </w:tc>
        <w:tc>
          <w:tcPr>
            <w:tcW w:w="2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$0.0001</w:t>
            </w:r>
          </w:p>
        </w:tc>
        <w:tc>
          <w:tcPr>
            <w:tcW w:w="8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333-235641</w:t>
            </w:r>
          </w:p>
        </w:tc>
        <w:tc>
          <w:tcPr>
            <w:tcW w:w="7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per share</w:t>
            </w:r>
          </w:p>
        </w:tc>
        <w:tc>
          <w:tcPr>
            <w:tcW w:w="8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80" w:type="dxa"/>
            <w:vAlign w:val="bottom"/>
            <w:tcBorders>
              <w:left w:val="single" w:sz="8" w:color="auto"/>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Debt</w:t>
            </w:r>
          </w:p>
        </w:tc>
        <w:tc>
          <w:tcPr>
            <w:tcW w:w="680" w:type="dxa"/>
            <w:vAlign w:val="bottom"/>
            <w:tcBorders>
              <w:right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5"/>
              </w:rPr>
              <w:t>Debt</w:t>
            </w:r>
          </w:p>
        </w:tc>
        <w:tc>
          <w:tcPr>
            <w:tcW w:w="840" w:type="dxa"/>
            <w:vAlign w:val="bottom"/>
            <w:tcBorders>
              <w:right w:val="single" w:sz="8" w:color="auto"/>
            </w:tcBorders>
            <w:vMerge w:val="restart"/>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w w:val="98"/>
              </w:rPr>
              <w:t>415(a)(6)</w:t>
            </w:r>
          </w:p>
        </w:tc>
        <w:tc>
          <w:tcPr>
            <w:tcW w:w="1020" w:type="dxa"/>
            <w:vAlign w:val="bottom"/>
            <w:tcBorders>
              <w:right w:val="single" w:sz="8" w:color="auto"/>
            </w:tcBorders>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1140" w:type="dxa"/>
            <w:vAlign w:val="bottom"/>
            <w:tcBorders>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820" w:type="dxa"/>
            <w:vAlign w:val="bottom"/>
            <w:tcBorders>
              <w:right w:val="single" w:sz="8" w:color="auto"/>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S-3</w:t>
            </w:r>
          </w:p>
        </w:tc>
        <w:tc>
          <w:tcPr>
            <w:tcW w:w="840" w:type="dxa"/>
            <w:vAlign w:val="bottom"/>
            <w:tcBorders>
              <w:right w:val="single" w:sz="8" w:color="auto"/>
            </w:tcBorders>
            <w:shd w:val="clear" w:color="auto" w:fill="CCEEFF"/>
          </w:tcPr>
          <w:p>
            <w:pPr>
              <w:spacing w:after="0"/>
              <w:rPr>
                <w:sz w:val="14"/>
                <w:szCs w:val="14"/>
                <w:color w:val="auto"/>
              </w:rPr>
            </w:pPr>
          </w:p>
        </w:tc>
        <w:tc>
          <w:tcPr>
            <w:tcW w:w="7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01/14/2020</w:t>
            </w:r>
          </w:p>
        </w:tc>
        <w:tc>
          <w:tcPr>
            <w:tcW w:w="20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8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securities</w:t>
            </w:r>
          </w:p>
        </w:tc>
        <w:tc>
          <w:tcPr>
            <w:tcW w:w="8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333-235641</w:t>
            </w:r>
          </w:p>
        </w:tc>
        <w:tc>
          <w:tcPr>
            <w:tcW w:w="7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Other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Warrants</w:t>
            </w:r>
          </w:p>
        </w:tc>
        <w:tc>
          <w:tcPr>
            <w:tcW w:w="840" w:type="dxa"/>
            <w:vAlign w:val="bottom"/>
            <w:tcBorders>
              <w:bottom w:val="single" w:sz="8" w:color="auto"/>
              <w:right w:val="single" w:sz="8" w:color="auto"/>
            </w:tcBorders>
          </w:tcPr>
          <w:p>
            <w:pPr>
              <w:jc w:val="center"/>
              <w:ind w:left="45"/>
              <w:spacing w:after="0"/>
              <w:rPr>
                <w:sz w:val="20"/>
                <w:szCs w:val="20"/>
                <w:color w:val="auto"/>
              </w:rPr>
            </w:pPr>
            <w:r>
              <w:rPr>
                <w:rFonts w:ascii="Times New Roman" w:cs="Times New Roman" w:eastAsia="Times New Roman" w:hAnsi="Times New Roman"/>
                <w:sz w:val="15"/>
                <w:szCs w:val="15"/>
                <w:color w:val="auto"/>
                <w:w w:val="98"/>
              </w:rPr>
              <w:t>415(a)(6)</w:t>
            </w:r>
          </w:p>
        </w:tc>
        <w:tc>
          <w:tcPr>
            <w:tcW w:w="10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S-3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333-235641</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01/14/2020</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Other</w:t>
            </w:r>
          </w:p>
        </w:tc>
        <w:tc>
          <w:tcPr>
            <w:tcW w:w="680" w:type="dxa"/>
            <w:vAlign w:val="bottom"/>
            <w:tcBorders>
              <w:bottom w:val="single" w:sz="8" w:color="auto"/>
              <w:right w:val="single" w:sz="8" w:color="auto"/>
            </w:tcBorders>
            <w:shd w:val="clear" w:color="auto" w:fill="CCEEFF"/>
          </w:tcPr>
          <w:p>
            <w:pPr>
              <w:jc w:val="center"/>
              <w:ind w:right="5"/>
              <w:spacing w:after="0"/>
              <w:rPr>
                <w:sz w:val="20"/>
                <w:szCs w:val="20"/>
                <w:color w:val="auto"/>
              </w:rPr>
            </w:pPr>
            <w:r>
              <w:rPr>
                <w:rFonts w:ascii="Times New Roman" w:cs="Times New Roman" w:eastAsia="Times New Roman" w:hAnsi="Times New Roman"/>
                <w:sz w:val="15"/>
                <w:szCs w:val="15"/>
                <w:color w:val="auto"/>
                <w:w w:val="98"/>
              </w:rPr>
              <w:t>Units</w:t>
            </w:r>
          </w:p>
        </w:tc>
        <w:tc>
          <w:tcPr>
            <w:tcW w:w="840" w:type="dxa"/>
            <w:vAlign w:val="bottom"/>
            <w:tcBorders>
              <w:bottom w:val="single" w:sz="8" w:color="auto"/>
              <w:right w:val="single" w:sz="8" w:color="auto"/>
            </w:tcBorders>
            <w:shd w:val="clear" w:color="auto" w:fill="CCEEFF"/>
          </w:tcPr>
          <w:p>
            <w:pPr>
              <w:jc w:val="center"/>
              <w:ind w:left="45"/>
              <w:spacing w:after="0"/>
              <w:rPr>
                <w:sz w:val="20"/>
                <w:szCs w:val="20"/>
                <w:color w:val="auto"/>
              </w:rPr>
            </w:pPr>
            <w:r>
              <w:rPr>
                <w:rFonts w:ascii="Times New Roman" w:cs="Times New Roman" w:eastAsia="Times New Roman" w:hAnsi="Times New Roman"/>
                <w:sz w:val="15"/>
                <w:szCs w:val="15"/>
                <w:color w:val="auto"/>
                <w:w w:val="98"/>
              </w:rPr>
              <w:t>415(a)(6)</w:t>
            </w:r>
          </w:p>
        </w:tc>
        <w:tc>
          <w:tcPr>
            <w:tcW w:w="1020" w:type="dxa"/>
            <w:vAlign w:val="bottom"/>
            <w:tcBorders>
              <w:bottom w:val="single" w:sz="8" w:color="auto"/>
              <w:right w:val="single" w:sz="8" w:color="auto"/>
            </w:tcBorders>
            <w:shd w:val="clear" w:color="auto" w:fill="CCEEFF"/>
          </w:tcPr>
          <w:p>
            <w:pPr>
              <w:spacing w:after="0"/>
              <w:rPr>
                <w:sz w:val="15"/>
                <w:szCs w:val="15"/>
                <w:color w:val="auto"/>
              </w:rPr>
            </w:pPr>
          </w:p>
        </w:tc>
        <w:tc>
          <w:tcPr>
            <w:tcW w:w="860" w:type="dxa"/>
            <w:vAlign w:val="bottom"/>
            <w:tcBorders>
              <w:bottom w:val="single" w:sz="8" w:color="auto"/>
              <w:right w:val="single" w:sz="8" w:color="auto"/>
            </w:tcBorders>
            <w:shd w:val="clear" w:color="auto" w:fill="CCEEFF"/>
          </w:tcPr>
          <w:p>
            <w:pPr>
              <w:spacing w:after="0"/>
              <w:rPr>
                <w:sz w:val="15"/>
                <w:szCs w:val="15"/>
                <w:color w:val="auto"/>
              </w:rPr>
            </w:pPr>
          </w:p>
        </w:tc>
        <w:tc>
          <w:tcPr>
            <w:tcW w:w="1140" w:type="dxa"/>
            <w:vAlign w:val="bottom"/>
            <w:tcBorders>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S-3</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333-235641</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01/14/2020</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5"/>
                <w:szCs w:val="15"/>
                <w:color w:val="auto"/>
              </w:rPr>
              <w:t>Unallocated</w:t>
            </w:r>
          </w:p>
        </w:tc>
        <w:tc>
          <w:tcPr>
            <w:tcW w:w="6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(Universal)</w:t>
            </w:r>
          </w:p>
        </w:tc>
        <w:tc>
          <w:tcPr>
            <w:tcW w:w="6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ind w:left="45"/>
              <w:spacing w:after="0"/>
              <w:rPr>
                <w:sz w:val="20"/>
                <w:szCs w:val="20"/>
                <w:color w:val="auto"/>
              </w:rPr>
            </w:pPr>
            <w:r>
              <w:rPr>
                <w:rFonts w:ascii="Times New Roman" w:cs="Times New Roman" w:eastAsia="Times New Roman" w:hAnsi="Times New Roman"/>
                <w:sz w:val="15"/>
                <w:szCs w:val="15"/>
                <w:color w:val="auto"/>
                <w:w w:val="98"/>
              </w:rPr>
              <w:t>415(a)(6)</w:t>
            </w:r>
          </w:p>
        </w:tc>
        <w:tc>
          <w:tcPr>
            <w:tcW w:w="10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$ 74,950,000 (4)</w:t>
            </w: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S-3</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333-235641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01/14/2020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9,728.51</w:t>
            </w:r>
          </w:p>
        </w:tc>
        <w:tc>
          <w:tcPr>
            <w:tcW w:w="0" w:type="dxa"/>
            <w:vAlign w:val="bottom"/>
          </w:tcPr>
          <w:p>
            <w:pPr>
              <w:spacing w:after="0"/>
              <w:rPr>
                <w:sz w:val="1"/>
                <w:szCs w:val="1"/>
                <w:color w:val="auto"/>
              </w:rPr>
            </w:pPr>
          </w:p>
        </w:tc>
      </w:tr>
      <w:tr>
        <w:trPr>
          <w:trHeight w:val="197"/>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Shelf</w:t>
            </w:r>
          </w:p>
        </w:tc>
        <w:tc>
          <w:tcPr>
            <w:tcW w:w="6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CCEEFF"/>
            </w:tcBorders>
            <w:shd w:val="clear" w:color="auto" w:fill="CCEEFF"/>
          </w:tcPr>
          <w:p>
            <w:pPr>
              <w:spacing w:after="0"/>
              <w:rPr>
                <w:sz w:val="15"/>
                <w:szCs w:val="15"/>
                <w:color w:val="auto"/>
              </w:rPr>
            </w:pPr>
          </w:p>
        </w:tc>
        <w:tc>
          <w:tcPr>
            <w:tcW w:w="2540" w:type="dxa"/>
            <w:vAlign w:val="bottom"/>
            <w:tcBorders>
              <w:bottom w:val="single" w:sz="8" w:color="auto"/>
              <w:right w:val="single" w:sz="8" w:color="auto"/>
            </w:tcBorders>
            <w:gridSpan w:val="3"/>
            <w:shd w:val="clear" w:color="auto" w:fill="CCEEFF"/>
          </w:tcPr>
          <w:p>
            <w:pPr>
              <w:jc w:val="center"/>
              <w:ind w:right="285"/>
              <w:spacing w:after="0"/>
              <w:rPr>
                <w:sz w:val="20"/>
                <w:szCs w:val="20"/>
                <w:color w:val="auto"/>
              </w:rPr>
            </w:pPr>
            <w:r>
              <w:rPr>
                <w:rFonts w:ascii="Times New Roman" w:cs="Times New Roman" w:eastAsia="Times New Roman" w:hAnsi="Times New Roman"/>
                <w:sz w:val="15"/>
                <w:szCs w:val="15"/>
                <w:b w:val="1"/>
                <w:bCs w:val="1"/>
                <w:color w:val="auto"/>
                <w:w w:val="99"/>
              </w:rPr>
              <w:t>Total Offering Amounts</w:t>
            </w:r>
          </w:p>
        </w:tc>
        <w:tc>
          <w:tcPr>
            <w:tcW w:w="860" w:type="dxa"/>
            <w:vAlign w:val="bottom"/>
            <w:tcBorders>
              <w:bottom w:val="single" w:sz="8" w:color="auto"/>
              <w:right w:val="single" w:sz="8" w:color="auto"/>
            </w:tcBorders>
            <w:shd w:val="clear" w:color="auto" w:fill="CCEEFF"/>
          </w:tcPr>
          <w:p>
            <w:pPr>
              <w:spacing w:after="0"/>
              <w:rPr>
                <w:sz w:val="15"/>
                <w:szCs w:val="15"/>
                <w:color w:val="auto"/>
              </w:rPr>
            </w:pPr>
          </w:p>
        </w:tc>
        <w:tc>
          <w:tcPr>
            <w:tcW w:w="11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$250,000,000</w:t>
            </w:r>
          </w:p>
        </w:tc>
        <w:tc>
          <w:tcPr>
            <w:tcW w:w="880" w:type="dxa"/>
            <w:vAlign w:val="bottom"/>
            <w:tcBorders>
              <w:bottom w:val="single" w:sz="8" w:color="auto"/>
              <w:right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$19,290.51</w:t>
            </w:r>
          </w:p>
        </w:tc>
        <w:tc>
          <w:tcPr>
            <w:tcW w:w="820" w:type="dxa"/>
            <w:vAlign w:val="bottom"/>
            <w:tcBorders>
              <w:bottom w:val="single" w:sz="8" w:color="auto"/>
              <w:right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40" w:type="dxa"/>
            <w:vAlign w:val="bottom"/>
            <w:tcBorders>
              <w:bottom w:val="single" w:sz="8" w:color="auto"/>
              <w:right w:val="single" w:sz="8" w:color="auto"/>
            </w:tcBorders>
            <w:gridSpan w:val="3"/>
          </w:tcPr>
          <w:p>
            <w:pPr>
              <w:jc w:val="center"/>
              <w:ind w:right="305"/>
              <w:spacing w:after="0"/>
              <w:rPr>
                <w:sz w:val="20"/>
                <w:szCs w:val="20"/>
                <w:color w:val="auto"/>
              </w:rPr>
            </w:pPr>
            <w:r>
              <w:rPr>
                <w:rFonts w:ascii="Times New Roman" w:cs="Times New Roman" w:eastAsia="Times New Roman" w:hAnsi="Times New Roman"/>
                <w:sz w:val="15"/>
                <w:szCs w:val="15"/>
                <w:b w:val="1"/>
                <w:bCs w:val="1"/>
                <w:color w:val="auto"/>
                <w:w w:val="98"/>
              </w:rPr>
              <w:t>Total Fees Previously Paid</w:t>
            </w:r>
          </w:p>
        </w:tc>
        <w:tc>
          <w:tcPr>
            <w:tcW w:w="8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CCEEFF"/>
            </w:tcBorders>
            <w:shd w:val="clear" w:color="auto" w:fill="CCEEFF"/>
          </w:tcPr>
          <w:p>
            <w:pPr>
              <w:spacing w:after="0"/>
              <w:rPr>
                <w:sz w:val="15"/>
                <w:szCs w:val="15"/>
                <w:color w:val="auto"/>
              </w:rPr>
            </w:pPr>
          </w:p>
        </w:tc>
        <w:tc>
          <w:tcPr>
            <w:tcW w:w="2540" w:type="dxa"/>
            <w:vAlign w:val="bottom"/>
            <w:tcBorders>
              <w:bottom w:val="single" w:sz="8" w:color="auto"/>
              <w:right w:val="single" w:sz="8" w:color="auto"/>
            </w:tcBorders>
            <w:gridSpan w:val="3"/>
            <w:shd w:val="clear" w:color="auto" w:fill="CCEEFF"/>
          </w:tcPr>
          <w:p>
            <w:pPr>
              <w:jc w:val="center"/>
              <w:ind w:right="305"/>
              <w:spacing w:after="0"/>
              <w:rPr>
                <w:sz w:val="20"/>
                <w:szCs w:val="20"/>
                <w:color w:val="auto"/>
              </w:rPr>
            </w:pPr>
            <w:r>
              <w:rPr>
                <w:rFonts w:ascii="Times New Roman" w:cs="Times New Roman" w:eastAsia="Times New Roman" w:hAnsi="Times New Roman"/>
                <w:sz w:val="15"/>
                <w:szCs w:val="15"/>
                <w:b w:val="1"/>
                <w:bCs w:val="1"/>
                <w:color w:val="auto"/>
                <w:w w:val="98"/>
              </w:rPr>
              <w:t>Total Fee Offsets</w:t>
            </w:r>
          </w:p>
        </w:tc>
        <w:tc>
          <w:tcPr>
            <w:tcW w:w="860" w:type="dxa"/>
            <w:vAlign w:val="bottom"/>
            <w:tcBorders>
              <w:bottom w:val="single" w:sz="8" w:color="auto"/>
              <w:right w:val="single" w:sz="8" w:color="auto"/>
            </w:tcBorders>
            <w:shd w:val="clear" w:color="auto" w:fill="CCEEFF"/>
          </w:tcPr>
          <w:p>
            <w:pPr>
              <w:spacing w:after="0"/>
              <w:rPr>
                <w:sz w:val="15"/>
                <w:szCs w:val="15"/>
                <w:color w:val="auto"/>
              </w:rPr>
            </w:pPr>
          </w:p>
        </w:tc>
        <w:tc>
          <w:tcPr>
            <w:tcW w:w="1140" w:type="dxa"/>
            <w:vAlign w:val="bottom"/>
            <w:tcBorders>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right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Net Fee Due</w:t>
            </w:r>
          </w:p>
        </w:tc>
        <w:tc>
          <w:tcPr>
            <w:tcW w:w="10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$19,290.51</w:t>
            </w:r>
          </w:p>
        </w:tc>
        <w:tc>
          <w:tcPr>
            <w:tcW w:w="8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40" w:right="80" w:hanging="312"/>
        <w:spacing w:after="0" w:line="255" w:lineRule="auto"/>
        <w:tabs>
          <w:tab w:leader="none" w:pos="4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to be registered consists of up to $250,000,000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Any securities registered hereunder may be sold separately or as units with the other securities registered hereunder. The securities registered hereunder also include an indeterminate number of securities as may be issued pursuant to anti-dilution provisions of any of such securities. In addition, pursuant to Rule 416 under the Securities Act of 1933, as amended (the “Securities Act”), this registration statement also covers any additional securities that may be offered or issued in connection with any stock splits, stock dividends or similar transactions.</w:t>
      </w:r>
    </w:p>
    <w:p>
      <w:pPr>
        <w:spacing w:after="0" w:line="181" w:lineRule="exact"/>
        <w:rPr>
          <w:rFonts w:ascii="Times New Roman" w:cs="Times New Roman" w:eastAsia="Times New Roman" w:hAnsi="Times New Roman"/>
          <w:sz w:val="15"/>
          <w:szCs w:val="15"/>
          <w:color w:val="auto"/>
        </w:rPr>
      </w:pPr>
    </w:p>
    <w:p>
      <w:pPr>
        <w:ind w:left="440" w:right="260" w:hanging="312"/>
        <w:spacing w:after="0" w:line="280" w:lineRule="auto"/>
        <w:tabs>
          <w:tab w:leader="none" w:pos="4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Instruction 2.A.ii.b. to Item 16(b) of Form S-3 under the Securities Act.</w:t>
      </w:r>
    </w:p>
    <w:p>
      <w:pPr>
        <w:spacing w:after="0" w:line="160" w:lineRule="exact"/>
        <w:rPr>
          <w:rFonts w:ascii="Times New Roman" w:cs="Times New Roman" w:eastAsia="Times New Roman" w:hAnsi="Times New Roman"/>
          <w:sz w:val="15"/>
          <w:szCs w:val="15"/>
          <w:color w:val="auto"/>
        </w:rPr>
      </w:pPr>
    </w:p>
    <w:p>
      <w:pPr>
        <w:ind w:left="440" w:right="340" w:hanging="312"/>
        <w:spacing w:after="0" w:line="265" w:lineRule="auto"/>
        <w:tabs>
          <w:tab w:leader="none" w:pos="4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purposes of computing the registration fee.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w:t>
      </w:r>
    </w:p>
    <w:p>
      <w:pPr>
        <w:spacing w:after="0" w:line="172" w:lineRule="exact"/>
        <w:rPr>
          <w:rFonts w:ascii="Times New Roman" w:cs="Times New Roman" w:eastAsia="Times New Roman" w:hAnsi="Times New Roman"/>
          <w:sz w:val="15"/>
          <w:szCs w:val="15"/>
          <w:color w:val="auto"/>
        </w:rPr>
      </w:pPr>
    </w:p>
    <w:p>
      <w:pPr>
        <w:ind w:left="440" w:right="120" w:hanging="312"/>
        <w:spacing w:after="0" w:line="255" w:lineRule="auto"/>
        <w:tabs>
          <w:tab w:leader="none" w:pos="4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415(a)(6) under the Securities Act, securities with a maximum aggregate price of $74,950,000 registered hereunder are unsold securities (the “Unsold Securities”) previously covered by the registrant’s registration statement on Form S-3 (File No. 333-235641) which was initially filed with the Securities and Exchange Commission on December 20, 2019 and became effective on January 14, 2020 (the “Prior Registration Statement”), and are included in this registration statement. The registrant paid a filing fee of $9,728.51 (calculated at the filing fee rate in effect at the time of the filing of the Prior Registration Statement) relating to the Unsold Securities under the Prior Registration Statement, and no additional filing fee is due with respect to the Unsold Securities in connection with the filing of this registration statement.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Unsold Securities under the Prior Registration</w:t>
      </w:r>
    </w:p>
    <w:p>
      <w:pPr>
        <w:sectPr>
          <w:pgSz w:w="11900" w:h="16838" w:orient="portrait"/>
          <w:cols w:equalWidth="0" w:num="1">
            <w:col w:w="11340"/>
          </w:cols>
          <w:pgMar w:left="320" w:top="248" w:right="239" w:bottom="0" w:gutter="0" w:footer="0" w:header="0"/>
        </w:sectPr>
      </w:pPr>
    </w:p>
    <w:bookmarkStart w:id="218" w:name="page219"/>
    <w:bookmarkEnd w:id="218"/>
    <w:p>
      <w:pPr>
        <w:spacing w:after="0" w:line="260" w:lineRule="auto"/>
        <w:rPr>
          <w:sz w:val="20"/>
          <w:szCs w:val="20"/>
          <w:color w:val="auto"/>
        </w:rPr>
      </w:pPr>
      <w:r>
        <w:rPr>
          <w:rFonts w:ascii="Times New Roman" w:cs="Times New Roman" w:eastAsia="Times New Roman" w:hAnsi="Times New Roman"/>
          <w:sz w:val="15"/>
          <w:szCs w:val="15"/>
          <w:color w:val="auto"/>
        </w:rPr>
        <w:t>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under the Securities Act, the offering of Unsold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178435</wp:posOffset>
            </wp:positionV>
            <wp:extent cx="7155180" cy="146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sectPr>
      <w:pgSz w:w="11900" w:h="16838" w:orient="portrait"/>
      <w:cols w:equalWidth="0" w:num="1">
        <w:col w:w="10720"/>
      </w:cols>
      <w:pgMar w:left="760" w:top="1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1)"/>
      <w:numFmt w:val="lowerRoman"/>
      <w:start w:val="3"/>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1)"/>
      <w:numFmt w:val="lowerRoman"/>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
      <w:numFmt w:val="bullet"/>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
      <w:numFmt w:val="bullet"/>
      <w:start w:val="1"/>
    </w:lvl>
  </w:abstractNum>
  <w:abstractNum w:abstractNumId="14">
    <w:nsid w:val="69E373"/>
    <w:multiLevelType w:val="hybridMultilevel"/>
    <w:lvl w:ilvl="0">
      <w:lvlJc w:val="left"/>
      <w:lvlText w:val="(%1)"/>
      <w:numFmt w:val="lowerRoman"/>
      <w:start w:val="1"/>
    </w:lvl>
    <w:lvl w:ilvl="1">
      <w:lvlJc w:val="left"/>
      <w:lvlText w:val="•"/>
      <w:numFmt w:val="bullet"/>
      <w:start w:val="1"/>
    </w:lvl>
  </w:abstractNum>
  <w:abstractNum w:abstractNumId="15">
    <w:nsid w:val="2C27173B"/>
    <w:multiLevelType w:val="hybridMultilevel"/>
    <w:lvl w:ilvl="0">
      <w:lvlJc w:val="left"/>
      <w:lvlText w:val="•"/>
      <w:numFmt w:val="bullet"/>
      <w:start w:val="1"/>
    </w:lvl>
  </w:abstractNum>
  <w:abstractNum w:abstractNumId="16">
    <w:nsid w:val="4C9B0904"/>
    <w:multiLevelType w:val="hybridMultilevel"/>
    <w:lvl w:ilvl="0">
      <w:lvlJc w:val="left"/>
      <w:lvlText w:val="•"/>
      <w:numFmt w:val="bullet"/>
      <w:start w:val="1"/>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
      <w:numFmt w:val="bullet"/>
      <w:start w:val="1"/>
    </w:lvl>
  </w:abstractNum>
  <w:abstractNum w:abstractNumId="19">
    <w:nsid w:val="5675FF36"/>
    <w:multiLevelType w:val="hybridMultilevel"/>
    <w:lvl w:ilvl="0">
      <w:lvlJc w:val="left"/>
      <w:lvlText w:val="•"/>
      <w:numFmt w:val="bullet"/>
      <w:start w:val="1"/>
    </w:lvl>
  </w:abstractNum>
  <w:abstractNum w:abstractNumId="20">
    <w:nsid w:val="3DD15094"/>
    <w:multiLevelType w:val="hybridMultilevel"/>
    <w:lvl w:ilvl="0">
      <w:lvlJc w:val="left"/>
      <w:lvlText w:val="•"/>
      <w:numFmt w:val="bullet"/>
      <w:start w:val="1"/>
    </w:lvl>
  </w:abstractNum>
  <w:abstractNum w:abstractNumId="21">
    <w:nsid w:val="3DB012B3"/>
    <w:multiLevelType w:val="hybridMultilevel"/>
    <w:lvl w:ilvl="0">
      <w:lvlJc w:val="left"/>
      <w:lvlText w:val="•"/>
      <w:numFmt w:val="bullet"/>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
      <w:numFmt w:val="bullet"/>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
      <w:numFmt w:val="bullet"/>
      <w:start w:val="1"/>
    </w:lvl>
  </w:abstractNum>
  <w:abstractNum w:abstractNumId="28">
    <w:nsid w:val="5915FF32"/>
    <w:multiLevelType w:val="hybridMultilevel"/>
    <w:lvl w:ilvl="0">
      <w:lvlJc w:val="left"/>
      <w:lvlText w:val="•"/>
      <w:numFmt w:val="bullet"/>
      <w:start w:val="1"/>
    </w:lvl>
  </w:abstractNum>
  <w:abstractNum w:abstractNumId="29">
    <w:nsid w:val="56438D15"/>
    <w:multiLevelType w:val="hybridMultilevel"/>
    <w:lvl w:ilvl="0">
      <w:lvlJc w:val="left"/>
      <w:lvlText w:val="•"/>
      <w:numFmt w:val="bullet"/>
      <w:start w:val="1"/>
    </w:lvl>
  </w:abstractNum>
  <w:abstractNum w:abstractNumId="30">
    <w:nsid w:val="519E3149"/>
    <w:multiLevelType w:val="hybridMultilevel"/>
    <w:lvl w:ilvl="0">
      <w:lvlJc w:val="left"/>
      <w:lvlText w:val="•"/>
      <w:numFmt w:val="bullet"/>
      <w:start w:val="1"/>
    </w:lvl>
  </w:abstractNum>
  <w:abstractNum w:abstractNumId="31">
    <w:nsid w:val="2C6E4AFD"/>
    <w:multiLevelType w:val="hybridMultilevel"/>
    <w:lvl w:ilvl="0">
      <w:lvlJc w:val="left"/>
      <w:lvlText w:val="•"/>
      <w:numFmt w:val="bullet"/>
      <w:start w:val="1"/>
    </w:lvl>
  </w:abstractNum>
  <w:abstractNum w:abstractNumId="32">
    <w:nsid w:val="17A1B582"/>
    <w:multiLevelType w:val="hybridMultilevel"/>
    <w:lvl w:ilvl="0">
      <w:lvlJc w:val="left"/>
      <w:lvlText w:val="%1)"/>
      <w:numFmt w:val="upperLetter"/>
      <w:start w:val="11"/>
    </w:lvl>
  </w:abstractNum>
  <w:abstractNum w:abstractNumId="33">
    <w:nsid w:val="4DF72E4E"/>
    <w:multiLevelType w:val="hybridMultilevel"/>
    <w:lvl w:ilvl="0">
      <w:lvlJc w:val="left"/>
      <w:lvlText w:val="•"/>
      <w:numFmt w:val="bullet"/>
      <w:start w:val="1"/>
    </w:lvl>
  </w:abstractNum>
  <w:abstractNum w:abstractNumId="34">
    <w:nsid w:val="5046B5A9"/>
    <w:multiLevelType w:val="hybridMultilevel"/>
    <w:lvl w:ilvl="0">
      <w:lvlJc w:val="left"/>
      <w:lvlText w:val="•"/>
      <w:numFmt w:val="bullet"/>
      <w:start w:val="1"/>
    </w:lvl>
  </w:abstractNum>
  <w:abstractNum w:abstractNumId="35">
    <w:nsid w:val="5D888A08"/>
    <w:multiLevelType w:val="hybridMultilevel"/>
    <w:lvl w:ilvl="0">
      <w:lvlJc w:val="left"/>
      <w:lvlText w:val="(%1)"/>
      <w:numFmt w:val="lowerRoman"/>
      <w:start w:val="1"/>
    </w:lvl>
  </w:abstractNum>
  <w:abstractNum w:abstractNumId="36">
    <w:nsid w:val="2A082C70"/>
    <w:multiLevelType w:val="hybridMultilevel"/>
    <w:lvl w:ilvl="0">
      <w:lvlJc w:val="left"/>
      <w:lvlText w:val="•"/>
      <w:numFmt w:val="bullet"/>
      <w:start w:val="1"/>
    </w:lvl>
  </w:abstractNum>
  <w:abstractNum w:abstractNumId="37">
    <w:nsid w:val="5EC6AFD4"/>
    <w:multiLevelType w:val="hybridMultilevel"/>
    <w:lvl w:ilvl="0">
      <w:lvlJc w:val="left"/>
      <w:lvlText w:val="•"/>
      <w:numFmt w:val="bullet"/>
      <w:start w:val="1"/>
    </w:lvl>
  </w:abstractNum>
  <w:abstractNum w:abstractNumId="38">
    <w:nsid w:val="19E21BB2"/>
    <w:multiLevelType w:val="hybridMultilevel"/>
    <w:lvl w:ilvl="0">
      <w:lvlJc w:val="left"/>
      <w:lvlText w:val="•"/>
      <w:numFmt w:val="bullet"/>
      <w:start w:val="1"/>
    </w:lvl>
  </w:abstractNum>
  <w:abstractNum w:abstractNumId="39">
    <w:nsid w:val="75E0858A"/>
    <w:multiLevelType w:val="hybridMultilevel"/>
    <w:lvl w:ilvl="0">
      <w:lvlJc w:val="left"/>
      <w:lvlText w:val="(%1)"/>
      <w:numFmt w:val="lowerRoman"/>
      <w:start w:val="2"/>
    </w:lvl>
    <w:lvl w:ilvl="1">
      <w:lvlJc w:val="left"/>
      <w:lvlText w:val="•"/>
      <w:numFmt w:val="bullet"/>
      <w:start w:val="1"/>
    </w:lvl>
  </w:abstractNum>
  <w:abstractNum w:abstractNumId="40">
    <w:nsid w:val="57A61A29"/>
    <w:multiLevelType w:val="hybridMultilevel"/>
    <w:lvl w:ilvl="0">
      <w:lvlJc w:val="left"/>
      <w:lvlText w:val="•"/>
      <w:numFmt w:val="bullet"/>
      <w:start w:val="1"/>
    </w:lvl>
  </w:abstractNum>
  <w:abstractNum w:abstractNumId="41">
    <w:nsid w:val="5399C654"/>
    <w:multiLevelType w:val="hybridMultilevel"/>
    <w:lvl w:ilvl="0">
      <w:lvlJc w:val="left"/>
      <w:lvlText w:val="•"/>
      <w:numFmt w:val="bullet"/>
      <w:start w:val="1"/>
    </w:lvl>
  </w:abstractNum>
  <w:abstractNum w:abstractNumId="42">
    <w:nsid w:val="20EE1348"/>
    <w:multiLevelType w:val="hybridMultilevel"/>
    <w:lvl w:ilvl="0">
      <w:lvlJc w:val="left"/>
      <w:lvlText w:val="•"/>
      <w:numFmt w:val="bullet"/>
      <w:start w:val="1"/>
    </w:lvl>
  </w:abstractNum>
  <w:abstractNum w:abstractNumId="43">
    <w:nsid w:val="4427069A"/>
    <w:multiLevelType w:val="hybridMultilevel"/>
    <w:lvl w:ilvl="0">
      <w:lvlJc w:val="left"/>
      <w:lvlText w:val="•"/>
      <w:numFmt w:val="bullet"/>
      <w:start w:val="1"/>
    </w:lvl>
  </w:abstractNum>
  <w:abstractNum w:abstractNumId="44">
    <w:nsid w:val="B37E80A"/>
    <w:multiLevelType w:val="hybridMultilevel"/>
    <w:lvl w:ilvl="0">
      <w:lvlJc w:val="left"/>
      <w:lvlText w:val="•"/>
      <w:numFmt w:val="bullet"/>
      <w:start w:val="1"/>
    </w:lvl>
  </w:abstractNum>
  <w:abstractNum w:abstractNumId="45">
    <w:nsid w:val="2157F6BC"/>
    <w:multiLevelType w:val="hybridMultilevel"/>
    <w:lvl w:ilvl="0">
      <w:lvlJc w:val="left"/>
      <w:lvlText w:val="•"/>
      <w:numFmt w:val="bullet"/>
      <w:start w:val="1"/>
    </w:lvl>
  </w:abstractNum>
  <w:abstractNum w:abstractNumId="46">
    <w:nsid w:val="704E1DD5"/>
    <w:multiLevelType w:val="hybridMultilevel"/>
    <w:lvl w:ilvl="0">
      <w:lvlJc w:val="left"/>
      <w:lvlText w:val="•"/>
      <w:numFmt w:val="bullet"/>
      <w:start w:val="1"/>
    </w:lvl>
  </w:abstractNum>
  <w:abstractNum w:abstractNumId="47">
    <w:nsid w:val="57D2F10E"/>
    <w:multiLevelType w:val="hybridMultilevel"/>
    <w:lvl w:ilvl="0">
      <w:lvlJc w:val="left"/>
      <w:lvlText w:val="•"/>
      <w:numFmt w:val="bullet"/>
      <w:start w:val="1"/>
    </w:lvl>
  </w:abstractNum>
  <w:abstractNum w:abstractNumId="48">
    <w:nsid w:val="BFFAE18"/>
    <w:multiLevelType w:val="hybridMultilevel"/>
    <w:lvl w:ilvl="0">
      <w:lvlJc w:val="left"/>
      <w:lvlText w:val="•"/>
      <w:numFmt w:val="bullet"/>
      <w:start w:val="1"/>
    </w:lvl>
  </w:abstractNum>
  <w:abstractNum w:abstractNumId="49">
    <w:nsid w:val="E3E47A8"/>
    <w:multiLevelType w:val="hybridMultilevel"/>
    <w:lvl w:ilvl="0">
      <w:lvlJc w:val="left"/>
      <w:lvlText w:val="•"/>
      <w:numFmt w:val="bullet"/>
      <w:start w:val="1"/>
    </w:lvl>
  </w:abstractNum>
  <w:abstractNum w:abstractNumId="50">
    <w:nsid w:val="2E48F044"/>
    <w:multiLevelType w:val="hybridMultilevel"/>
    <w:lvl w:ilvl="0">
      <w:lvlJc w:val="left"/>
      <w:lvlText w:val="•"/>
      <w:numFmt w:val="bullet"/>
      <w:start w:val="1"/>
    </w:lvl>
  </w:abstractNum>
  <w:abstractNum w:abstractNumId="51">
    <w:nsid w:val="49D0FEAC"/>
    <w:multiLevelType w:val="hybridMultilevel"/>
    <w:lvl w:ilvl="0">
      <w:lvlJc w:val="left"/>
      <w:lvlText w:val="•"/>
      <w:numFmt w:val="bullet"/>
      <w:start w:val="1"/>
    </w:lvl>
  </w:abstractNum>
  <w:abstractNum w:abstractNumId="52">
    <w:nsid w:val="4BEE5A5B"/>
    <w:multiLevelType w:val="hybridMultilevel"/>
    <w:lvl w:ilvl="0">
      <w:lvlJc w:val="left"/>
      <w:lvlText w:val="•"/>
      <w:numFmt w:val="bullet"/>
      <w:start w:val="1"/>
    </w:lvl>
  </w:abstractNum>
  <w:abstractNum w:abstractNumId="53">
    <w:nsid w:val="5551B9F3"/>
    <w:multiLevelType w:val="hybridMultilevel"/>
    <w:lvl w:ilvl="0">
      <w:lvlJc w:val="left"/>
      <w:lvlText w:val="%1)"/>
      <w:numFmt w:val="upperLetter"/>
      <w:start w:val="11"/>
    </w:lvl>
  </w:abstractNum>
  <w:abstractNum w:abstractNumId="54">
    <w:nsid w:val="24F6AB8E"/>
    <w:multiLevelType w:val="hybridMultilevel"/>
    <w:lvl w:ilvl="0">
      <w:lvlJc w:val="left"/>
      <w:lvlText w:val="•"/>
      <w:numFmt w:val="bullet"/>
      <w:start w:val="1"/>
    </w:lvl>
  </w:abstractNum>
  <w:abstractNum w:abstractNumId="55">
    <w:nsid w:val="634C574C"/>
    <w:multiLevelType w:val="hybridMultilevel"/>
    <w:lvl w:ilvl="0">
      <w:lvlJc w:val="left"/>
      <w:lvlText w:val="*"/>
      <w:numFmt w:val="bullet"/>
      <w:start w:val="1"/>
    </w:lvl>
  </w:abstractNum>
  <w:abstractNum w:abstractNumId="56">
    <w:nsid w:val="24E99DD7"/>
    <w:multiLevelType w:val="hybridMultilevel"/>
    <w:lvl w:ilvl="0">
      <w:lvlJc w:val="left"/>
      <w:lvlText w:val="•"/>
      <w:numFmt w:val="bullet"/>
      <w:start w:val="1"/>
    </w:lvl>
  </w:abstractNum>
  <w:abstractNum w:abstractNumId="57">
    <w:nsid w:val="2A31B62D"/>
    <w:multiLevelType w:val="hybridMultilevel"/>
    <w:lvl w:ilvl="0">
      <w:lvlJc w:val="left"/>
      <w:lvlText w:val="•"/>
      <w:numFmt w:val="bullet"/>
      <w:start w:val="1"/>
    </w:lvl>
  </w:abstractNum>
  <w:abstractNum w:abstractNumId="58">
    <w:nsid w:val="1849C29B"/>
    <w:multiLevelType w:val="hybridMultilevel"/>
    <w:lvl w:ilvl="0">
      <w:lvlJc w:val="left"/>
      <w:lvlText w:val="%1"/>
      <w:numFmt w:val="decimal"/>
      <w:start w:val="107"/>
    </w:lvl>
  </w:abstractNum>
  <w:abstractNum w:abstractNumId="59">
    <w:nsid w:val="7DFF9D09"/>
    <w:multiLevelType w:val="hybridMultilevel"/>
    <w:lvl w:ilvl="0">
      <w:lvlJc w:val="left"/>
      <w:lvlText w:val="*"/>
      <w:numFmt w:val="bullet"/>
      <w:start w:val="1"/>
    </w:lvl>
  </w:abstractNum>
  <w:abstractNum w:abstractNumId="60">
    <w:nsid w:val="754342"/>
    <w:multiLevelType w:val="hybridMultilevel"/>
    <w:lvl w:ilvl="0">
      <w:lvlJc w:val="left"/>
      <w:lvlText w:val="**"/>
      <w:numFmt w:val="bullet"/>
      <w:start w:val="1"/>
    </w:lvl>
  </w:abstractNum>
  <w:abstractNum w:abstractNumId="61">
    <w:nsid w:val="69E7F3E5"/>
    <w:multiLevelType w:val="hybridMultilevel"/>
    <w:lvl w:ilvl="0">
      <w:lvlJc w:val="left"/>
      <w:lvlText w:val="(%1)"/>
      <w:numFmt w:val="decimal"/>
      <w:start w:val="1"/>
    </w:lvl>
    <w:lvl w:ilvl="1">
      <w:lvlJc w:val="left"/>
      <w:lvlText w:val="(%2)"/>
      <w:numFmt w:val="lowerRoman"/>
      <w:start w:val="1"/>
    </w:lvl>
  </w:abstractNum>
  <w:abstractNum w:abstractNumId="62">
    <w:nsid w:val="2A6DE806"/>
    <w:multiLevelType w:val="hybridMultilevel"/>
    <w:lvl w:ilvl="0">
      <w:lvlJc w:val="left"/>
      <w:lvlText w:val="(%1)"/>
      <w:numFmt w:val="decimal"/>
      <w:start w:val="5"/>
    </w:lvl>
    <w:lvl w:ilvl="1">
      <w:lvlJc w:val="left"/>
      <w:lvlText w:val="(%2)"/>
      <w:numFmt w:val="lowerRoman"/>
      <w:start w:val="1"/>
    </w:lvl>
  </w:abstractNum>
  <w:abstractNum w:abstractNumId="63">
    <w:nsid w:val="1816F8C4"/>
    <w:multiLevelType w:val="hybridMultilevel"/>
    <w:lvl w:ilvl="0">
      <w:lvlJc w:val="left"/>
      <w:lvlText w:val="%1."/>
      <w:numFmt w:val="decimal"/>
      <w:start w:val="1"/>
    </w:lvl>
  </w:abstractNum>
  <w:abstractNum w:abstractNumId="64">
    <w:nsid w:val="37DF2233"/>
    <w:multiLevelType w:val="hybridMultilevel"/>
    <w:lvl w:ilvl="0">
      <w:lvlJc w:val="left"/>
      <w:lvlText w:val="%1."/>
      <w:numFmt w:val="decimal"/>
      <w:start w:val="2"/>
    </w:lvl>
  </w:abstractNum>
  <w:abstractNum w:abstractNumId="65">
    <w:nsid w:val="7AB49DAF"/>
    <w:multiLevelType w:val="hybridMultilevel"/>
    <w:lvl w:ilvl="0">
      <w:lvlJc w:val="left"/>
      <w:lvlText w:val="%1."/>
      <w:numFmt w:val="decimal"/>
      <w:start w:val="4"/>
    </w:lvl>
  </w:abstractNum>
  <w:abstractNum w:abstractNumId="66">
    <w:nsid w:val="759F82CD"/>
    <w:multiLevelType w:val="hybridMultilevel"/>
    <w:lvl w:ilvl="0">
      <w:lvlJc w:val="left"/>
      <w:lvlText w:val="(%1)"/>
      <w:numFmt w:val="lowerLetter"/>
      <w:start w:val="1"/>
    </w:lvl>
  </w:abstractNum>
  <w:abstractNum w:abstractNumId="67">
    <w:nsid w:val="61E74EA3"/>
    <w:multiLevelType w:val="hybridMultilevel"/>
    <w:lvl w:ilvl="0">
      <w:lvlJc w:val="left"/>
      <w:lvlText w:val="(%1)"/>
      <w:numFmt w:val="lowerLetter"/>
      <w:start w:val="2"/>
    </w:lvl>
  </w:abstractNum>
  <w:abstractNum w:abstractNumId="68">
    <w:nsid w:val="597B4D84"/>
    <w:multiLevelType w:val="hybridMultilevel"/>
    <w:lvl w:ilvl="0">
      <w:lvlJc w:val="left"/>
      <w:lvlText w:val="%1."/>
      <w:numFmt w:val="decimal"/>
      <w:start w:val="5"/>
    </w:lvl>
  </w:abstractNum>
  <w:abstractNum w:abstractNumId="69">
    <w:nsid w:val="F819E7F"/>
    <w:multiLevelType w:val="hybridMultilevel"/>
    <w:lvl w:ilvl="0">
      <w:lvlJc w:val="left"/>
      <w:lvlText w:val="(%1)"/>
      <w:numFmt w:val="lowerLetter"/>
      <w:start w:val="1"/>
    </w:lvl>
  </w:abstractNum>
  <w:abstractNum w:abstractNumId="70">
    <w:nsid w:val="57C7D42D"/>
    <w:multiLevelType w:val="hybridMultilevel"/>
    <w:lvl w:ilvl="0">
      <w:lvlJc w:val="left"/>
      <w:lvlText w:val="%1."/>
      <w:numFmt w:val="decimal"/>
      <w:start w:val="6"/>
    </w:lvl>
  </w:abstractNum>
  <w:abstractNum w:abstractNumId="71">
    <w:nsid w:val="312167AD"/>
    <w:multiLevelType w:val="hybridMultilevel"/>
    <w:lvl w:ilvl="0">
      <w:lvlJc w:val="left"/>
      <w:lvlText w:val="(%1)"/>
      <w:numFmt w:val="lowerLetter"/>
      <w:start w:val="1"/>
    </w:lvl>
  </w:abstractNum>
  <w:abstractNum w:abstractNumId="72">
    <w:nsid w:val="631B64D4"/>
    <w:multiLevelType w:val="hybridMultilevel"/>
    <w:lvl w:ilvl="0">
      <w:lvlJc w:val="left"/>
      <w:lvlText w:val="(%1)"/>
      <w:numFmt w:val="lowerLetter"/>
      <w:start w:val="6"/>
    </w:lvl>
  </w:abstractNum>
  <w:abstractNum w:abstractNumId="73">
    <w:nsid w:val="78B5E776"/>
    <w:multiLevelType w:val="hybridMultilevel"/>
    <w:lvl w:ilvl="0">
      <w:lvlJc w:val="left"/>
      <w:lvlText w:val="(%1)"/>
      <w:numFmt w:val="lowerLetter"/>
      <w:start w:val="14"/>
    </w:lvl>
  </w:abstractNum>
  <w:abstractNum w:abstractNumId="74">
    <w:nsid w:val="75486E47"/>
    <w:multiLevelType w:val="hybridMultilevel"/>
    <w:lvl w:ilvl="0">
      <w:lvlJc w:val="left"/>
      <w:lvlText w:val="(%1)"/>
      <w:numFmt w:val="lowerLetter"/>
      <w:start w:val="19"/>
    </w:lvl>
    <w:lvl w:ilvl="1">
      <w:lvlJc w:val="left"/>
      <w:lvlText w:val="(%2)"/>
      <w:numFmt w:val="upperLetter"/>
      <w:start w:val="1"/>
    </w:lvl>
  </w:abstractNum>
  <w:abstractNum w:abstractNumId="75">
    <w:nsid w:val="6E534CDE"/>
    <w:multiLevelType w:val="hybridMultilevel"/>
    <w:lvl w:ilvl="0">
      <w:lvlJc w:val="left"/>
      <w:lvlText w:val="(%1)"/>
      <w:numFmt w:val="lowerRoman"/>
      <w:start w:val="2"/>
    </w:lvl>
  </w:abstractNum>
  <w:abstractNum w:abstractNumId="76">
    <w:nsid w:val="1A0DDE32"/>
    <w:multiLevelType w:val="hybridMultilevel"/>
    <w:lvl w:ilvl="0">
      <w:lvlJc w:val="left"/>
      <w:lvlText w:val="(%1)"/>
      <w:numFmt w:val="upperLetter"/>
      <w:start w:val="1"/>
    </w:lvl>
  </w:abstractNum>
  <w:abstractNum w:abstractNumId="77">
    <w:nsid w:val="65968C1C"/>
    <w:multiLevelType w:val="hybridMultilevel"/>
    <w:lvl w:ilvl="0">
      <w:lvlJc w:val="left"/>
      <w:lvlText w:val="%1"/>
      <w:numFmt w:val="lowerLetter"/>
      <w:start w:val="1"/>
    </w:lvl>
    <w:lvl w:ilvl="1">
      <w:lvlJc w:val="left"/>
      <w:lvlText w:val="(%2)"/>
      <w:numFmt w:val="lowerLetter"/>
      <w:start w:val="61"/>
    </w:lvl>
  </w:abstractNum>
  <w:abstractNum w:abstractNumId="78">
    <w:nsid w:val="46263DEC"/>
    <w:multiLevelType w:val="hybridMultilevel"/>
    <w:lvl w:ilvl="0">
      <w:lvlJc w:val="left"/>
      <w:lvlText w:val="(%1)"/>
      <w:numFmt w:val="lowerLetter"/>
      <w:start w:val="23"/>
    </w:lvl>
    <w:lvl w:ilvl="1">
      <w:lvlJc w:val="left"/>
      <w:lvlText w:val="%2"/>
      <w:numFmt w:val="lowerLetter"/>
      <w:start w:val="1"/>
    </w:lvl>
  </w:abstractNum>
  <w:abstractNum w:abstractNumId="79">
    <w:nsid w:val="260D8C4A"/>
    <w:multiLevelType w:val="hybridMultilevel"/>
    <w:lvl w:ilvl="0">
      <w:lvlJc w:val="left"/>
      <w:lvlText w:val="(%1)"/>
      <w:numFmt w:val="lowerLetter"/>
      <w:start w:val="26"/>
    </w:lvl>
  </w:abstractNum>
  <w:abstractNum w:abstractNumId="80">
    <w:nsid w:val="73D4D3C4"/>
    <w:multiLevelType w:val="hybridMultilevel"/>
    <w:lvl w:ilvl="0">
      <w:lvlJc w:val="left"/>
      <w:lvlText w:val="(%1)"/>
      <w:numFmt w:val="lowerLetter"/>
      <w:start w:val="27"/>
    </w:lvl>
  </w:abstractNum>
  <w:abstractNum w:abstractNumId="81">
    <w:nsid w:val="746F2E30"/>
    <w:multiLevelType w:val="hybridMultilevel"/>
    <w:lvl w:ilvl="0">
      <w:lvlJc w:val="left"/>
      <w:lvlText w:val="(%1)"/>
      <w:numFmt w:val="lowerLetter"/>
      <w:start w:val="28"/>
    </w:lvl>
  </w:abstractNum>
  <w:abstractNum w:abstractNumId="82">
    <w:nsid w:val="6FDE8AF6"/>
    <w:multiLevelType w:val="hybridMultilevel"/>
    <w:lvl w:ilvl="0">
      <w:lvlJc w:val="left"/>
      <w:lvlText w:val="(%1)"/>
      <w:numFmt w:val="lowerLetter"/>
      <w:start w:val="34"/>
    </w:lvl>
  </w:abstractNum>
  <w:abstractNum w:abstractNumId="83">
    <w:nsid w:val="3FC32E20"/>
    <w:multiLevelType w:val="hybridMultilevel"/>
    <w:lvl w:ilvl="0">
      <w:lvlJc w:val="left"/>
      <w:lvlText w:val="(%1)"/>
      <w:numFmt w:val="lowerLetter"/>
      <w:start w:val="39"/>
    </w:lvl>
  </w:abstractNum>
  <w:abstractNum w:abstractNumId="84">
    <w:nsid w:val="49C0E823"/>
    <w:multiLevelType w:val="hybridMultilevel"/>
    <w:lvl w:ilvl="0">
      <w:lvlJc w:val="left"/>
      <w:lvlText w:val="(%1)"/>
      <w:numFmt w:val="lowerLetter"/>
      <w:start w:val="44"/>
    </w:lvl>
  </w:abstractNum>
  <w:abstractNum w:abstractNumId="85">
    <w:nsid w:val="14D53685"/>
    <w:multiLevelType w:val="hybridMultilevel"/>
    <w:lvl w:ilvl="0">
      <w:lvlJc w:val="left"/>
      <w:lvlText w:val="(%1)"/>
      <w:numFmt w:val="lowerLetter"/>
      <w:start w:val="52"/>
    </w:lvl>
  </w:abstractNum>
  <w:abstractNum w:abstractNumId="86">
    <w:nsid w:val="230F856C"/>
    <w:multiLevelType w:val="hybridMultilevel"/>
    <w:lvl w:ilvl="0">
      <w:lvlJc w:val="left"/>
      <w:lvlText w:val="(%1)"/>
      <w:numFmt w:val="lowerLetter"/>
      <w:start w:val="53"/>
    </w:lvl>
  </w:abstractNum>
  <w:abstractNum w:abstractNumId="87">
    <w:nsid w:val="6EAA85FB"/>
    <w:multiLevelType w:val="hybridMultilevel"/>
    <w:lvl w:ilvl="0">
      <w:lvlJc w:val="left"/>
      <w:lvlText w:val="%1."/>
      <w:numFmt w:val="decimal"/>
      <w:start w:val="7"/>
    </w:lvl>
  </w:abstractNum>
  <w:abstractNum w:abstractNumId="88">
    <w:nsid w:val="3F06ECB2"/>
    <w:multiLevelType w:val="hybridMultilevel"/>
    <w:lvl w:ilvl="0">
      <w:lvlJc w:val="left"/>
      <w:lvlText w:val="(%1)"/>
      <w:numFmt w:val="lowerLetter"/>
      <w:start w:val="1"/>
    </w:lvl>
  </w:abstractNum>
  <w:abstractNum w:abstractNumId="89">
    <w:nsid w:val="3B594807"/>
    <w:multiLevelType w:val="hybridMultilevel"/>
    <w:lvl w:ilvl="0">
      <w:lvlJc w:val="left"/>
      <w:lvlText w:val="(%1)"/>
      <w:numFmt w:val="lowerLetter"/>
      <w:start w:val="2"/>
    </w:lvl>
  </w:abstractNum>
  <w:abstractNum w:abstractNumId="90">
    <w:nsid w:val="6CAA2304"/>
    <w:multiLevelType w:val="hybridMultilevel"/>
    <w:lvl w:ilvl="0">
      <w:lvlJc w:val="left"/>
      <w:lvlText w:val="%1"/>
      <w:numFmt w:val="lowerRoman"/>
      <w:start w:val="1"/>
    </w:lvl>
    <w:lvl w:ilvl="1">
      <w:lvlJc w:val="left"/>
      <w:lvlText w:val="(%2)"/>
      <w:numFmt w:val="lowerLetter"/>
      <w:start w:val="5"/>
    </w:lvl>
  </w:abstractNum>
  <w:abstractNum w:abstractNumId="91">
    <w:nsid w:val="3F7C2FF4"/>
    <w:multiLevelType w:val="hybridMultilevel"/>
    <w:lvl w:ilvl="0">
      <w:lvlJc w:val="left"/>
      <w:lvlText w:val="(%1)"/>
      <w:numFmt w:val="lowerRoman"/>
      <w:start w:val="4"/>
    </w:lvl>
    <w:lvl w:ilvl="1">
      <w:lvlJc w:val="left"/>
      <w:lvlText w:val="(%2)"/>
      <w:numFmt w:val="lowerLetter"/>
      <w:start w:val="8"/>
    </w:lvl>
  </w:abstractNum>
  <w:abstractNum w:abstractNumId="92">
    <w:nsid w:val="25413BEC"/>
    <w:multiLevelType w:val="hybridMultilevel"/>
    <w:lvl w:ilvl="0">
      <w:lvlJc w:val="left"/>
      <w:lvlText w:val="%1"/>
      <w:numFmt w:val="lowerLetter"/>
      <w:start w:val="1"/>
    </w:lvl>
    <w:lvl w:ilvl="1">
      <w:lvlJc w:val="left"/>
      <w:lvlText w:val="(%2)"/>
      <w:numFmt w:val="lowerLetter"/>
      <w:start w:val="10"/>
    </w:lvl>
  </w:abstractNum>
  <w:abstractNum w:abstractNumId="93">
    <w:nsid w:val="17180B0B"/>
    <w:multiLevelType w:val="hybridMultilevel"/>
    <w:lvl w:ilvl="0">
      <w:lvlJc w:val="left"/>
      <w:lvlText w:val="(%1)"/>
      <w:numFmt w:val="lowerLetter"/>
      <w:start w:val="35"/>
    </w:lvl>
    <w:lvl w:ilvl="1">
      <w:lvlJc w:val="left"/>
      <w:lvlText w:val="%2"/>
      <w:numFmt w:val="lowerLetter"/>
      <w:start w:val="1"/>
    </w:lvl>
  </w:abstractNum>
  <w:abstractNum w:abstractNumId="94">
    <w:nsid w:val="579328B9"/>
    <w:multiLevelType w:val="hybridMultilevel"/>
    <w:lvl w:ilvl="0">
      <w:lvlJc w:val="left"/>
      <w:lvlText w:val="%1"/>
      <w:numFmt w:val="lowerLetter"/>
      <w:start w:val="1"/>
    </w:lvl>
    <w:lvl w:ilvl="1">
      <w:lvlJc w:val="left"/>
      <w:lvlText w:val="(%2)"/>
      <w:numFmt w:val="lowerLetter"/>
      <w:start w:val="14"/>
    </w:lvl>
  </w:abstractNum>
  <w:abstractNum w:abstractNumId="95">
    <w:nsid w:val="5D205E20"/>
    <w:multiLevelType w:val="hybridMultilevel"/>
    <w:lvl w:ilvl="0">
      <w:lvlJc w:val="left"/>
      <w:lvlText w:val="(%1)"/>
      <w:numFmt w:val="lowerLetter"/>
      <w:start w:val="61"/>
    </w:lvl>
    <w:lvl w:ilvl="1">
      <w:lvlJc w:val="left"/>
      <w:lvlText w:val="%2"/>
      <w:numFmt w:val="lowerLetter"/>
      <w:start w:val="1"/>
    </w:lvl>
  </w:abstractNum>
  <w:abstractNum w:abstractNumId="96">
    <w:nsid w:val="11CCA8BA"/>
    <w:multiLevelType w:val="hybridMultilevel"/>
    <w:lvl w:ilvl="0">
      <w:lvlJc w:val="left"/>
      <w:lvlText w:val="(%1)"/>
      <w:numFmt w:val="lowerLetter"/>
      <w:start w:val="17"/>
    </w:lvl>
  </w:abstractNum>
  <w:abstractNum w:abstractNumId="97">
    <w:nsid w:val="4D32AB86"/>
    <w:multiLevelType w:val="hybridMultilevel"/>
    <w:lvl w:ilvl="0">
      <w:lvlJc w:val="left"/>
      <w:lvlText w:val="(%1)"/>
      <w:numFmt w:val="lowerLetter"/>
      <w:start w:val="25"/>
    </w:lvl>
  </w:abstractNum>
  <w:abstractNum w:abstractNumId="98">
    <w:nsid w:val="3F07ACC3"/>
    <w:multiLevelType w:val="hybridMultilevel"/>
    <w:lvl w:ilvl="0">
      <w:lvlJc w:val="left"/>
      <w:lvlText w:val="%1."/>
      <w:numFmt w:val="decimal"/>
      <w:start w:val="8"/>
    </w:lvl>
  </w:abstractNum>
  <w:abstractNum w:abstractNumId="99">
    <w:nsid w:val="6B47F63E"/>
    <w:multiLevelType w:val="hybridMultilevel"/>
    <w:lvl w:ilvl="0">
      <w:lvlJc w:val="left"/>
      <w:lvlText w:val="(%1)"/>
      <w:numFmt w:val="lowerLetter"/>
      <w:start w:val="1"/>
    </w:lvl>
  </w:abstractNum>
  <w:abstractNum w:abstractNumId="100">
    <w:nsid w:val="5CB44A05"/>
    <w:multiLevelType w:val="hybridMultilevel"/>
    <w:lvl w:ilvl="0">
      <w:lvlJc w:val="left"/>
      <w:lvlText w:val="(%1)"/>
      <w:numFmt w:val="lowerLetter"/>
      <w:start w:val="4"/>
    </w:lvl>
  </w:abstractNum>
  <w:abstractNum w:abstractNumId="101">
    <w:nsid w:val="16CF80F1"/>
    <w:multiLevelType w:val="hybridMultilevel"/>
    <w:lvl w:ilvl="0">
      <w:lvlJc w:val="left"/>
      <w:lvlText w:val="(%1)"/>
      <w:numFmt w:val="lowerLetter"/>
      <w:start w:val="13"/>
    </w:lvl>
  </w:abstractNum>
  <w:abstractNum w:abstractNumId="102">
    <w:nsid w:val="1C695DEC"/>
    <w:multiLevelType w:val="hybridMultilevel"/>
    <w:lvl w:ilvl="0">
      <w:lvlJc w:val="left"/>
      <w:lvlText w:val="%1."/>
      <w:numFmt w:val="decimal"/>
      <w:start w:val="9"/>
    </w:lvl>
  </w:abstractNum>
  <w:abstractNum w:abstractNumId="103">
    <w:nsid w:val="3FCFAED9"/>
    <w:multiLevelType w:val="hybridMultilevel"/>
    <w:lvl w:ilvl="0">
      <w:lvlJc w:val="left"/>
      <w:lvlText w:val="(%1)"/>
      <w:numFmt w:val="lowerLetter"/>
      <w:start w:val="1"/>
    </w:lvl>
  </w:abstractNum>
  <w:abstractNum w:abstractNumId="104">
    <w:nsid w:val="F856867"/>
    <w:multiLevelType w:val="hybridMultilevel"/>
    <w:lvl w:ilvl="0">
      <w:lvlJc w:val="left"/>
      <w:lvlText w:val="(%1)"/>
      <w:numFmt w:val="lowerLetter"/>
      <w:start w:val="3"/>
    </w:lvl>
  </w:abstractNum>
  <w:abstractNum w:abstractNumId="105">
    <w:nsid w:val="11B1CC33"/>
    <w:multiLevelType w:val="hybridMultilevel"/>
    <w:lvl w:ilvl="0">
      <w:lvlJc w:val="left"/>
      <w:lvlText w:val="%1."/>
      <w:numFmt w:val="decimal"/>
      <w:start w:val="10"/>
    </w:lvl>
  </w:abstractNum>
  <w:abstractNum w:abstractNumId="106">
    <w:nsid w:val="2E22FBB7"/>
    <w:multiLevelType w:val="hybridMultilevel"/>
    <w:lvl w:ilvl="0">
      <w:lvlJc w:val="left"/>
      <w:lvlText w:val="(%1)"/>
      <w:numFmt w:val="lowerLetter"/>
      <w:start w:val="1"/>
    </w:lvl>
  </w:abstractNum>
  <w:abstractNum w:abstractNumId="107">
    <w:nsid w:val="29934699"/>
    <w:multiLevelType w:val="hybridMultilevel"/>
    <w:lvl w:ilvl="0">
      <w:lvlJc w:val="left"/>
      <w:lvlText w:val="(%1)"/>
      <w:numFmt w:val="lowerLetter"/>
      <w:start w:val="2"/>
    </w:lvl>
  </w:abstractNum>
  <w:abstractNum w:abstractNumId="108">
    <w:nsid w:val="77485850"/>
    <w:multiLevelType w:val="hybridMultilevel"/>
    <w:lvl w:ilvl="0">
      <w:lvlJc w:val="left"/>
      <w:lvlText w:val="%1."/>
      <w:numFmt w:val="decimal"/>
      <w:start w:val="12"/>
    </w:lvl>
  </w:abstractNum>
  <w:abstractNum w:abstractNumId="109">
    <w:nsid w:val="744939A3"/>
    <w:multiLevelType w:val="hybridMultilevel"/>
    <w:lvl w:ilvl="0">
      <w:lvlJc w:val="left"/>
      <w:lvlText w:val="%1."/>
      <w:numFmt w:val="decimal"/>
      <w:start w:val="13"/>
    </w:lvl>
  </w:abstractNum>
  <w:abstractNum w:abstractNumId="110">
    <w:nsid w:val="4FA0D2E3"/>
    <w:multiLevelType w:val="hybridMultilevel"/>
    <w:lvl w:ilvl="0">
      <w:lvlJc w:val="left"/>
      <w:lvlText w:val="%1."/>
      <w:numFmt w:val="decimal"/>
      <w:start w:val="17"/>
    </w:lvl>
  </w:abstractNum>
  <w:abstractNum w:abstractNumId="111">
    <w:nsid w:val="6B1D2C14"/>
    <w:multiLevelType w:val="hybridMultilevel"/>
    <w:lvl w:ilvl="0">
      <w:lvlJc w:val="left"/>
      <w:lvlText w:val="(%1)"/>
      <w:numFmt w:val="lowerLetter"/>
      <w:start w:val="1"/>
    </w:lvl>
  </w:abstractNum>
  <w:abstractNum w:abstractNumId="112">
    <w:nsid w:val="68B867D3"/>
    <w:multiLevelType w:val="hybridMultilevel"/>
    <w:lvl w:ilvl="0">
      <w:lvlJc w:val="left"/>
      <w:lvlText w:val="%1."/>
      <w:numFmt w:val="decimal"/>
      <w:start w:val="19"/>
    </w:lvl>
  </w:abstractNum>
  <w:abstractNum w:abstractNumId="113">
    <w:nsid w:val="3F7F5DD9"/>
    <w:multiLevelType w:val="hybridMultilevel"/>
    <w:lvl w:ilvl="0">
      <w:lvlJc w:val="left"/>
      <w:lvlText w:val="(%1)"/>
      <w:numFmt w:val="lowerLetter"/>
      <w:start w:val="1"/>
    </w:lvl>
  </w:abstractNum>
  <w:abstractNum w:abstractNumId="114">
    <w:nsid w:val="2AE05A34"/>
    <w:multiLevelType w:val="hybridMultilevel"/>
    <w:lvl w:ilvl="0">
      <w:lvlJc w:val="left"/>
      <w:lvlText w:val="(%1)"/>
      <w:numFmt w:val="lowerRoman"/>
      <w:start w:val="1"/>
    </w:lvl>
  </w:abstractNum>
  <w:abstractNum w:abstractNumId="115">
    <w:nsid w:val="32794FF7"/>
    <w:multiLevelType w:val="hybridMultilevel"/>
    <w:lvl w:ilvl="0">
      <w:lvlJc w:val="left"/>
      <w:lvlText w:val="1"/>
      <w:numFmt w:val="bullet"/>
      <w:start w:val="1"/>
    </w:lvl>
  </w:abstractNum>
  <w:abstractNum w:abstractNumId="116">
    <w:nsid w:val="5454945E"/>
    <w:multiLevelType w:val="hybridMultilevel"/>
    <w:lvl w:ilvl="0">
      <w:lvlJc w:val="left"/>
      <w:lvlText w:val="(%1)"/>
      <w:numFmt w:val="decimal"/>
      <w:start w:val="1"/>
    </w:lvl>
  </w:abstractNum>
  <w:abstractNum w:abstractNumId="117">
    <w:nsid w:val="4DEFDFA0"/>
    <w:multiLevelType w:val="hybridMultilevel"/>
    <w:lvl w:ilvl="0">
      <w:lvlJc w:val="left"/>
      <w:lvlText w:val="(%1)"/>
      <w:numFmt w:val="decimal"/>
      <w:start w:val="2"/>
    </w:lvl>
  </w:abstractNum>
  <w:abstractNum w:abstractNumId="118">
    <w:nsid w:val="2123D5F2"/>
    <w:multiLevelType w:val="hybridMultilevel"/>
    <w:lvl w:ilvl="0">
      <w:lvlJc w:val="left"/>
      <w:lvlText w:val="(%1)"/>
      <w:numFmt w:val="lowerLetter"/>
      <w:start w:val="1"/>
    </w:lvl>
    <w:lvl w:ilvl="1">
      <w:lvlJc w:val="left"/>
      <w:lvlText w:val="(%2)"/>
      <w:numFmt w:val="decimal"/>
      <w:start w:val="1"/>
    </w:lvl>
  </w:abstractNum>
  <w:abstractNum w:abstractNumId="119">
    <w:nsid w:val="135B8110"/>
    <w:multiLevelType w:val="hybridMultilevel"/>
    <w:lvl w:ilvl="0">
      <w:lvlJc w:val="left"/>
      <w:lvlText w:val="(%1)"/>
      <w:numFmt w:val="decimal"/>
      <w:start w:val="5"/>
    </w:lvl>
  </w:abstractNum>
  <w:abstractNum w:abstractNumId="120">
    <w:nsid w:val="94927A8"/>
    <w:multiLevelType w:val="hybridMultilevel"/>
    <w:lvl w:ilvl="0">
      <w:lvlJc w:val="left"/>
      <w:lvlText w:val="(%1)"/>
      <w:numFmt w:val="decimal"/>
      <w:start w:val="14"/>
    </w:lvl>
  </w:abstractNum>
  <w:abstractNum w:abstractNumId="121">
    <w:nsid w:val="DCDF8F6"/>
    <w:multiLevelType w:val="hybridMultilevel"/>
    <w:lvl w:ilvl="0">
      <w:lvlJc w:val="left"/>
      <w:lvlText w:val="(%1)"/>
      <w:numFmt w:val="decimal"/>
      <w:start w:val="22"/>
    </w:lvl>
  </w:abstractNum>
  <w:abstractNum w:abstractNumId="122">
    <w:nsid w:val="52D7B105"/>
    <w:multiLevelType w:val="hybridMultilevel"/>
    <w:lvl w:ilvl="0">
      <w:lvlJc w:val="left"/>
      <w:lvlText w:val="(%1)"/>
      <w:numFmt w:val="decimal"/>
      <w:start w:val="1"/>
    </w:lvl>
  </w:abstractNum>
  <w:abstractNum w:abstractNumId="123">
    <w:nsid w:val="2E8A6394"/>
    <w:multiLevelType w:val="hybridMultilevel"/>
    <w:lvl w:ilvl="0">
      <w:lvlJc w:val="left"/>
      <w:lvlText w:val="(%1)"/>
      <w:numFmt w:val="decimal"/>
      <w:start w:val="2"/>
    </w:lvl>
  </w:abstractNum>
  <w:abstractNum w:abstractNumId="124">
    <w:nsid w:val="24E60401"/>
    <w:multiLevelType w:val="hybridMultilevel"/>
    <w:lvl w:ilvl="0">
      <w:lvlJc w:val="left"/>
      <w:lvlText w:val="(%1)"/>
      <w:numFmt w:val="lowerLetter"/>
      <w:start w:val="1"/>
    </w:lvl>
  </w:abstractNum>
  <w:abstractNum w:abstractNumId="125">
    <w:nsid w:val="2A6AD9BE"/>
    <w:multiLevelType w:val="hybridMultilevel"/>
    <w:lvl w:ilvl="0">
      <w:lvlJc w:val="left"/>
      <w:lvlText w:val="(%1)"/>
      <w:numFmt w:val="lowerLetter"/>
      <w:start w:val="3"/>
    </w:lvl>
  </w:abstractNum>
  <w:abstractNum w:abstractNumId="126">
    <w:nsid w:val="BAAC1B4"/>
    <w:multiLevelType w:val="hybridMultilevel"/>
    <w:lvl w:ilvl="0">
      <w:lvlJc w:val="left"/>
      <w:lvlText w:val="(%1)"/>
      <w:numFmt w:val="lowerLetter"/>
      <w:start w:val="4"/>
    </w:lvl>
  </w:abstractNum>
  <w:abstractNum w:abstractNumId="127">
    <w:nsid w:val="36B2ACBC"/>
    <w:multiLevelType w:val="hybridMultilevel"/>
    <w:lvl w:ilvl="0">
      <w:lvlJc w:val="left"/>
      <w:lvlText w:val="%1"/>
      <w:numFmt w:val="lowerRoman"/>
      <w:start w:val="1"/>
    </w:lvl>
    <w:lvl w:ilvl="1">
      <w:lvlJc w:val="left"/>
      <w:lvlText w:val="(%2)"/>
      <w:numFmt w:val="lowerLetter"/>
      <w:start w:val="1"/>
    </w:lvl>
  </w:abstractNum>
  <w:abstractNum w:abstractNumId="128">
    <w:nsid w:val="779D8544"/>
    <w:multiLevelType w:val="hybridMultilevel"/>
    <w:lvl w:ilvl="0">
      <w:lvlJc w:val="left"/>
      <w:lvlText w:val="(%1)"/>
      <w:numFmt w:val="lowerRoman"/>
      <w:start w:val="4"/>
    </w:lvl>
    <w:lvl w:ilvl="1">
      <w:lvlJc w:val="left"/>
      <w:lvlText w:val="(%2)"/>
      <w:numFmt w:val="lowerLetter"/>
      <w:start w:val="2"/>
    </w:lvl>
  </w:abstractNum>
  <w:abstractNum w:abstractNumId="129">
    <w:nsid w:val="4AB26E78"/>
    <w:multiLevelType w:val="hybridMultilevel"/>
    <w:lvl w:ilvl="0">
      <w:lvlJc w:val="left"/>
      <w:lvlText w:val="(%1)"/>
      <w:numFmt w:val="lowerLetter"/>
      <w:start w:val="3"/>
    </w:lvl>
  </w:abstractNum>
  <w:abstractNum w:abstractNumId="130">
    <w:nsid w:val="21FAA2FA"/>
    <w:multiLevelType w:val="hybridMultilevel"/>
    <w:lvl w:ilvl="0">
      <w:lvlJc w:val="left"/>
      <w:lvlText w:val="(%1)"/>
      <w:numFmt w:val="lowerLetter"/>
      <w:start w:val="1"/>
    </w:lvl>
  </w:abstractNum>
  <w:abstractNum w:abstractNumId="131">
    <w:nsid w:val="5451CF49"/>
    <w:multiLevelType w:val="hybridMultilevel"/>
    <w:lvl w:ilvl="0">
      <w:lvlJc w:val="left"/>
      <w:lvlText w:val="(%1)"/>
      <w:numFmt w:val="lowerLetter"/>
      <w:start w:val="2"/>
    </w:lvl>
  </w:abstractNum>
  <w:abstractNum w:abstractNumId="132">
    <w:nsid w:val="6181EF69"/>
    <w:multiLevelType w:val="hybridMultilevel"/>
    <w:lvl w:ilvl="0">
      <w:lvlJc w:val="left"/>
      <w:lvlText w:val="(%1)"/>
      <w:numFmt w:val="lowerLetter"/>
      <w:start w:val="1"/>
    </w:lvl>
  </w:abstractNum>
  <w:abstractNum w:abstractNumId="133">
    <w:nsid w:val="3E6400E6"/>
    <w:multiLevelType w:val="hybridMultilevel"/>
    <w:lvl w:ilvl="0">
      <w:lvlJc w:val="left"/>
      <w:lvlText w:val="(%1)"/>
      <w:numFmt w:val="lowerRoman"/>
      <w:start w:val="2"/>
    </w:lvl>
  </w:abstractNum>
  <w:abstractNum w:abstractNumId="134">
    <w:nsid w:val="14217E23"/>
    <w:multiLevelType w:val="hybridMultilevel"/>
    <w:lvl w:ilvl="0">
      <w:lvlJc w:val="left"/>
      <w:lvlText w:val="(%1)"/>
      <w:numFmt w:val="lowerLetter"/>
      <w:start w:val="1"/>
    </w:lvl>
    <w:lvl w:ilvl="1">
      <w:lvlJc w:val="left"/>
      <w:lvlText w:val="(%2)"/>
      <w:numFmt w:val="decimal"/>
      <w:start w:val="1"/>
    </w:lvl>
  </w:abstractNum>
  <w:abstractNum w:abstractNumId="135">
    <w:nsid w:val="710757D0"/>
    <w:multiLevelType w:val="hybridMultilevel"/>
    <w:lvl w:ilvl="0">
      <w:lvlJc w:val="left"/>
      <w:lvlText w:val="(%1)"/>
      <w:numFmt w:val="lowerLetter"/>
      <w:start w:val="3"/>
    </w:lvl>
  </w:abstractNum>
  <w:abstractNum w:abstractNumId="136">
    <w:nsid w:val="5015CD1A"/>
    <w:multiLevelType w:val="hybridMultilevel"/>
    <w:lvl w:ilvl="0">
      <w:lvlJc w:val="left"/>
      <w:lvlText w:val="(%1)"/>
      <w:numFmt w:val="lowerLetter"/>
      <w:start w:val="1"/>
    </w:lvl>
  </w:abstractNum>
  <w:abstractNum w:abstractNumId="137">
    <w:nsid w:val="424479DA"/>
    <w:multiLevelType w:val="hybridMultilevel"/>
    <w:lvl w:ilvl="0">
      <w:lvlJc w:val="left"/>
      <w:lvlText w:val="(%1)"/>
      <w:numFmt w:val="lowerLetter"/>
      <w:start w:val="2"/>
    </w:lvl>
  </w:abstractNum>
  <w:abstractNum w:abstractNumId="138">
    <w:nsid w:val="1A9A9E69"/>
    <w:multiLevelType w:val="hybridMultilevel"/>
    <w:lvl w:ilvl="0">
      <w:lvlJc w:val="left"/>
      <w:lvlText w:val="(%1)"/>
      <w:numFmt w:val="lowerLetter"/>
      <w:start w:val="1"/>
    </w:lvl>
  </w:abstractNum>
  <w:abstractNum w:abstractNumId="139">
    <w:nsid w:val="475E256A"/>
    <w:multiLevelType w:val="hybridMultilevel"/>
    <w:lvl w:ilvl="0">
      <w:lvlJc w:val="left"/>
      <w:lvlText w:val="(%1)"/>
      <w:numFmt w:val="lowerLetter"/>
      <w:start w:val="1"/>
    </w:lvl>
  </w:abstractNum>
  <w:abstractNum w:abstractNumId="140">
    <w:nsid w:val="368DB37E"/>
    <w:multiLevelType w:val="hybridMultilevel"/>
    <w:lvl w:ilvl="0">
      <w:lvlJc w:val="left"/>
      <w:lvlText w:val="(%1)"/>
      <w:numFmt w:val="lowerLetter"/>
      <w:start w:val="2"/>
    </w:lvl>
  </w:abstractNum>
  <w:abstractNum w:abstractNumId="141">
    <w:nsid w:val="6A3B714C"/>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abstractNum>
  <w:abstractNum w:abstractNumId="142">
    <w:nsid w:val="327B517E"/>
    <w:multiLevelType w:val="hybridMultilevel"/>
    <w:lvl w:ilvl="0">
      <w:lvlJc w:val="left"/>
      <w:lvlText w:val="%1"/>
      <w:numFmt w:val="lowerLetter"/>
      <w:start w:val="1"/>
    </w:lvl>
    <w:lvl w:ilvl="1">
      <w:lvlJc w:val="left"/>
      <w:lvlText w:val="(%2)"/>
      <w:numFmt w:val="decimal"/>
      <w:start w:val="5"/>
    </w:lvl>
  </w:abstractNum>
  <w:abstractNum w:abstractNumId="143">
    <w:nsid w:val="1F461B51"/>
    <w:multiLevelType w:val="hybridMultilevel"/>
    <w:lvl w:ilvl="0">
      <w:lvlJc w:val="left"/>
      <w:lvlText w:val="(%1)"/>
      <w:numFmt w:val="lowerLetter"/>
      <w:start w:val="2"/>
    </w:lvl>
    <w:lvl w:ilvl="1">
      <w:lvlJc w:val="left"/>
      <w:lvlText w:val="%2"/>
      <w:numFmt w:val="decimal"/>
      <w:start w:val="1"/>
    </w:lvl>
  </w:abstractNum>
  <w:abstractNum w:abstractNumId="144">
    <w:nsid w:val="29BACF25"/>
    <w:multiLevelType w:val="hybridMultilevel"/>
    <w:lvl w:ilvl="0">
      <w:lvlJc w:val="left"/>
      <w:lvlText w:val="(%1)"/>
      <w:numFmt w:val="lowerLetter"/>
      <w:start w:val="4"/>
    </w:lvl>
  </w:abstractNum>
  <w:abstractNum w:abstractNumId="145">
    <w:nsid w:val="5D5BABB3"/>
    <w:multiLevelType w:val="hybridMultilevel"/>
    <w:lvl w:ilvl="0">
      <w:lvlJc w:val="left"/>
      <w:lvlText w:val="(%1)"/>
      <w:numFmt w:val="lowerLetter"/>
      <w:start w:val="1"/>
    </w:lvl>
  </w:abstractNum>
  <w:abstractNum w:abstractNumId="146">
    <w:nsid w:val="51BF6B48"/>
    <w:multiLevelType w:val="hybridMultilevel"/>
    <w:lvl w:ilvl="0">
      <w:lvlJc w:val="left"/>
      <w:lvlText w:val="(%1)"/>
      <w:numFmt w:val="lowerLetter"/>
      <w:start w:val="1"/>
    </w:lvl>
  </w:abstractNum>
  <w:abstractNum w:abstractNumId="147">
    <w:nsid w:val="7E0F638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48">
    <w:nsid w:val="2B4B8B53"/>
    <w:multiLevelType w:val="hybridMultilevel"/>
    <w:lvl w:ilvl="0">
      <w:lvlJc w:val="left"/>
      <w:lvlText w:val="(%1)"/>
      <w:numFmt w:val="lowerLetter"/>
      <w:start w:val="1"/>
    </w:lvl>
  </w:abstractNum>
  <w:abstractNum w:abstractNumId="149">
    <w:nsid w:val="72E3413A"/>
    <w:multiLevelType w:val="hybridMultilevel"/>
    <w:lvl w:ilvl="0">
      <w:lvlJc w:val="left"/>
      <w:lvlText w:val="(%1)"/>
      <w:numFmt w:val="lowerLetter"/>
      <w:start w:val="7"/>
    </w:lvl>
  </w:abstractNum>
  <w:abstractNum w:abstractNumId="150">
    <w:nsid w:val="116AE494"/>
    <w:multiLevelType w:val="hybridMultilevel"/>
    <w:lvl w:ilvl="0">
      <w:lvlJc w:val="left"/>
      <w:lvlText w:val="(%1)"/>
      <w:numFmt w:val="lowerLetter"/>
      <w:start w:val="1"/>
    </w:lvl>
  </w:abstractNum>
  <w:abstractNum w:abstractNumId="151">
    <w:nsid w:val="3494B2FB"/>
    <w:multiLevelType w:val="hybridMultilevel"/>
    <w:lvl w:ilvl="0">
      <w:lvlJc w:val="left"/>
      <w:lvlText w:val="(%1)"/>
      <w:numFmt w:val="lowerLetter"/>
      <w:start w:val="3"/>
    </w:lvl>
  </w:abstractNum>
  <w:abstractNum w:abstractNumId="152">
    <w:nsid w:val="B13A31"/>
    <w:multiLevelType w:val="hybridMultilevel"/>
    <w:lvl w:ilvl="0">
      <w:lvlJc w:val="left"/>
      <w:lvlText w:val="(%1)"/>
      <w:numFmt w:val="lowerLetter"/>
      <w:start w:val="1"/>
    </w:lvl>
  </w:abstractNum>
  <w:abstractNum w:abstractNumId="153">
    <w:nsid w:val="64429599"/>
    <w:multiLevelType w:val="hybridMultilevel"/>
    <w:lvl w:ilvl="0">
      <w:lvlJc w:val="left"/>
      <w:lvlText w:val="(%1)"/>
      <w:numFmt w:val="lowerLetter"/>
      <w:start w:val="3"/>
    </w:lvl>
  </w:abstractNum>
  <w:abstractNum w:abstractNumId="154">
    <w:nsid w:val="631F1690"/>
    <w:multiLevelType w:val="hybridMultilevel"/>
    <w:lvl w:ilvl="0">
      <w:lvlJc w:val="left"/>
      <w:lvlText w:val="(%1)"/>
      <w:numFmt w:val="lowerLetter"/>
      <w:start w:val="1"/>
    </w:lvl>
    <w:lvl w:ilvl="1">
      <w:lvlJc w:val="left"/>
      <w:lvlText w:val="(%2)"/>
      <w:numFmt w:val="lowerRoman"/>
      <w:start w:val="1"/>
    </w:lvl>
  </w:abstractNum>
  <w:abstractNum w:abstractNumId="155">
    <w:nsid w:val="25973E32"/>
    <w:multiLevelType w:val="hybridMultilevel"/>
    <w:lvl w:ilvl="0">
      <w:lvlJc w:val="left"/>
      <w:lvlText w:val="(%1)"/>
      <w:numFmt w:val="lowerLetter"/>
      <w:start w:val="3"/>
    </w:lvl>
  </w:abstractNum>
  <w:abstractNum w:abstractNumId="156">
    <w:nsid w:val="EAD6F57"/>
    <w:multiLevelType w:val="hybridMultilevel"/>
    <w:lvl w:ilvl="0">
      <w:lvlJc w:val="left"/>
      <w:lvlText w:val="(%1)"/>
      <w:numFmt w:val="lowerLetter"/>
      <w:start w:val="4"/>
    </w:lvl>
  </w:abstractNum>
  <w:abstractNum w:abstractNumId="157">
    <w:nsid w:val="6EC9D844"/>
    <w:multiLevelType w:val="hybridMultilevel"/>
    <w:lvl w:ilvl="0">
      <w:lvlJc w:val="left"/>
      <w:lvlText w:val="(%1)"/>
      <w:numFmt w:val="lowerLetter"/>
      <w:start w:val="1"/>
    </w:lvl>
  </w:abstractNum>
  <w:abstractNum w:abstractNumId="158">
    <w:nsid w:val="5C49EAEE"/>
    <w:multiLevelType w:val="hybridMultilevel"/>
    <w:lvl w:ilvl="0">
      <w:lvlJc w:val="left"/>
      <w:lvlText w:val="(%1)"/>
      <w:numFmt w:val="lowerLetter"/>
      <w:start w:val="3"/>
    </w:lvl>
  </w:abstractNum>
  <w:abstractNum w:abstractNumId="159">
    <w:nsid w:val="64AF49B"/>
    <w:multiLevelType w:val="hybridMultilevel"/>
    <w:lvl w:ilvl="0">
      <w:lvlJc w:val="left"/>
      <w:lvlText w:val="(%1)"/>
      <w:numFmt w:val="lowerLetter"/>
      <w:start w:val="1"/>
    </w:lvl>
  </w:abstractNum>
  <w:abstractNum w:abstractNumId="160">
    <w:nsid w:val="397C46BC"/>
    <w:multiLevelType w:val="hybridMultilevel"/>
    <w:lvl w:ilvl="0">
      <w:lvlJc w:val="left"/>
      <w:lvlText w:val="(%1)"/>
      <w:numFmt w:val="lowerLetter"/>
      <w:start w:val="2"/>
    </w:lvl>
  </w:abstractNum>
  <w:abstractNum w:abstractNumId="161">
    <w:nsid w:val="7E448DE9"/>
    <w:multiLevelType w:val="hybridMultilevel"/>
    <w:lvl w:ilvl="0">
      <w:lvlJc w:val="left"/>
      <w:lvlText w:val="(%1)"/>
      <w:numFmt w:val="lowerLetter"/>
      <w:start w:val="1"/>
    </w:lvl>
  </w:abstractNum>
  <w:abstractNum w:abstractNumId="162">
    <w:nsid w:val="5A9CC3E5"/>
    <w:multiLevelType w:val="hybridMultilevel"/>
    <w:lvl w:ilvl="0">
      <w:lvlJc w:val="left"/>
      <w:lvlText w:val="(%1)"/>
      <w:numFmt w:val="lowerLetter"/>
      <w:start w:val="8"/>
    </w:lvl>
  </w:abstractNum>
  <w:abstractNum w:abstractNumId="163">
    <w:nsid w:val="1AFE3625"/>
    <w:multiLevelType w:val="hybridMultilevel"/>
    <w:lvl w:ilvl="0">
      <w:lvlJc w:val="left"/>
      <w:lvlText w:val="(%1)"/>
      <w:numFmt w:val="lowerLetter"/>
      <w:start w:val="1"/>
    </w:lvl>
  </w:abstractNum>
  <w:abstractNum w:abstractNumId="164">
    <w:nsid w:val="3CA88ECF"/>
    <w:multiLevelType w:val="hybridMultilevel"/>
    <w:lvl w:ilvl="0">
      <w:lvlJc w:val="left"/>
      <w:lvlText w:val="(%1)"/>
      <w:numFmt w:val="lowerLetter"/>
      <w:start w:val="1"/>
    </w:lvl>
  </w:abstractNum>
  <w:abstractNum w:abstractNumId="165">
    <w:nsid w:val="6EBE4208"/>
    <w:multiLevelType w:val="hybridMultilevel"/>
    <w:lvl w:ilvl="0">
      <w:lvlJc w:val="left"/>
      <w:lvlText w:val="2"/>
      <w:numFmt w:val="bullet"/>
      <w:start w:val="1"/>
    </w:lvl>
  </w:abstractNum>
  <w:abstractNum w:abstractNumId="166">
    <w:nsid w:val="C058DF5"/>
    <w:multiLevelType w:val="hybridMultilevel"/>
    <w:lvl w:ilvl="0">
      <w:lvlJc w:val="left"/>
      <w:lvlText w:val="1"/>
      <w:numFmt w:val="bullet"/>
      <w:start w:val="1"/>
    </w:lvl>
  </w:abstractNum>
  <w:abstractNum w:abstractNumId="167">
    <w:nsid w:val="CBE5BE9"/>
    <w:multiLevelType w:val="hybridMultilevel"/>
    <w:lvl w:ilvl="0">
      <w:lvlJc w:val="left"/>
      <w:lvlText w:val="(%1)"/>
      <w:numFmt w:val="decimal"/>
      <w:start w:val="1"/>
    </w:lvl>
  </w:abstractNum>
  <w:abstractNum w:abstractNumId="168">
    <w:nsid w:val="3102BBE2"/>
    <w:multiLevelType w:val="hybridMultilevel"/>
    <w:lvl w:ilvl="0">
      <w:lvlJc w:val="left"/>
      <w:lvlText w:val="(%1)"/>
      <w:numFmt w:val="decimal"/>
      <w:start w:val="2"/>
    </w:lvl>
  </w:abstractNum>
  <w:abstractNum w:abstractNumId="169">
    <w:nsid w:val="26A02C5E"/>
    <w:multiLevelType w:val="hybridMultilevel"/>
    <w:lvl w:ilvl="0">
      <w:lvlJc w:val="left"/>
      <w:lvlText w:val="(%1)"/>
      <w:numFmt w:val="lowerLetter"/>
      <w:start w:val="1"/>
    </w:lvl>
    <w:lvl w:ilvl="1">
      <w:lvlJc w:val="left"/>
      <w:lvlText w:val="(%2)"/>
      <w:numFmt w:val="decimal"/>
      <w:start w:val="1"/>
    </w:lvl>
  </w:abstractNum>
  <w:abstractNum w:abstractNumId="170">
    <w:nsid w:val="541C8153"/>
    <w:multiLevelType w:val="hybridMultilevel"/>
    <w:lvl w:ilvl="0">
      <w:lvlJc w:val="left"/>
      <w:lvlText w:val="(%1)"/>
      <w:numFmt w:val="decimal"/>
      <w:start w:val="5"/>
    </w:lvl>
  </w:abstractNum>
  <w:abstractNum w:abstractNumId="171">
    <w:nsid w:val="67906F60"/>
    <w:multiLevelType w:val="hybridMultilevel"/>
    <w:lvl w:ilvl="0">
      <w:lvlJc w:val="left"/>
      <w:lvlText w:val="(%1)"/>
      <w:numFmt w:val="decimal"/>
      <w:start w:val="6"/>
    </w:lvl>
  </w:abstractNum>
  <w:abstractNum w:abstractNumId="172">
    <w:nsid w:val="10DB9DAA"/>
    <w:multiLevelType w:val="hybridMultilevel"/>
    <w:lvl w:ilvl="0">
      <w:lvlJc w:val="left"/>
      <w:lvlText w:val="(%1)"/>
      <w:numFmt w:val="decimal"/>
      <w:start w:val="14"/>
    </w:lvl>
  </w:abstractNum>
  <w:abstractNum w:abstractNumId="173">
    <w:nsid w:val="697D2D2"/>
    <w:multiLevelType w:val="hybridMultilevel"/>
    <w:lvl w:ilvl="0">
      <w:lvlJc w:val="left"/>
      <w:lvlText w:val="(%1)"/>
      <w:numFmt w:val="decimal"/>
      <w:start w:val="22"/>
    </w:lvl>
  </w:abstractNum>
  <w:abstractNum w:abstractNumId="174">
    <w:nsid w:val="6D68AB2"/>
    <w:multiLevelType w:val="hybridMultilevel"/>
    <w:lvl w:ilvl="0">
      <w:lvlJc w:val="left"/>
      <w:lvlText w:val="(%1)"/>
      <w:numFmt w:val="decimal"/>
      <w:start w:val="1"/>
    </w:lvl>
  </w:abstractNum>
  <w:abstractNum w:abstractNumId="175">
    <w:nsid w:val="3A966CD0"/>
    <w:multiLevelType w:val="hybridMultilevel"/>
    <w:lvl w:ilvl="0">
      <w:lvlJc w:val="left"/>
      <w:lvlText w:val="(%1)"/>
      <w:numFmt w:val="lowerLetter"/>
      <w:start w:val="1"/>
    </w:lvl>
  </w:abstractNum>
  <w:abstractNum w:abstractNumId="176">
    <w:nsid w:val="63F37E85"/>
    <w:multiLevelType w:val="hybridMultilevel"/>
    <w:lvl w:ilvl="0">
      <w:lvlJc w:val="left"/>
      <w:lvlText w:val="(%1)"/>
      <w:numFmt w:val="lowerLetter"/>
      <w:start w:val="3"/>
    </w:lvl>
  </w:abstractNum>
  <w:abstractNum w:abstractNumId="177">
    <w:nsid w:val="5895F5FA"/>
    <w:multiLevelType w:val="hybridMultilevel"/>
    <w:lvl w:ilvl="0">
      <w:lvlJc w:val="left"/>
      <w:lvlText w:val="(%1)"/>
      <w:numFmt w:val="lowerLetter"/>
      <w:start w:val="4"/>
    </w:lvl>
  </w:abstractNum>
  <w:abstractNum w:abstractNumId="178">
    <w:nsid w:val="38A5D054"/>
    <w:multiLevelType w:val="hybridMultilevel"/>
    <w:lvl w:ilvl="0">
      <w:lvlJc w:val="left"/>
      <w:lvlText w:val="%1"/>
      <w:numFmt w:val="lowerRoman"/>
      <w:start w:val="1"/>
    </w:lvl>
    <w:lvl w:ilvl="1">
      <w:lvlJc w:val="left"/>
      <w:lvlText w:val="(%2)"/>
      <w:numFmt w:val="lowerLetter"/>
      <w:start w:val="1"/>
    </w:lvl>
  </w:abstractNum>
  <w:abstractNum w:abstractNumId="179">
    <w:nsid w:val="F3F09D8"/>
    <w:multiLevelType w:val="hybridMultilevel"/>
    <w:lvl w:ilvl="0">
      <w:lvlJc w:val="left"/>
      <w:lvlText w:val="(%1)"/>
      <w:numFmt w:val="lowerRoman"/>
      <w:start w:val="4"/>
    </w:lvl>
    <w:lvl w:ilvl="1">
      <w:lvlJc w:val="left"/>
      <w:lvlText w:val="%2"/>
      <w:numFmt w:val="lowerLetter"/>
      <w:start w:val="1"/>
    </w:lvl>
  </w:abstractNum>
  <w:abstractNum w:abstractNumId="180">
    <w:nsid w:val="4B793735"/>
    <w:multiLevelType w:val="hybridMultilevel"/>
    <w:lvl w:ilvl="0">
      <w:lvlJc w:val="left"/>
      <w:lvlText w:val="(%1)"/>
      <w:numFmt w:val="lowerLetter"/>
      <w:start w:val="2"/>
    </w:lvl>
  </w:abstractNum>
  <w:abstractNum w:abstractNumId="181">
    <w:nsid w:val="4A10B4E8"/>
    <w:multiLevelType w:val="hybridMultilevel"/>
    <w:lvl w:ilvl="0">
      <w:lvlJc w:val="left"/>
      <w:lvlText w:val="(%1)"/>
      <w:numFmt w:val="lowerLetter"/>
      <w:start w:val="1"/>
    </w:lvl>
  </w:abstractNum>
  <w:abstractNum w:abstractNumId="182">
    <w:nsid w:val="43D3BCD4"/>
    <w:multiLevelType w:val="hybridMultilevel"/>
    <w:lvl w:ilvl="0">
      <w:lvlJc w:val="left"/>
      <w:lvlText w:val="(%1)"/>
      <w:numFmt w:val="lowerLetter"/>
      <w:start w:val="2"/>
    </w:lvl>
  </w:abstractNum>
  <w:abstractNum w:abstractNumId="183">
    <w:nsid w:val="4C2A7166"/>
    <w:multiLevelType w:val="hybridMultilevel"/>
    <w:lvl w:ilvl="0">
      <w:lvlJc w:val="left"/>
      <w:lvlText w:val="(%1)"/>
      <w:numFmt w:val="lowerLetter"/>
      <w:start w:val="1"/>
    </w:lvl>
  </w:abstractNum>
  <w:abstractNum w:abstractNumId="184">
    <w:nsid w:val="2E534A82"/>
    <w:multiLevelType w:val="hybridMultilevel"/>
    <w:lvl w:ilvl="0">
      <w:lvlJc w:val="left"/>
      <w:lvlText w:val="(%1)"/>
      <w:numFmt w:val="lowerRoman"/>
      <w:start w:val="2"/>
    </w:lvl>
  </w:abstractNum>
  <w:abstractNum w:abstractNumId="185">
    <w:nsid w:val="26F2D364"/>
    <w:multiLevelType w:val="hybridMultilevel"/>
    <w:lvl w:ilvl="0">
      <w:lvlJc w:val="left"/>
      <w:lvlText w:val="(%1)"/>
      <w:numFmt w:val="lowerLetter"/>
      <w:start w:val="1"/>
    </w:lvl>
    <w:lvl w:ilvl="1">
      <w:lvlJc w:val="left"/>
      <w:lvlText w:val="(%2)"/>
      <w:numFmt w:val="decimal"/>
      <w:start w:val="1"/>
    </w:lvl>
  </w:abstractNum>
  <w:abstractNum w:abstractNumId="186">
    <w:nsid w:val="71C1AF98"/>
    <w:multiLevelType w:val="hybridMultilevel"/>
    <w:lvl w:ilvl="0">
      <w:lvlJc w:val="left"/>
      <w:lvlText w:val="(%1)"/>
      <w:numFmt w:val="lowerLetter"/>
      <w:start w:val="3"/>
    </w:lvl>
  </w:abstractNum>
  <w:abstractNum w:abstractNumId="187">
    <w:nsid w:val="3D00B9D9"/>
    <w:multiLevelType w:val="hybridMultilevel"/>
    <w:lvl w:ilvl="0">
      <w:lvlJc w:val="left"/>
      <w:lvlText w:val="(%1)"/>
      <w:numFmt w:val="lowerLetter"/>
      <w:start w:val="1"/>
    </w:lvl>
  </w:abstractNum>
  <w:abstractNum w:abstractNumId="188">
    <w:nsid w:val="15BCABA8"/>
    <w:multiLevelType w:val="hybridMultilevel"/>
    <w:lvl w:ilvl="0">
      <w:lvlJc w:val="left"/>
      <w:lvlText w:val="(%1)"/>
      <w:numFmt w:val="lowerLetter"/>
      <w:start w:val="1"/>
    </w:lvl>
  </w:abstractNum>
  <w:abstractNum w:abstractNumId="189">
    <w:nsid w:val="4E0B9A87"/>
    <w:multiLevelType w:val="hybridMultilevel"/>
    <w:lvl w:ilvl="0">
      <w:lvlJc w:val="left"/>
      <w:lvlText w:val="(%1)"/>
      <w:numFmt w:val="lowerLetter"/>
      <w:start w:val="1"/>
    </w:lvl>
  </w:abstractNum>
  <w:abstractNum w:abstractNumId="190">
    <w:nsid w:val="434BAE75"/>
    <w:multiLevelType w:val="hybridMultilevel"/>
    <w:lvl w:ilvl="0">
      <w:lvlJc w:val="left"/>
      <w:lvlText w:val="(%1)"/>
      <w:numFmt w:val="lowerLetter"/>
      <w:start w:val="1"/>
    </w:lvl>
    <w:lvl w:ilvl="1">
      <w:lvlJc w:val="left"/>
      <w:lvlText w:val="(%2)"/>
      <w:numFmt w:val="decimal"/>
      <w:start w:val="1"/>
    </w:lvl>
  </w:abstractNum>
  <w:abstractNum w:abstractNumId="191">
    <w:nsid w:val="4F38F265"/>
    <w:multiLevelType w:val="hybridMultilevel"/>
    <w:lvl w:ilvl="0">
      <w:lvlJc w:val="left"/>
      <w:lvlText w:val="%1"/>
      <w:numFmt w:val="lowerLetter"/>
      <w:start w:val="1"/>
    </w:lvl>
    <w:lvl w:ilvl="1">
      <w:lvlJc w:val="left"/>
      <w:lvlText w:val="(%2)"/>
      <w:numFmt w:val="decimal"/>
      <w:start w:val="4"/>
    </w:lvl>
  </w:abstractNum>
  <w:abstractNum w:abstractNumId="192">
    <w:nsid w:val="4C502870"/>
    <w:multiLevelType w:val="hybridMultilevel"/>
    <w:lvl w:ilvl="0">
      <w:lvlJc w:val="left"/>
      <w:lvlText w:val="(%1)"/>
      <w:numFmt w:val="lowerLetter"/>
      <w:start w:val="2"/>
    </w:lvl>
    <w:lvl w:ilvl="1">
      <w:lvlJc w:val="left"/>
      <w:lvlText w:val="%2"/>
      <w:numFmt w:val="decimal"/>
      <w:start w:val="1"/>
    </w:lvl>
  </w:abstractNum>
  <w:abstractNum w:abstractNumId="193">
    <w:nsid w:val="1DE8725A"/>
    <w:multiLevelType w:val="hybridMultilevel"/>
    <w:lvl w:ilvl="0">
      <w:lvlJc w:val="left"/>
      <w:lvlText w:val="(%1)"/>
      <w:numFmt w:val="lowerLetter"/>
      <w:start w:val="4"/>
    </w:lvl>
  </w:abstractNum>
  <w:abstractNum w:abstractNumId="194">
    <w:nsid w:val="6A37288A"/>
    <w:multiLevelType w:val="hybridMultilevel"/>
    <w:lvl w:ilvl="0">
      <w:lvlJc w:val="left"/>
      <w:lvlText w:val="(%1)"/>
      <w:numFmt w:val="lowerLetter"/>
      <w:start w:val="1"/>
    </w:lvl>
  </w:abstractNum>
  <w:abstractNum w:abstractNumId="195">
    <w:nsid w:val="8F8B73F"/>
    <w:multiLevelType w:val="hybridMultilevel"/>
    <w:lvl w:ilvl="0">
      <w:lvlJc w:val="left"/>
      <w:lvlText w:val="(%1)"/>
      <w:numFmt w:val="lowerLetter"/>
      <w:start w:val="4"/>
    </w:lvl>
  </w:abstractNum>
  <w:abstractNum w:abstractNumId="196">
    <w:nsid w:val="CA6B462"/>
    <w:multiLevelType w:val="hybridMultilevel"/>
    <w:lvl w:ilvl="0">
      <w:lvlJc w:val="left"/>
      <w:lvlText w:val="(%1)"/>
      <w:numFmt w:val="lowerLetter"/>
      <w:start w:val="1"/>
    </w:lvl>
  </w:abstractNum>
  <w:abstractNum w:abstractNumId="197">
    <w:nsid w:val="763CB68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98">
    <w:nsid w:val="15B71329"/>
    <w:multiLevelType w:val="hybridMultilevel"/>
    <w:lvl w:ilvl="0">
      <w:lvlJc w:val="left"/>
      <w:lvlText w:val="(%1)"/>
      <w:numFmt w:val="decimal"/>
      <w:start w:val="4"/>
    </w:lvl>
  </w:abstractNum>
  <w:abstractNum w:abstractNumId="199">
    <w:nsid w:val="3DA97044"/>
    <w:multiLevelType w:val="hybridMultilevel"/>
    <w:lvl w:ilvl="0">
      <w:lvlJc w:val="left"/>
      <w:lvlText w:val="(%1)"/>
      <w:numFmt w:val="lowerLetter"/>
      <w:start w:val="1"/>
    </w:lvl>
  </w:abstractNum>
  <w:abstractNum w:abstractNumId="200">
    <w:nsid w:val="1CDCE2DE"/>
    <w:multiLevelType w:val="hybridMultilevel"/>
    <w:lvl w:ilvl="0">
      <w:lvlJc w:val="left"/>
      <w:lvlText w:val="(%1)"/>
      <w:numFmt w:val="lowerLetter"/>
      <w:start w:val="7"/>
    </w:lvl>
  </w:abstractNum>
  <w:abstractNum w:abstractNumId="201">
    <w:nsid w:val="69D3947C"/>
    <w:multiLevelType w:val="hybridMultilevel"/>
    <w:lvl w:ilvl="0">
      <w:lvlJc w:val="left"/>
      <w:lvlText w:val="(%1)"/>
      <w:numFmt w:val="lowerLetter"/>
      <w:start w:val="1"/>
    </w:lvl>
  </w:abstractNum>
  <w:abstractNum w:abstractNumId="202">
    <w:nsid w:val="2539DFA5"/>
    <w:multiLevelType w:val="hybridMultilevel"/>
    <w:lvl w:ilvl="0">
      <w:lvlJc w:val="left"/>
      <w:lvlText w:val="(%1)"/>
      <w:numFmt w:val="lowerLetter"/>
      <w:start w:val="3"/>
    </w:lvl>
  </w:abstractNum>
  <w:abstractNum w:abstractNumId="203">
    <w:nsid w:val="2DB88089"/>
    <w:multiLevelType w:val="hybridMultilevel"/>
    <w:lvl w:ilvl="0">
      <w:lvlJc w:val="left"/>
      <w:lvlText w:val="(%1)"/>
      <w:numFmt w:val="lowerLetter"/>
      <w:start w:val="1"/>
    </w:lvl>
  </w:abstractNum>
  <w:abstractNum w:abstractNumId="204">
    <w:nsid w:val="706B674E"/>
    <w:multiLevelType w:val="hybridMultilevel"/>
    <w:lvl w:ilvl="0">
      <w:lvlJc w:val="left"/>
      <w:lvlText w:val="(%1)"/>
      <w:numFmt w:val="lowerLetter"/>
      <w:start w:val="3"/>
    </w:lvl>
  </w:abstractNum>
  <w:abstractNum w:abstractNumId="205">
    <w:nsid w:val="2C106A57"/>
    <w:multiLevelType w:val="hybridMultilevel"/>
    <w:lvl w:ilvl="0">
      <w:lvlJc w:val="left"/>
      <w:lvlText w:val="(%1)"/>
      <w:numFmt w:val="lowerLetter"/>
      <w:start w:val="1"/>
    </w:lvl>
    <w:lvl w:ilvl="1">
      <w:lvlJc w:val="left"/>
      <w:lvlText w:val="(%2)"/>
      <w:numFmt w:val="lowerRoman"/>
      <w:start w:val="1"/>
    </w:lvl>
  </w:abstractNum>
  <w:abstractNum w:abstractNumId="206">
    <w:nsid w:val="684EED59"/>
    <w:multiLevelType w:val="hybridMultilevel"/>
    <w:lvl w:ilvl="0">
      <w:lvlJc w:val="left"/>
      <w:lvlText w:val="(%1)"/>
      <w:numFmt w:val="lowerLetter"/>
      <w:start w:val="3"/>
    </w:lvl>
  </w:abstractNum>
  <w:abstractNum w:abstractNumId="207">
    <w:nsid w:val="545EE5D3"/>
    <w:multiLevelType w:val="hybridMultilevel"/>
    <w:lvl w:ilvl="0">
      <w:lvlJc w:val="left"/>
      <w:lvlText w:val="(%1)"/>
      <w:numFmt w:val="lowerLetter"/>
      <w:start w:val="4"/>
    </w:lvl>
  </w:abstractNum>
  <w:abstractNum w:abstractNumId="208">
    <w:nsid w:val="4A66051"/>
    <w:multiLevelType w:val="hybridMultilevel"/>
    <w:lvl w:ilvl="0">
      <w:lvlJc w:val="left"/>
      <w:lvlText w:val="(%1)"/>
      <w:numFmt w:val="lowerLetter"/>
      <w:start w:val="1"/>
    </w:lvl>
  </w:abstractNum>
  <w:abstractNum w:abstractNumId="209">
    <w:nsid w:val="20F4BDAD"/>
    <w:multiLevelType w:val="hybridMultilevel"/>
    <w:lvl w:ilvl="0">
      <w:lvlJc w:val="left"/>
      <w:lvlText w:val="(%1)"/>
      <w:numFmt w:val="lowerLetter"/>
      <w:start w:val="3"/>
    </w:lvl>
  </w:abstractNum>
  <w:abstractNum w:abstractNumId="210">
    <w:nsid w:val="639DEFAC"/>
    <w:multiLevelType w:val="hybridMultilevel"/>
    <w:lvl w:ilvl="0">
      <w:lvlJc w:val="left"/>
      <w:lvlText w:val="(%1)"/>
      <w:numFmt w:val="lowerLetter"/>
      <w:start w:val="1"/>
    </w:lvl>
  </w:abstractNum>
  <w:abstractNum w:abstractNumId="211">
    <w:nsid w:val="501F9786"/>
    <w:multiLevelType w:val="hybridMultilevel"/>
    <w:lvl w:ilvl="0">
      <w:lvlJc w:val="left"/>
      <w:lvlText w:val="(%1)"/>
      <w:numFmt w:val="lowerLetter"/>
      <w:start w:val="2"/>
    </w:lvl>
  </w:abstractNum>
  <w:abstractNum w:abstractNumId="212">
    <w:nsid w:val="6B057295"/>
    <w:multiLevelType w:val="hybridMultilevel"/>
    <w:lvl w:ilvl="0">
      <w:lvlJc w:val="left"/>
      <w:lvlText w:val="(%1)"/>
      <w:numFmt w:val="lowerLetter"/>
      <w:start w:val="1"/>
    </w:lvl>
  </w:abstractNum>
  <w:abstractNum w:abstractNumId="213">
    <w:nsid w:val="2771AC80"/>
    <w:multiLevelType w:val="hybridMultilevel"/>
    <w:lvl w:ilvl="0">
      <w:lvlJc w:val="left"/>
      <w:lvlText w:val="(%1)"/>
      <w:numFmt w:val="lowerRoman"/>
      <w:start w:val="1"/>
    </w:lvl>
  </w:abstractNum>
  <w:abstractNum w:abstractNumId="214">
    <w:nsid w:val="1C4A08EC"/>
    <w:multiLevelType w:val="hybridMultilevel"/>
    <w:lvl w:ilvl="0">
      <w:lvlJc w:val="left"/>
      <w:lvlText w:val="(%1)"/>
      <w:numFmt w:val="lowerLetter"/>
      <w:start w:val="1"/>
    </w:lvl>
  </w:abstractNum>
  <w:abstractNum w:abstractNumId="215">
    <w:nsid w:val="1958BD17"/>
    <w:multiLevelType w:val="hybridMultilevel"/>
    <w:lvl w:ilvl="0">
      <w:lvlJc w:val="left"/>
      <w:lvlText w:val="(%1)"/>
      <w:numFmt w:val="lowerLetter"/>
      <w:start w:val="1"/>
    </w:lvl>
  </w:abstractNum>
  <w:abstractNum w:abstractNumId="216">
    <w:nsid w:val="4E647FE4"/>
    <w:multiLevelType w:val="hybridMultilevel"/>
    <w:lvl w:ilvl="0">
      <w:lvlJc w:val="left"/>
      <w:lvlText w:val="2"/>
      <w:numFmt w:val="bullet"/>
      <w:start w:val="1"/>
    </w:lvl>
  </w:abstractNum>
  <w:abstractNum w:abstractNumId="217">
    <w:nsid w:val="E0BB885"/>
    <w:multiLevelType w:val="hybridMultilevel"/>
    <w:lvl w:ilvl="0">
      <w:lvlJc w:val="left"/>
      <w:lvlText w:val="•"/>
      <w:numFmt w:val="bullet"/>
      <w:start w:val="1"/>
    </w:lvl>
  </w:abstractNum>
  <w:abstractNum w:abstractNumId="218">
    <w:nsid w:val="565976F1"/>
    <w:multiLevelType w:val="hybridMultilevel"/>
    <w:lvl w:ilvl="0">
      <w:lvlJc w:val="left"/>
      <w:lvlText w:val="%1."/>
      <w:numFmt w:val="decimal"/>
      <w:start w:val="1"/>
    </w:lvl>
  </w:abstractNum>
  <w:abstractNum w:abstractNumId="219">
    <w:nsid w:val="64212B8C"/>
    <w:multiLevelType w:val="hybridMultilevel"/>
    <w:lvl w:ilvl="0">
      <w:lvlJc w:val="left"/>
      <w:lvlText w:val="%1."/>
      <w:numFmt w:val="decimal"/>
      <w:start w:val="2"/>
    </w:lvl>
  </w:abstractNum>
  <w:abstractNum w:abstractNumId="220">
    <w:nsid w:val="5C17530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jpe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jpe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jpe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45" Type="http://schemas.openxmlformats.org/officeDocument/2006/relationships/hyperlink" Target="https://www.sec.gov/ix?doc=/Archives/edgar/data/1681087/000156459022010895/avro-10k_20211231.htm" TargetMode="External"/><Relationship Id="rId46" Type="http://schemas.openxmlformats.org/officeDocument/2006/relationships/hyperlink" Target="https://www.sec.gov/Archives/edgar/data/1681087/000156459022016125/avro-def14a_20220608.htm" TargetMode="External"/><Relationship Id="rId47" Type="http://schemas.openxmlformats.org/officeDocument/2006/relationships/hyperlink" Target="https://www.sec.gov/ix?doc=/Archives/edgar/data/1681087/000156459022019306/avro-10q_20220331.htm" TargetMode="External"/><Relationship Id="rId48" Type="http://schemas.openxmlformats.org/officeDocument/2006/relationships/hyperlink" Target="https://www.sec.gov/ix?doc=/Archives/edgar/data/1681087/000095017022016117/avro-20220630.htm" TargetMode="External"/><Relationship Id="rId49" Type="http://schemas.openxmlformats.org/officeDocument/2006/relationships/hyperlink" Target="https://www.sec.gov/ix?doc=/Archives/edgar/data/1681087/000095017022023269/avro-20220930.htm" TargetMode="External"/><Relationship Id="rId50" Type="http://schemas.openxmlformats.org/officeDocument/2006/relationships/hyperlink" Target="https://www.sec.gov/ix?doc=/Archives/edgar/data/1681087/000119312522004476/d263094d8k.htm" TargetMode="External"/><Relationship Id="rId51" Type="http://schemas.openxmlformats.org/officeDocument/2006/relationships/hyperlink" Target="https://www.sec.gov/ix?doc=/Archives/edgar/data/1681087/000156459022022999/avro-8k_20220608.htm" TargetMode="External"/><Relationship Id="rId52" Type="http://schemas.openxmlformats.org/officeDocument/2006/relationships/hyperlink" Target="https://www.sec.gov/ix?doc=/Archives/edgar/data/1681087/000119312522185087/d374875d8k.htm" TargetMode="External"/><Relationship Id="rId53" Type="http://schemas.openxmlformats.org/officeDocument/2006/relationships/hyperlink" Target="https://www.sec.gov/ix?doc=/Archives/edgar/data/1681087/000114036122036649/brhc10042765_8k.htm" TargetMode="External"/><Relationship Id="rId54" Type="http://schemas.openxmlformats.org/officeDocument/2006/relationships/hyperlink" Target="https://www.sec.gov/Archives/edgar/data/1681087/000119312518195637/d562006d8a12b.htm" TargetMode="External"/><Relationship Id="rId55" Type="http://schemas.openxmlformats.org/officeDocument/2006/relationships/hyperlink" Target="https://www.sec.gov/Archives/edgar/data/1681087/000156459020011144/avro-ex43_591.htm" TargetMode="External"/><Relationship Id="rId109" Type="http://schemas.openxmlformats.org/officeDocument/2006/relationships/hyperlink" Target="https://www.sec.gov/Archives/edgar/data/1681087/000119312518202460/d153924dex31.htm" TargetMode="External"/><Relationship Id="rId110" Type="http://schemas.openxmlformats.org/officeDocument/2006/relationships/hyperlink" Target="https://www.sec.gov/Archives/edgar/data/1681087/000119312518202460/d153924dex32.htm" TargetMode="External"/><Relationship Id="rId111" Type="http://schemas.openxmlformats.org/officeDocument/2006/relationships/hyperlink" Target="https://www.sec.gov/Archives/edgar/data/1681087/000119312518188630/d562006dex41.htm" TargetMode="External"/><Relationship Id="rId112" Type="http://schemas.openxmlformats.org/officeDocument/2006/relationships/hyperlink" Target="https://www.sec.gov/Archives/edgar/data/1681087/000119312518175024/d56200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2022-11-08T18:02:54Z</dcterms:created>
  <dcterms:modified xsi:type="dcterms:W3CDTF">2022-11-08T18:02:54Z</dcterms:modified>
</cp:coreProperties>
</file>