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440" w:top="362"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81-0710585</w:t>
      </w:r>
    </w:p>
    <w:p>
      <w:pPr>
        <w:spacing w:after="0" w:line="12" w:lineRule="exact"/>
        <w:rPr>
          <w:sz w:val="24"/>
          <w:szCs w:val="24"/>
          <w:color w:val="auto"/>
        </w:rPr>
      </w:pPr>
    </w:p>
    <w:p>
      <w:pPr>
        <w:sectPr>
          <w:pgSz w:w="11900" w:h="16838" w:orient="portrait"/>
          <w:cols w:equalWidth="0" w:num="3">
            <w:col w:w="4520" w:space="720"/>
            <w:col w:w="2860" w:space="720"/>
            <w:col w:w="1960"/>
          </w:cols>
          <w:pgMar w:left="440" w:top="362" w:right="67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080"/>
          </w:cols>
          <w:pgMar w:left="440" w:top="362" w:right="679" w:bottom="1440" w:gutter="0" w:footer="0" w:header="0"/>
          <w:type w:val="continuous"/>
        </w:sectPr>
      </w:pP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One Kendall Square</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Building 300, Suite 201</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440" w:top="362" w:right="679" w:bottom="1440" w:gutter="0" w:footer="0" w:header="0"/>
          <w:type w:val="continuous"/>
        </w:sectPr>
      </w:pPr>
    </w:p>
    <w:p>
      <w:pPr>
        <w:spacing w:after="0" w:line="200" w:lineRule="exact"/>
        <w:rPr>
          <w:sz w:val="24"/>
          <w:szCs w:val="24"/>
          <w:color w:val="auto"/>
        </w:rPr>
      </w:pPr>
    </w:p>
    <w:p>
      <w:pPr>
        <w:spacing w:after="0" w:line="370"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62" w:right="679" w:bottom="1440" w:gutter="0" w:footer="0" w:header="0"/>
          <w:type w:val="continuous"/>
        </w:sectPr>
      </w:pPr>
    </w:p>
    <w:bookmarkStart w:id="1" w:name="page2"/>
    <w:bookmarkEnd w:id="1"/>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March 25, 2019, AVROBIO, Inc. (the “Company”) issued a press release containing information about the Company’s results of operations for the three months and year ended December 31, 2018. A copy of this press release is furnished as Exhibit 99.1 to this Current Report on Form 8-K.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issued by AVROBIO, Inc., dated March 25, 2019.</w:t>
        </w:r>
      </w:hyperlink>
    </w:p>
    <w:p>
      <w:pPr>
        <w:sectPr>
          <w:pgSz w:w="11900" w:h="16838" w:orient="portrait"/>
          <w:cols w:equalWidth="0" w:num="1">
            <w:col w:w="10980"/>
          </w:cols>
          <w:pgMar w:left="440" w:top="266" w:right="479" w:bottom="1440" w:gutter="0" w:footer="0" w:header="0"/>
        </w:sectPr>
      </w:pPr>
    </w:p>
    <w:bookmarkStart w:id="2" w:name="page3"/>
    <w:bookmarkEnd w:id="2"/>
    <w:p>
      <w:pPr>
        <w:ind w:left="4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25, 2019</w:t>
      </w:r>
      <w:r>
        <w:rPr>
          <w:sz w:val="20"/>
          <w:szCs w:val="20"/>
          <w:color w:val="auto"/>
        </w:rPr>
        <w:tab/>
      </w:r>
      <w:r>
        <w:rPr>
          <w:rFonts w:ascii="Times New Roman" w:cs="Times New Roman" w:eastAsia="Times New Roman" w:hAnsi="Times New Roman"/>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17145</wp:posOffset>
            </wp:positionV>
            <wp:extent cx="3215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Geoff MacKay</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280"/>
          </w:cols>
          <w:pgMar w:left="440" w:top="266" w:right="11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AVROBIO, Inc. Reports Fourth Quarter and Fiscal Year 2018 Financial Results and Provides Business Update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Recruitment completed in investigator-sponsored Phase 1 Fabry study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Phase 1 and Phase 2 clinical data updates for AVR-RD-01 in Fabry disease reported at WORLDSymposium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Clinical trials in Gaucher and cystinosis expected to start in 2019</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Introduced plato</w:t>
      </w:r>
      <w:r>
        <w:rPr>
          <w:rFonts w:ascii="Times New Roman" w:cs="Times New Roman" w:eastAsia="Times New Roman" w:hAnsi="Times New Roman"/>
          <w:sz w:val="15"/>
          <w:szCs w:val="15"/>
          <w:i w:val="1"/>
          <w:iCs w:val="1"/>
          <w:color w:val="auto"/>
        </w:rPr>
        <w:t>TM</w:t>
      </w:r>
      <w:r>
        <w:rPr>
          <w:rFonts w:ascii="Times New Roman" w:cs="Times New Roman" w:eastAsia="Times New Roman" w:hAnsi="Times New Roman"/>
          <w:sz w:val="18"/>
          <w:szCs w:val="18"/>
          <w:i w:val="1"/>
          <w:iCs w:val="1"/>
          <w:color w:val="auto"/>
        </w:rPr>
        <w:t xml:space="preserve"> platform for worldwide gene therapy commercialization, to be incorporated in AVROBIO-sponsored clinical trials in 2019</w:t>
      </w:r>
    </w:p>
    <w:p>
      <w:pPr>
        <w:spacing w:after="0" w:line="22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CAMBRIDGE, Mass., March 25, 2019 – </w:t>
      </w:r>
      <w:r>
        <w:rPr>
          <w:rFonts w:ascii="Times New Roman" w:cs="Times New Roman" w:eastAsia="Times New Roman" w:hAnsi="Times New Roman"/>
          <w:sz w:val="18"/>
          <w:szCs w:val="18"/>
          <w:u w:val="single" w:color="auto"/>
          <w:color w:val="auto"/>
        </w:rPr>
        <w:t>AVROBIO, Inc</w:t>
      </w:r>
      <w:r>
        <w:rPr>
          <w:rFonts w:ascii="Times New Roman" w:cs="Times New Roman" w:eastAsia="Times New Roman" w:hAnsi="Times New Roman"/>
          <w:sz w:val="18"/>
          <w:szCs w:val="18"/>
          <w:color w:val="auto"/>
        </w:rPr>
        <w:t>. (NASDAQ: AVRO) (the “Company”), a Phase 2 clinical-stage gene therapy company, today reported financial results for the fourth quarter and fiscal year ended December 31, 2018 and provided a business update.</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“2018 was a very productive year for AVROBIO, as we built a solid financial foundation with our IPO and made significant progress advancing our pipeline of gene therapies for Fabry and other lysosomal storage diseases,” commented Geoff MacKay, President and Chief Executive Officer of AVROBIO. “We enter 2019 with strong momentum. Our recently-presented preliminary clinical data from the Fabry program builds upon a growing body of evidence for the therapeutic potential of AVR-RD-01 as a gene therapy for patients with this debilitating disease. In addition, we look forward to expanding AVROBIO’s clinical activities, with trials for Gaucher disease and cystinosis expected to start in 2019. Finally, after three and a half years of development, we were excited to introduce the plato</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platform, which includes a proprietary vector system, cell manufacturing solution and conditioning regimen with therapeutic drug monitoring. We believe that plato provides the foundation for the potential worldwide commercialization of our gene therapies. We plan to incorporate plato into our Fabry and Gaucher clinical trials in the second half of 2019.”</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Recent Business Highlights</w:t>
      </w:r>
    </w:p>
    <w:p>
      <w:pPr>
        <w:spacing w:after="0" w:line="131" w:lineRule="exact"/>
        <w:rPr>
          <w:sz w:val="20"/>
          <w:szCs w:val="20"/>
          <w:color w:val="auto"/>
        </w:rPr>
      </w:pPr>
    </w:p>
    <w:p>
      <w:pPr>
        <w:ind w:left="860" w:right="20" w:hanging="316"/>
        <w:spacing w:after="0" w:line="259"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Clinical progress in Fabry disease. </w:t>
      </w:r>
      <w:r>
        <w:rPr>
          <w:rFonts w:ascii="Times New Roman" w:cs="Times New Roman" w:eastAsia="Times New Roman" w:hAnsi="Times New Roman"/>
          <w:sz w:val="18"/>
          <w:szCs w:val="18"/>
          <w:color w:val="auto"/>
        </w:rPr>
        <w:t>Recruitment was recently completed for the investigator-sponsored Phase 1 study conducted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FACTs* team, with the dosing of the fifth patient in February 2019. AVROBIO continues enrollment of FAB-201, its Phase 2 clinical trial of AVR-RD-01 in Fabry disease. Two patients have been dosed to date, and the Company intends to open additional trial sites in the U.S. and Canada in 2019. In addition, in December 2018, AVROBIO received orphan drug designation for AVR-RD-01 from the U.S. Food and Drug Administration (FDA).</w:t>
      </w:r>
    </w:p>
    <w:p>
      <w:pPr>
        <w:spacing w:after="0" w:line="85" w:lineRule="exact"/>
        <w:rPr>
          <w:rFonts w:ascii="Times New Roman" w:cs="Times New Roman" w:eastAsia="Times New Roman" w:hAnsi="Times New Roman"/>
          <w:sz w:val="18"/>
          <w:szCs w:val="18"/>
          <w:color w:val="auto"/>
        </w:rPr>
      </w:pPr>
    </w:p>
    <w:p>
      <w:pPr>
        <w:ind w:left="860" w:right="40" w:hanging="316"/>
        <w:spacing w:after="0" w:line="255"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Preliminary clinical data updates on AVR-RD-01 gene therapy for Fabry disease at WORLD</w:t>
      </w:r>
      <w:r>
        <w:rPr>
          <w:rFonts w:ascii="Times New Roman" w:cs="Times New Roman" w:eastAsia="Times New Roman" w:hAnsi="Times New Roman"/>
          <w:sz w:val="18"/>
          <w:szCs w:val="18"/>
          <w:b w:val="1"/>
          <w:bCs w:val="1"/>
          <w:i w:val="1"/>
          <w:iCs w:val="1"/>
          <w:color w:val="auto"/>
        </w:rPr>
        <w:t>Symposium</w:t>
      </w:r>
      <w:r>
        <w:rPr>
          <w:rFonts w:ascii="Times New Roman" w:cs="Times New Roman" w:eastAsia="Times New Roman" w:hAnsi="Times New Roman"/>
          <w:sz w:val="18"/>
          <w:szCs w:val="18"/>
          <w:b w:val="1"/>
          <w:bCs w:val="1"/>
          <w:color w:val="auto"/>
        </w:rPr>
        <w:t xml:space="preserve"> 2019. </w:t>
      </w:r>
      <w:r>
        <w:rPr>
          <w:rFonts w:ascii="Times New Roman" w:cs="Times New Roman" w:eastAsia="Times New Roman" w:hAnsi="Times New Roman"/>
          <w:sz w:val="18"/>
          <w:szCs w:val="18"/>
          <w:color w:val="auto"/>
        </w:rPr>
        <w:t>Data presented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WORLD</w:t>
      </w:r>
      <w:r>
        <w:rPr>
          <w:rFonts w:ascii="Times New Roman" w:cs="Times New Roman" w:eastAsia="Times New Roman" w:hAnsi="Times New Roman"/>
          <w:sz w:val="18"/>
          <w:szCs w:val="18"/>
          <w:i w:val="1"/>
          <w:iCs w:val="1"/>
          <w:color w:val="auto"/>
        </w:rPr>
        <w:t>Symposium</w:t>
      </w:r>
      <w:r>
        <w:rPr>
          <w:rFonts w:ascii="Times New Roman" w:cs="Times New Roman" w:eastAsia="Times New Roman" w:hAnsi="Times New Roman"/>
          <w:sz w:val="18"/>
          <w:szCs w:val="18"/>
          <w:color w:val="auto"/>
        </w:rPr>
        <w:t xml:space="preserve"> and at an AVROBIO-sponsored investor event supported the potential of AVR-RD-01 as a gene therapy for Fabry disease. A total of seven patients have been treated to date across the Phase 1 FACTs and FAB-201 investigational studies. Four of those patients have at least three months post-gene therapy follow-up. Their data showed α-galactosidase A (AGA) plasma enzyme activity above the range for males with classical Fabry disease at all timepoints measured, including at 22 months post-treatment in Patient 1 in the Phase 1 study. Reductions in substrate and metabolite levels were observed both in patients who discontinued enzyme replacement therapy (ERT) and who were treatment-naïve. This included an 85% reduction in lyso-Gb3 metabolite levels at 6 months in the first patient dosed in the FAB-201 clinical trial. The AVR-RD-01 investigational gene therapy has been generally well tolerated with no serious adverse events (SAEs) related to the study drug, at up to 22- and 6-months follow-up in the Phase 1 and Phase 2 trials, respectively.</w:t>
      </w:r>
    </w:p>
    <w:p>
      <w:pPr>
        <w:sectPr>
          <w:pgSz w:w="11900" w:h="16838" w:orient="portrait"/>
          <w:cols w:equalWidth="0" w:num="1">
            <w:col w:w="11020"/>
          </w:cols>
          <w:pgMar w:left="440" w:top="117" w:right="439" w:bottom="1440" w:gutter="0" w:footer="0" w:header="0"/>
        </w:sectPr>
      </w:pPr>
    </w:p>
    <w:bookmarkStart w:id="4" w:name="page5"/>
    <w:bookmarkEnd w:id="4"/>
    <w:p>
      <w:pPr>
        <w:ind w:left="860" w:hanging="316"/>
        <w:spacing w:after="0" w:line="256"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On track to enter the clinic in 2019 with two additional gene therapy programs for lysosomal storage diseases. </w:t>
      </w:r>
      <w:r>
        <w:rPr>
          <w:rFonts w:ascii="Times New Roman" w:cs="Times New Roman" w:eastAsia="Times New Roman" w:hAnsi="Times New Roman"/>
          <w:sz w:val="18"/>
          <w:szCs w:val="18"/>
          <w:color w:val="auto"/>
        </w:rPr>
        <w:t>In October 2018,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AVROBIO received a no objection letter (NOL) from Health Canada to the clinical trial application (CTA) for GAU-201, its Phase 1/2 clinical trial of AVR-RD-02 in Gaucher disease. The Company subsequently received two additional NOLs from Health Canada to CTA amendments that incorporate elements of the plato platform into the trial. Dosing is expected to begin in the second half of 2019. In December 2018, the FDA accepted the Investigational New Drug (IND) application for an investigator-sponsored Phase 1/2 clinical trial of AVR-RD-04 in cystinosis. This trial will be led by Stephanie Cherqui, PhD, Associate Professor of Pediatrics at the University of California, San Diego, and is expected to begin in the second half of 2019.</w:t>
      </w:r>
    </w:p>
    <w:p>
      <w:pPr>
        <w:spacing w:after="0" w:line="88" w:lineRule="exact"/>
        <w:rPr>
          <w:rFonts w:ascii="Times New Roman" w:cs="Times New Roman" w:eastAsia="Times New Roman" w:hAnsi="Times New Roman"/>
          <w:sz w:val="18"/>
          <w:szCs w:val="18"/>
          <w:color w:val="auto"/>
        </w:rPr>
      </w:pPr>
    </w:p>
    <w:p>
      <w:pPr>
        <w:ind w:left="860" w:right="200" w:hanging="316"/>
        <w:spacing w:after="0" w:line="257"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Introduced AVROBIO’s plato platform for worldwide commercialization. </w:t>
      </w:r>
      <w:r>
        <w:rPr>
          <w:rFonts w:ascii="Times New Roman" w:cs="Times New Roman" w:eastAsia="Times New Roman" w:hAnsi="Times New Roman"/>
          <w:sz w:val="18"/>
          <w:szCs w:val="18"/>
          <w:color w:val="auto"/>
        </w:rPr>
        <w:t>Plato consists of a state-of-the-art four-plasmid vector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automation of a closed cell manufacturing process and a conditioning regimen that utilizes therapeutic drug monitoring (TDM). Plato was designed to enhance the potency, safety, efficacy, and long-term durability of AVROBIO’s gene therapies, and may additionally provide the capability to address CNS manifestations that accompany many lysosomal storage diseases. Plato also has the potential to overcome historical gene therapy manufacturing bottlenecks, such as scale and capacity. Anticipated manufacturing and other benefits of plato include:</w:t>
      </w:r>
    </w:p>
    <w:p>
      <w:pPr>
        <w:spacing w:after="0" w:line="90" w:lineRule="exact"/>
        <w:rPr>
          <w:rFonts w:ascii="Times New Roman" w:cs="Times New Roman" w:eastAsia="Times New Roman" w:hAnsi="Times New Roman"/>
          <w:sz w:val="18"/>
          <w:szCs w:val="18"/>
          <w:color w:val="auto"/>
        </w:rPr>
      </w:pPr>
    </w:p>
    <w:p>
      <w:pPr>
        <w:ind w:left="1420" w:right="160" w:hanging="430"/>
        <w:spacing w:after="0" w:line="284"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Large scale vector production: </w:t>
      </w:r>
      <w:r>
        <w:rPr>
          <w:rFonts w:ascii="Times New Roman" w:cs="Times New Roman" w:eastAsia="Times New Roman" w:hAnsi="Times New Roman"/>
          <w:sz w:val="18"/>
          <w:szCs w:val="18"/>
          <w:color w:val="auto"/>
        </w:rPr>
        <w:t>The Company expects to have manufacturing capabilities at 200-liter bioreactor scale in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half of 2019, with vector production capable of treating a substantial number of patients per year;</w:t>
      </w:r>
    </w:p>
    <w:p>
      <w:pPr>
        <w:spacing w:after="0" w:line="63" w:lineRule="exact"/>
        <w:rPr>
          <w:rFonts w:ascii="Times New Roman" w:cs="Times New Roman" w:eastAsia="Times New Roman" w:hAnsi="Times New Roman"/>
          <w:sz w:val="18"/>
          <w:szCs w:val="18"/>
          <w:color w:val="auto"/>
        </w:rPr>
      </w:pPr>
    </w:p>
    <w:p>
      <w:pPr>
        <w:jc w:val="both"/>
        <w:ind w:left="1420" w:hanging="430"/>
        <w:spacing w:after="0" w:line="267"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Cost-effective manufacturing with global reach: </w:t>
      </w:r>
      <w:r>
        <w:rPr>
          <w:rFonts w:ascii="Times New Roman" w:cs="Times New Roman" w:eastAsia="Times New Roman" w:hAnsi="Times New Roman"/>
          <w:sz w:val="18"/>
          <w:szCs w:val="18"/>
          <w:color w:val="auto"/>
        </w:rPr>
        <w:t>The automated, closed cell manufacturing system is intended to improve quality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consistency between batches. In addition, its portability may allow for global production using lower-level clean rooms that are cost-effective and in ample supply around the world. We believe this is the first use of this approach in CD34+ gene therapy;</w:t>
      </w:r>
    </w:p>
    <w:p>
      <w:pPr>
        <w:spacing w:after="0" w:line="78" w:lineRule="exact"/>
        <w:rPr>
          <w:rFonts w:ascii="Times New Roman" w:cs="Times New Roman" w:eastAsia="Times New Roman" w:hAnsi="Times New Roman"/>
          <w:sz w:val="18"/>
          <w:szCs w:val="18"/>
          <w:color w:val="auto"/>
        </w:rPr>
      </w:pPr>
    </w:p>
    <w:p>
      <w:pPr>
        <w:ind w:left="1420" w:right="460" w:hanging="430"/>
        <w:spacing w:after="0" w:line="284"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Convenience for patients: </w:t>
      </w:r>
      <w:r>
        <w:rPr>
          <w:rFonts w:ascii="Times New Roman" w:cs="Times New Roman" w:eastAsia="Times New Roman" w:hAnsi="Times New Roman"/>
          <w:sz w:val="18"/>
          <w:szCs w:val="18"/>
          <w:color w:val="auto"/>
        </w:rPr>
        <w:t>The gene therapy product is cryopreserved to simplify logistics and allow convenient scheduling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w:t>
      </w:r>
    </w:p>
    <w:p>
      <w:pPr>
        <w:spacing w:after="0" w:line="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intends to start using plato in its FAB-201 and GAU-201 clinical trials in 2019.</w:t>
      </w:r>
    </w:p>
    <w:p>
      <w:pPr>
        <w:spacing w:after="0" w:line="127" w:lineRule="exact"/>
        <w:rPr>
          <w:sz w:val="20"/>
          <w:szCs w:val="20"/>
          <w:color w:val="auto"/>
        </w:rPr>
      </w:pPr>
    </w:p>
    <w:p>
      <w:pPr>
        <w:ind w:left="860" w:hanging="316"/>
        <w:spacing w:after="0" w:line="259"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Expanded and strengthened leadership team with four senior management hires. </w:t>
      </w:r>
      <w:r>
        <w:rPr>
          <w:rFonts w:ascii="Times New Roman" w:cs="Times New Roman" w:eastAsia="Times New Roman" w:hAnsi="Times New Roman"/>
          <w:sz w:val="18"/>
          <w:szCs w:val="18"/>
          <w:color w:val="auto"/>
        </w:rPr>
        <w:t>In December 2018, AVROBIO strengthened its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team with the appointments of four senior management hires: Birgitte Volck, MD, PhD, as President of Research and Development to oversee medical, clinical, regulatory, pre-clinical, research and manufacturing; Erik Ostrowski as Chief Financial Officer; Steven Avruch as General Counsel; and Josie Yang, PhD as head of Regulatory Affairs. These new leaders augment the senior management team and help prepare the Company for its next stage of growth.</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Fiscal Year 2018 Financial Results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AVROBIO reported a net loss of $16.0 million for the fourth quarter of 2018, and a net loss of $46.4 million for the year ended December 31, 2018, as compared to a net loss of $7.6 million and a net loss of $18.6 million for the comparable periods in 2017, respectively. These increases were due to increased research and development expenses, as well as increased general and administrative expenses.</w:t>
      </w:r>
    </w:p>
    <w:p>
      <w:pPr>
        <w:sectPr>
          <w:pgSz w:w="11900" w:h="16838" w:orient="portrait"/>
          <w:cols w:equalWidth="0" w:num="1">
            <w:col w:w="11000"/>
          </w:cols>
          <w:pgMar w:left="440" w:top="266" w:right="459" w:bottom="1440" w:gutter="0" w:footer="0" w:header="0"/>
        </w:sectPr>
      </w:pPr>
    </w:p>
    <w:bookmarkStart w:id="5" w:name="page6"/>
    <w:bookmarkEnd w:id="5"/>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Research and development expenses were $12.8 million for the fourth quarter of 2018, and $35.1 million for the year ended December 31, 2018, as compared to $6.5 million and $15.2 million for the comparable periods in 2017, respectively. These increases were driven by increased preclinical and clinical development activities related to the advancement of the Company’s pipeline, as well as increased personnel-related costs resulting from an increase in employee headcount.</w:t>
      </w:r>
    </w:p>
    <w:p>
      <w:pPr>
        <w:spacing w:after="0" w:line="180"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$3.9 million for the fourth quarter of 2018, and $11.1 million for the year ended December 31, 2018, as compared to $1.0 million and $3.2 million for the comparable periods in 2017, respectively. These increases were primarily due to an increase in employee headcount, consulting and professional fees related to the support of ongoing business operations as a publicly traded company, and the impact of stock-based compensation.</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2018, AVROBIO had $126.3 million in cash and cash equivalents, as compared to $6.0 million in cash and cash equivalents as of December 31, 2017. This increase was primarily the result of the completion of the Company’s initial public offering completed in June 2018, which raised net proceeds of $104.0 million, and the Company’s Series B financing completed in January 2018, which generated net proceeds of $58.3 million. Based on the Company’s current operating plan, AVROBIO expects its cash and cash equivalents as of December 31, 2018 will enable the Company to fund its operating expenses and capital expenditure requirements into the second half of 2020.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AVROBIO, Inc.</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AVROBIO, Inc., is a Phase 2 clinical-stage gene therapy company developing gene therapies to potentially cure rare diseases with a single dose. AVROBIO’s lentiviral-based gene therapies employ hematopoietic stem cells that are collected from the patient and then modified with a lentiviral vector to insert functional copies of the gene that is defective in the target disease. AVROBIO is focused on the development of its gene therapy, AVR RD 01, in Fabry disease, as well as additional gene therapy programs in other lysosomal storage disorders including Gaucher disease, cystinosis and Pompe disease. The Company’s plato platform is a proprietary vector system and automated, closed cell manufacturing solution designed to support worldwide commercialization. AVROBIO is headquartered in Cambridge, MA and has offices in Toronto, ON. For additional information, visit www.avrobio.com.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These forward-looking statements include, without limitation, statements regarding our business strategy, prospective products and goals, the therapeutic potential of our product candidates, the design, commencement, enrollment and timing of ongoing or planned clinical trials, clinical trial results, product approvals and regulatory pathways, the intended incentives conferred by orphan drug designation, potential regulatory approvals and the timing thereof, anticipated benefits of our gene therapy platform including potential impact on our commercialization activities, timing and likelihood of success, plans and objectives of management for future operations, future results of anticipated products, and the market opportunity for our product candidates, and statements regarding the Company’s financial and cash position and expected cash runway. Any such statements in this press release that are not statements of historical fact may be deemed to be forward-looking statements. Results in preclinical or early stage clinical trials may not be indicative of results from later stage or larger scale clinical trials and do not ensure regulatory approval. You should not place undue reliance on these statements, or the scientific data presented.</w:t>
      </w:r>
    </w:p>
    <w:p>
      <w:pPr>
        <w:sectPr>
          <w:pgSz w:w="11900" w:h="16838" w:orient="portrait"/>
          <w:cols w:equalWidth="0" w:num="1">
            <w:col w:w="11000"/>
          </w:cols>
          <w:pgMar w:left="440" w:top="270" w:right="459" w:bottom="1440" w:gutter="0" w:footer="0" w:header="0"/>
        </w:sectPr>
      </w:pPr>
    </w:p>
    <w:bookmarkStart w:id="6" w:name="page7"/>
    <w:bookmarkEnd w:id="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realize the intended benefits of our gene therapy platform, including the features of our plato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Quarterly Report on Form 10-Q for the quarter ended September 30, 2018,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694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FACTs = Fabry disease Clinical research and Therapeutics in Canada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F. Brinzey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Westwicke, and ICR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chris.brinzey@westwicke.com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Kathryn Morris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914-204-6412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kathryn@theyatesnetwork.com</w:t>
      </w:r>
    </w:p>
    <w:p>
      <w:pPr>
        <w:sectPr>
          <w:pgSz w:w="11900" w:h="16838" w:orient="portrait"/>
          <w:cols w:equalWidth="0" w:num="1">
            <w:col w:w="11020"/>
          </w:cols>
          <w:pgMar w:left="440" w:top="270" w:right="4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2020" w:type="dxa"/>
            <w:vAlign w:val="bottom"/>
            <w:gridSpan w:val="3"/>
          </w:tcPr>
          <w:p>
            <w:pPr>
              <w:ind w:left="1200"/>
              <w:spacing w:after="0"/>
              <w:rPr>
                <w:sz w:val="20"/>
                <w:szCs w:val="20"/>
                <w:color w:val="auto"/>
              </w:rPr>
            </w:pPr>
            <w:r>
              <w:rPr>
                <w:rFonts w:ascii="Times New Roman" w:cs="Times New Roman" w:eastAsia="Times New Roman" w:hAnsi="Times New Roman"/>
                <w:sz w:val="14"/>
                <w:szCs w:val="14"/>
                <w:color w:val="auto"/>
              </w:rPr>
              <w:t>December 31,</w:t>
            </w:r>
          </w:p>
        </w:tc>
        <w:tc>
          <w:tcPr>
            <w:tcW w:w="14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2018</w:t>
            </w: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4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Warrant to purchase redeemable convertible preferred stock</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liability</w:t>
            </w:r>
          </w:p>
        </w:tc>
        <w:tc>
          <w:tcPr>
            <w:tcW w:w="1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 (deficit)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66" w:right="4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color w:val="auto"/>
              </w:rPr>
              <w:t>Twelve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2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26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(46,243)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(18,386)</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(16,021)</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(7,596)</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(46,361)</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(18,648)</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Reconciliation of net loss to net loss attributed to common stockholders:</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(16,021)</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(7,596)</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(46,361)</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issuance costs on convertible preferred stock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 basic and diluted</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(16,021)</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(7,559)</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(48,604)</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(18,733)</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(0.67)</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 used in computing net loss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 share attributable to common stockholders—basic and diluted</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23,791,495</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2,294,280</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13,435,478</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2,235,865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26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2019-12-28T14:15:31Z</dcterms:created>
  <dcterms:modified xsi:type="dcterms:W3CDTF">2019-12-28T14:15:31Z</dcterms:modified>
</cp:coreProperties>
</file>