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48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3"/>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19"/>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4"/>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19"/>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6200" w:type="dxa"/>
            <w:vAlign w:val="bottom"/>
            <w:gridSpan w:val="19"/>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4"/>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4"/>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8"/>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60" w:type="dxa"/>
            <w:vAlign w:val="bottom"/>
            <w:gridSpan w:val="3"/>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040" w:type="dxa"/>
            <w:vAlign w:val="bottom"/>
          </w:tcPr>
          <w:p>
            <w:pPr>
              <w:spacing w:after="0"/>
              <w:rPr>
                <w:sz w:val="6"/>
                <w:szCs w:val="6"/>
                <w:color w:val="auto"/>
              </w:rPr>
            </w:pPr>
          </w:p>
        </w:tc>
        <w:tc>
          <w:tcPr>
            <w:tcW w:w="5600" w:type="dxa"/>
            <w:vAlign w:val="bottom"/>
            <w:gridSpan w:val="18"/>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60" w:type="dxa"/>
            <w:vAlign w:val="bottom"/>
            <w:gridSpan w:val="3"/>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0" w:type="dxa"/>
            <w:vAlign w:val="bottom"/>
            <w:gridSpan w:val="18"/>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0"/>
          </w:tcPr>
          <w:p>
            <w:pPr>
              <w:jc w:val="center"/>
              <w:ind w:right="162"/>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7"/>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4"/>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Booth Bruce</w:t>
              </w:r>
            </w:hyperlink>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80" w:type="dxa"/>
            <w:vAlign w:val="bottom"/>
            <w:gridSpan w:val="9"/>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AVROBIO,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AVRO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4"/>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0"/>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19"/>
                <w:szCs w:val="19"/>
                <w:color w:val="auto"/>
              </w:rPr>
            </w:pPr>
          </w:p>
        </w:tc>
        <w:tc>
          <w:tcPr>
            <w:tcW w:w="1340" w:type="dxa"/>
            <w:vAlign w:val="bottom"/>
            <w:gridSpan w:val="2"/>
          </w:tcPr>
          <w:p>
            <w:pPr>
              <w:ind w:left="160"/>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06/06/2023</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5"/>
            <w:vMerge w:val="restart"/>
          </w:tcPr>
          <w:p>
            <w:pPr>
              <w:ind w:left="20"/>
              <w:spacing w:after="0"/>
              <w:rPr>
                <w:sz w:val="20"/>
                <w:szCs w:val="20"/>
                <w:color w:val="auto"/>
              </w:rPr>
            </w:pPr>
            <w:r>
              <w:rPr>
                <w:rFonts w:ascii="Arial" w:cs="Arial" w:eastAsia="Arial" w:hAnsi="Arial"/>
                <w:sz w:val="17"/>
                <w:szCs w:val="17"/>
                <w:color w:val="0000FF"/>
              </w:rPr>
              <w:t>C/O AVROBIO, INC.</w:t>
            </w: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5"/>
            <w:vMerge w:val="continue"/>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1"/>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6"/>
          </w:tcPr>
          <w:p>
            <w:pPr>
              <w:ind w:left="20"/>
              <w:spacing w:after="0" w:line="183" w:lineRule="exact"/>
              <w:rPr>
                <w:sz w:val="20"/>
                <w:szCs w:val="20"/>
                <w:color w:val="auto"/>
              </w:rPr>
            </w:pPr>
            <w:r>
              <w:rPr>
                <w:rFonts w:ascii="Arial" w:cs="Arial" w:eastAsia="Arial" w:hAnsi="Arial"/>
                <w:sz w:val="17"/>
                <w:szCs w:val="17"/>
                <w:color w:val="0000FF"/>
              </w:rPr>
              <w:t>100 TECHNOLOGY SQUARE, 6TH FLOOR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5"/>
            <w:vMerge w:val="restart"/>
          </w:tcPr>
          <w:p>
            <w:pPr>
              <w:ind w:left="20"/>
              <w:spacing w:after="0" w:line="164" w:lineRule="exact"/>
              <w:rPr>
                <w:sz w:val="20"/>
                <w:szCs w:val="20"/>
                <w:color w:val="auto"/>
              </w:rPr>
            </w:pPr>
            <w:r>
              <w:rPr>
                <w:rFonts w:ascii="Arial" w:cs="Arial" w:eastAsia="Arial" w:hAnsi="Arial"/>
                <w:sz w:val="17"/>
                <w:szCs w:val="17"/>
                <w:color w:val="0000FF"/>
              </w:rPr>
              <w:t>CAMBRIDGE   MA</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02139</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1"/>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7"/>
                <w:szCs w:val="7"/>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1"/>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4"/>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3"/>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0"/>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4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2580" w:type="dxa"/>
            <w:vAlign w:val="bottom"/>
            <w:tcBorders>
              <w:bottom w:val="single" w:sz="8" w:color="2C2C2C"/>
            </w:tcBorders>
            <w:gridSpan w:val="6"/>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20"/>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8"/>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0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3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1.09</w:t>
            </w:r>
          </w:p>
        </w:tc>
        <w:tc>
          <w:tcPr>
            <w:tcW w:w="1040" w:type="dxa"/>
            <w:vAlign w:val="bottom"/>
          </w:tcPr>
          <w:p>
            <w:pPr>
              <w:jc w:val="right"/>
              <w:ind w:right="111"/>
              <w:spacing w:after="0"/>
              <w:rPr>
                <w:sz w:val="20"/>
                <w:szCs w:val="20"/>
                <w:color w:val="auto"/>
              </w:rPr>
            </w:pPr>
            <w:r>
              <w:rPr>
                <w:rFonts w:ascii="Arial" w:cs="Arial" w:eastAsia="Arial" w:hAnsi="Arial"/>
                <w:sz w:val="13"/>
                <w:szCs w:val="13"/>
                <w:color w:val="0000FF"/>
              </w:rPr>
              <w:t>06/06/2023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17,643</w:t>
            </w:r>
          </w:p>
        </w:tc>
        <w:tc>
          <w:tcPr>
            <w:tcW w:w="700" w:type="dxa"/>
            <w:vAlign w:val="bottom"/>
            <w:gridSpan w:val="2"/>
          </w:tcPr>
          <w:p>
            <w:pPr>
              <w:ind w:left="320"/>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140"/>
              <w:spacing w:after="0"/>
              <w:rPr>
                <w:sz w:val="20"/>
                <w:szCs w:val="20"/>
                <w:color w:val="auto"/>
              </w:rPr>
            </w:pPr>
            <w:r>
              <w:rPr>
                <w:rFonts w:ascii="Arial" w:cs="Arial" w:eastAsia="Arial" w:hAnsi="Arial"/>
                <w:sz w:val="13"/>
                <w:szCs w:val="13"/>
                <w:color w:val="0000FF"/>
              </w:rPr>
              <w:t>06/05/2033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17,643</w:t>
            </w:r>
          </w:p>
        </w:tc>
        <w:tc>
          <w:tcPr>
            <w:tcW w:w="14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17,643</w:t>
            </w:r>
          </w:p>
        </w:tc>
        <w:tc>
          <w:tcPr>
            <w:tcW w:w="280" w:type="dxa"/>
            <w:vAlign w:val="bottom"/>
          </w:tcPr>
          <w:p>
            <w:pPr>
              <w:spacing w:after="0"/>
              <w:rPr>
                <w:sz w:val="17"/>
                <w:szCs w:val="17"/>
                <w:color w:val="auto"/>
              </w:rPr>
            </w:pPr>
          </w:p>
        </w:tc>
        <w:tc>
          <w:tcPr>
            <w:tcW w:w="640" w:type="dxa"/>
            <w:vAlign w:val="bottom"/>
          </w:tcPr>
          <w:p>
            <w:pPr>
              <w:ind w:left="260"/>
              <w:spacing w:after="0" w:line="204" w:lineRule="exact"/>
              <w:rPr>
                <w:sz w:val="20"/>
                <w:szCs w:val="20"/>
                <w:color w:val="auto"/>
              </w:rPr>
            </w:pPr>
            <w:r>
              <w:rPr>
                <w:rFonts w:ascii="Arial" w:cs="Arial" w:eastAsia="Arial" w:hAnsi="Arial"/>
                <w:sz w:val="23"/>
                <w:szCs w:val="23"/>
                <w:color w:val="0000FF"/>
                <w:vertAlign w:val="subscript"/>
              </w:rPr>
              <w:t>D</w:t>
            </w:r>
            <w:r>
              <w:rPr>
                <w:rFonts w:ascii="Arial" w:cs="Arial" w:eastAsia="Arial" w:hAnsi="Arial"/>
                <w:sz w:val="10"/>
                <w:szCs w:val="10"/>
                <w:color w:val="008000"/>
              </w:rPr>
              <w:t>(2)</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-5669280</wp:posOffset>
            </wp:positionV>
            <wp:extent cx="7045960" cy="5822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8223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36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shall vest in full upon the earlier of June 6, 2024 or the date of the Issuer's 2024 Annual Meeting of Stockholders, subject to the reporting person's continued service as a director through such vesting date.</w:t>
      </w:r>
    </w:p>
    <w:p>
      <w:pPr>
        <w:spacing w:after="0" w:line="23" w:lineRule="exact"/>
        <w:rPr>
          <w:rFonts w:ascii="Arial" w:cs="Arial" w:eastAsia="Arial" w:hAnsi="Arial"/>
          <w:sz w:val="13"/>
          <w:szCs w:val="13"/>
          <w:color w:val="008000"/>
        </w:rPr>
      </w:pPr>
    </w:p>
    <w:p>
      <w:pPr>
        <w:ind w:left="40" w:right="240" w:firstLine="4"/>
        <w:spacing w:after="0" w:line="242"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to the Reporting Person, a director of the Issuer. The proceeds of any sale of shares of common stock issued to the Reporting Person upon exercise of this option will be transferred to Atlas Venture Life Science Advisors, LLC and as such, the Reporting Person disclaims ownership of such securities reported herein for purposes of Section 16 of the Securities Exchange Act of 1934, as amended, except to the extent of his pecuniary interest therein, if any.</w:t>
      </w:r>
    </w:p>
    <w:p>
      <w:pPr>
        <w:spacing w:after="0" w:line="4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Bruce Booth</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06/08/2023</w:t>
            </w:r>
          </w:p>
        </w:tc>
      </w:tr>
      <w:tr>
        <w:trPr>
          <w:trHeight w:val="227"/>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451612" TargetMode="External"/><Relationship Id="rId9"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2023-06-08T15:32:37Z</dcterms:created>
  <dcterms:modified xsi:type="dcterms:W3CDTF">2023-06-08T15:32:37Z</dcterms:modified>
</cp:coreProperties>
</file>