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333-280909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160020</wp:posOffset>
            </wp:positionV>
            <wp:extent cx="12687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2,969,583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July 30, 2024 (the “Prospectus”), which forms a part of our registration statement on Form S-1 (No. 333-280909). This prospectus supplement is being filed to update and supplement the information in the Prospectus with certain information contained in our Current Report on Form 8-K, filed with the Securities and Exchange Commission on February 3, 2025 (the “Current Report”). Accordingly, we have attached the Current Report in relevant part to this prospectus supplement.</w:t>
      </w:r>
    </w:p>
    <w:p>
      <w:pPr>
        <w:spacing w:after="0" w:line="180" w:lineRule="exact"/>
        <w:rPr>
          <w:sz w:val="24"/>
          <w:szCs w:val="24"/>
          <w:color w:val="auto"/>
        </w:rPr>
      </w:pPr>
    </w:p>
    <w:p>
      <w:pPr>
        <w:ind w:right="660" w:firstLine="440"/>
        <w:spacing w:after="0" w:line="266"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proposed offer and resale or other disposition from time to time by the selling stockholders identified in this prospectus of up to an aggregate of 2,969,583 shares of common stock, par value $0.0001 per share, of Tectonic Therapeutic, Inc.</w:t>
      </w:r>
    </w:p>
    <w:p>
      <w:pPr>
        <w:spacing w:after="0" w:line="176" w:lineRule="exact"/>
        <w:rPr>
          <w:sz w:val="24"/>
          <w:szCs w:val="24"/>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ticker symbol “TECX.” On February 11, 2025, the last reported sales price of our Common Stock was $31.87 per share.</w:t>
      </w:r>
    </w:p>
    <w:p>
      <w:pPr>
        <w:spacing w:after="0" w:line="162" w:lineRule="exact"/>
        <w:rPr>
          <w:sz w:val="24"/>
          <w:szCs w:val="24"/>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to it, which is to be delivered with this prospectus supplement. This prospectus supplement is qualified by reference to the Prospectus, including any amendments or supplements thereto, except to the extent that the information provided by this prospectus supplement supersedes information contained in the Prospectus.</w:t>
      </w:r>
    </w:p>
    <w:p>
      <w:pPr>
        <w:spacing w:after="0" w:line="180" w:lineRule="exact"/>
        <w:rPr>
          <w:sz w:val="24"/>
          <w:szCs w:val="24"/>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used except in conjunction with, the Prospectus, including any amendments or supplements to 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10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w:t>
      </w:r>
    </w:p>
    <w:p>
      <w:pPr>
        <w:spacing w:after="0" w:line="176" w:lineRule="exact"/>
        <w:rPr>
          <w:sz w:val="24"/>
          <w:szCs w:val="24"/>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12, 2025</w:t>
      </w:r>
    </w:p>
    <w:p>
      <w:pPr>
        <w:sectPr>
          <w:pgSz w:w="11900" w:h="16838" w:orient="portrait"/>
          <w:cols w:equalWidth="0" w:num="1">
            <w:col w:w="11020"/>
          </w:cols>
          <w:pgMar w:left="440" w:top="225" w:right="439" w:bottom="1440" w:gutter="0" w:footer="0" w:header="0"/>
        </w:sectPr>
      </w:pPr>
    </w:p>
    <w:bookmarkStart w:id="1" w:name="page2"/>
    <w:bookmarkEnd w:id="1"/>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0"/>
          <w:szCs w:val="20"/>
          <w:color w:val="auto"/>
        </w:rPr>
      </w:pPr>
    </w:p>
    <w:p>
      <w:pPr>
        <w:ind w:left="248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924" w:type="dxa"/>
        <w:tblCellMar>
          <w:top w:w="0" w:type="dxa"/>
          <w:left w:w="0" w:type="dxa"/>
          <w:bottom w:w="0" w:type="dxa"/>
          <w:right w:w="0" w:type="dxa"/>
        </w:tblCellMar>
      </w:tblPr>
      <w:tr>
        <w:trPr>
          <w:trHeight w:val="214"/>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81-0710585</w:t>
            </w:r>
          </w:p>
        </w:tc>
      </w:tr>
      <w:tr>
        <w:trPr>
          <w:trHeight w:val="148"/>
        </w:trPr>
        <w:tc>
          <w:tcPr>
            <w:tcW w:w="366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490 Arsenal Way, Suite 210</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0"/>
          <w:szCs w:val="20"/>
          <w:color w:val="auto"/>
        </w:rPr>
      </w:pPr>
    </w:p>
    <w:p>
      <w:pPr>
        <w:ind w:left="292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0"/>
          <w:szCs w:val="20"/>
          <w:color w:val="auto"/>
        </w:rPr>
      </w:pPr>
    </w:p>
    <w:tbl>
      <w:tblPr>
        <w:tblLayout w:type="fixed"/>
        <w:tblInd w:w="264"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80" w:type="dxa"/>
            <w:vAlign w:val="bottom"/>
            <w:vMerge w:val="restart"/>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40" w:type="dxa"/>
            <w:vAlign w:val="bottom"/>
            <w:gridSpan w:val="3"/>
          </w:tcPr>
          <w:p>
            <w:pPr>
              <w:jc w:val="center"/>
              <w:ind w:left="210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540" w:type="dxa"/>
            <w:vAlign w:val="bottom"/>
            <w:gridSpan w:val="2"/>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gridSpan w:val="3"/>
          </w:tcPr>
          <w:p>
            <w:pPr>
              <w:jc w:val="center"/>
              <w:ind w:left="2102"/>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Common Stock,</w:t>
            </w:r>
          </w:p>
        </w:tc>
        <w:tc>
          <w:tcPr>
            <w:tcW w:w="1100" w:type="dxa"/>
            <w:vAlign w:val="bottom"/>
            <w:shd w:val="clear" w:color="auto" w:fill="000000"/>
          </w:tcPr>
          <w:p>
            <w:pPr>
              <w:spacing w:after="0" w:line="20" w:lineRule="exact"/>
              <w:rPr>
                <w:sz w:val="1"/>
                <w:szCs w:val="1"/>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value per share</w:t>
            </w:r>
          </w:p>
        </w:tc>
        <w:tc>
          <w:tcPr>
            <w:tcW w:w="9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60" w:type="dxa"/>
            <w:vAlign w:val="bottom"/>
            <w:vMerge w:val="continue"/>
          </w:tcPr>
          <w:p>
            <w:pPr>
              <w:spacing w:after="0"/>
              <w:rPr>
                <w:sz w:val="19"/>
                <w:szCs w:val="19"/>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$0.0001 par</w:t>
            </w:r>
          </w:p>
        </w:tc>
        <w:tc>
          <w:tcPr>
            <w:tcW w:w="19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TECX</w:t>
            </w:r>
          </w:p>
        </w:tc>
        <w:tc>
          <w:tcPr>
            <w:tcW w:w="4440" w:type="dxa"/>
            <w:vAlign w:val="bottom"/>
            <w:gridSpan w:val="3"/>
          </w:tcPr>
          <w:p>
            <w:pPr>
              <w:jc w:val="center"/>
              <w:ind w:left="2102"/>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416" w:right="7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February 3, 2025, Tectonic Therapeutic, Inc. (the “Company”) entered into a securities purchase agreement (the “Purchase Agreement”) with certain accredited investors (the “Purchasers”). The Purchase Agreement provides that, subject to the satisfaction of customary closing conditions, the Purchasers will purchase an aggregate of 3,689,465 shares (the “Shares”) of common stock, $0.0001 par value per share (“Common Stock”), of the Company, at a price of $50.00 per Share to fund investors and $54.14 per Share to individual investors that are either an officer or director of the Company (the “Private Placement”).</w:t>
      </w:r>
    </w:p>
    <w:p>
      <w:pPr>
        <w:spacing w:after="0" w:line="1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Gross proceeds from the Private Placement are expected to be approximately $185.0 million. The Private Placement is expected to close on or about February 5, 2025, subject to the satisfaction of the closing conditions referenced above. The Company expects the net proceeds from the Private Placement to be used for the advancement of its development pipeline, working capital and other general corporate purposes.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TD Securities (USA) LLC, Leerink Partners LLC, Piper Sandler &amp; Co. and Wells Fargo Securities, LLC acted as placement agents for the Private Placement. The Company has agreed to pay the placement agents customary placement fees in their capacity as placement agents for the sale of the Shares to the Purchasers.</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form of Purchase Agreement, a form of which is filed as Exhibit 10.1 hereto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February 3, 2025, the Company entered into a registration rights agreement (the “Registration Rights Agreement”) with the Purchasers, pursuant to which the Company agreed, among other things, to prepare and file with the Securities and Exchange Commission (the “SEC”) a registration statement on Form S-1 to register for resale the Shares within 54 calendar days of the closing of the Private Placement, and to use reasonable best efforts to have the registration statement declared effective at the earliest possible date, but in any event no later than the earlier of (a) the 90th calendar day following the initial filing date or (b) the fifth business day after the date the Company is notified (orally or in writing, whichever is earlier) by the SEC that the registration statement will not be “reviewed” or will not be subject to further review. The Company also agreed to use reasonable best efforts to keep such registration statement effective until the earlier of the date the Shares covered by such registration statement have been sold or may be resold pursuant to Rule 144 without restriction. The Company has agreed to be responsible for all fees and expenses incurred in connection with the registration of the Shares.</w:t>
      </w:r>
    </w:p>
    <w:p>
      <w:pPr>
        <w:spacing w:after="0" w:line="18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granted the Purchasers customary indemnification rights in connection with the registration statement. The Purchasers have also granted the Company customary indemnification rights in connection with the registration statement.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form of Registration Rights Agreement, a form of which is filed as Exhibit 10.2 hereto and incorporated by reference herein.</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Private Placement is hereby incorporated by reference into this Item 3.02. Based in part upon the representations of the Purchasers in the Purchase Agreement, the offering and sale of the Shares will be made in reliance on the exemption afforded by Regulation D of the Securities Act of 1933, as amended (the “Securities Act”), and corresponding provisions of state securities or “blue sky” laws. The Shares have not been registered under the Securities Act or any state securities laws and may not be offered or sold in the United States absent registration with the SEC or an applicable exemption from the registration requirements. Each of the Purchasers has represented that it is an “accredited investor” as defined in Regulation D of the Securities Act, that it is purchasing the Securities solely for the Purchaser’s own account and not for the account of others, and not with a view to the resale or distribution of any part thereof in violation of the Securities Act, and that the Purchaser has no present intention of selling, granting any participation in, or otherwise distributing the Securities in violation of the Securities Act. The sale of the Securities did not involve a public offering and was made without general solicitation or general advertising.</w:t>
      </w:r>
    </w:p>
    <w:p>
      <w:pPr>
        <w:sectPr>
          <w:pgSz w:w="11900" w:h="16838" w:orient="portrait"/>
          <w:cols w:equalWidth="0" w:num="1">
            <w:col w:w="11020"/>
          </w:cols>
          <w:pgMar w:left="440" w:top="266" w:right="439" w:bottom="1440" w:gutter="0" w:footer="0" w:header="0"/>
        </w:sectPr>
      </w:pPr>
    </w:p>
    <w:bookmarkStart w:id="3" w:name="page4"/>
    <w:bookmarkEnd w:id="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this Current Report on Form 8-K nor any exhibit attached hereto is an offer to sell or the solicitation of an offer to buy shares of Common Stock or other securities of the Company.</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Form of Securities Purchase Agreement.</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Form of Registration Rights Agreement.</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without limitation statements regarding the anticipated closing and use of proceeds of the Private Placement and the filing and timing of a resale registration statement. The words “anticipate,” “believe,” “continue,” “could,” “estimate,” “expect,” “intend,” “may,” “plan,” “potential,” “predict,” “project,” “target,” “should,”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important factors, including risks relating to market conditions, the satisfaction of the customary closing conditions and other risks described under the caption “Risk Factors” in the Company’s Quarterly Report on Form 10-Q filed with the SEC on November 12, 2024, and its subsequent filings with the SEC. Any forward-looking statements contained in this Current Report on</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Form 8-K speak only as of the date hereof, and the Company expressly disclaims any obligation to update any forward-looking statements, whether because of new information, future events or otherwise.</w:t>
      </w:r>
    </w:p>
    <w:p>
      <w:pPr>
        <w:sectPr>
          <w:pgSz w:w="11900" w:h="16838" w:orient="portrait"/>
          <w:cols w:equalWidth="0" w:num="1">
            <w:col w:w="11000"/>
          </w:cols>
          <w:pgMar w:left="440" w:top="270" w:right="45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Daniel Lochner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2025</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2025-02-12T15:56:50Z</dcterms:created>
  <dcterms:modified xsi:type="dcterms:W3CDTF">2025-02-12T15:56:50Z</dcterms:modified>
</cp:coreProperties>
</file>