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AVROBIO,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05455M100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13d-1(b)</w:t>
      </w:r>
    </w:p>
    <w:p>
      <w:pPr>
        <w:spacing w:after="0" w:line="38" w:lineRule="exact"/>
        <w:rPr>
          <w:sz w:val="24"/>
          <w:szCs w:val="24"/>
          <w:color w:val="auto"/>
        </w:rPr>
      </w:pPr>
    </w:p>
    <w:p>
      <w:pPr>
        <w:jc w:val="both"/>
        <w:ind w:left="660" w:right="9340" w:hanging="4"/>
        <w:spacing w:after="0" w:line="304"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13d-1(c) </w:t>
      </w:r>
      <w:r>
        <w:rPr>
          <w:rFonts w:ascii="Arial" w:cs="Arial" w:eastAsia="Arial" w:hAnsi="Arial"/>
          <w:sz w:val="19"/>
          <w:szCs w:val="19"/>
          <w:color w:val="auto"/>
        </w:rPr>
        <w:t xml:space="preserve">o </w:t>
      </w:r>
      <w:r>
        <w:rPr>
          <w:rFonts w:ascii="Arial" w:cs="Arial" w:eastAsia="Arial" w:hAnsi="Arial"/>
          <w:sz w:val="15"/>
          <w:szCs w:val="15"/>
          <w:color w:val="auto"/>
        </w:rPr>
        <w:t>Rule 13d-1(d)</w:t>
      </w:r>
    </w:p>
    <w:p>
      <w:pPr>
        <w:spacing w:after="0" w:line="3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363855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05455M100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Deep Track Capital,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1,050,132</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1,050,132</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1,050,132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2.41%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IA, 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20" w:type="dxa"/>
            <w:vAlign w:val="bottom"/>
            <w:tcBorders>
              <w:right w:val="single" w:sz="8" w:color="808080"/>
            </w:tcBorders>
            <w:shd w:val="clear" w:color="auto" w:fill="808080"/>
          </w:tcPr>
          <w:p>
            <w:pPr>
              <w:spacing w:after="0"/>
              <w:rPr>
                <w:sz w:val="5"/>
                <w:szCs w:val="5"/>
                <w:color w:val="auto"/>
              </w:rPr>
            </w:pPr>
          </w:p>
        </w:tc>
        <w:tc>
          <w:tcPr>
            <w:tcW w:w="336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05455M100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Deep Track Biotechnology Master Fund, Ltd.</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w w:val="99"/>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1,050,132</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1,050,132</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1,050,132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2.41%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CO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20" w:type="dxa"/>
            <w:vAlign w:val="bottom"/>
            <w:tcBorders>
              <w:right w:val="single" w:sz="8" w:color="808080"/>
            </w:tcBorders>
            <w:shd w:val="clear" w:color="auto" w:fill="808080"/>
          </w:tcPr>
          <w:p>
            <w:pPr>
              <w:spacing w:after="0"/>
              <w:rPr>
                <w:sz w:val="5"/>
                <w:szCs w:val="5"/>
                <w:color w:val="auto"/>
              </w:rPr>
            </w:pPr>
          </w:p>
        </w:tc>
        <w:tc>
          <w:tcPr>
            <w:tcW w:w="336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2"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05455M100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David Kroin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1,050,132</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1,050,132</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1,050,132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2.41%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3340" w:type="dxa"/>
            <w:vAlign w:val="bottom"/>
            <w:tcBorders>
              <w:top w:val="single" w:sz="8" w:color="auto"/>
              <w:right w:val="single" w:sz="8" w:color="auto"/>
            </w:tcBorders>
          </w:tcPr>
          <w:p>
            <w:pPr>
              <w:jc w:val="center"/>
              <w:ind w:right="1270"/>
              <w:spacing w:after="0"/>
              <w:rPr>
                <w:sz w:val="20"/>
                <w:szCs w:val="20"/>
                <w:color w:val="auto"/>
              </w:rPr>
            </w:pPr>
            <w:r>
              <w:rPr>
                <w:rFonts w:ascii="Arial" w:cs="Arial" w:eastAsia="Arial" w:hAnsi="Arial"/>
                <w:sz w:val="18"/>
                <w:szCs w:val="18"/>
                <w:b w:val="1"/>
                <w:bCs w:val="1"/>
                <w:color w:val="auto"/>
                <w:w w:val="94"/>
              </w:rPr>
              <w:t>CUSIP No. 05455M100</w:t>
            </w:r>
          </w:p>
        </w:tc>
        <w:tc>
          <w:tcPr>
            <w:tcW w:w="3040" w:type="dxa"/>
            <w:vAlign w:val="bottom"/>
          </w:tcPr>
          <w:p>
            <w:pPr>
              <w:ind w:left="1500"/>
              <w:spacing w:after="0"/>
              <w:rPr>
                <w:sz w:val="20"/>
                <w:szCs w:val="20"/>
                <w:color w:val="auto"/>
              </w:rPr>
            </w:pPr>
            <w:r>
              <w:rPr>
                <w:rFonts w:ascii="Arial" w:cs="Arial" w:eastAsia="Arial" w:hAnsi="Arial"/>
                <w:sz w:val="18"/>
                <w:szCs w:val="18"/>
                <w:b w:val="1"/>
                <w:bCs w:val="1"/>
                <w:color w:val="auto"/>
                <w:w w:val="97"/>
              </w:rPr>
              <w:t>SCHEDULE 13G/A</w:t>
            </w:r>
          </w:p>
        </w:tc>
      </w:tr>
      <w:tr>
        <w:trPr>
          <w:trHeight w:val="111"/>
        </w:trPr>
        <w:tc>
          <w:tcPr>
            <w:tcW w:w="4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3040" w:type="dxa"/>
            <w:vAlign w:val="bottom"/>
          </w:tcPr>
          <w:p>
            <w:pPr>
              <w:spacing w:after="0"/>
              <w:rPr>
                <w:sz w:val="9"/>
                <w:szCs w:val="9"/>
                <w:color w:val="auto"/>
              </w:rPr>
            </w:pPr>
          </w:p>
        </w:tc>
      </w:tr>
      <w:tr>
        <w:trPr>
          <w:trHeight w:val="436"/>
        </w:trPr>
        <w:tc>
          <w:tcPr>
            <w:tcW w:w="3380" w:type="dxa"/>
            <w:vAlign w:val="bottom"/>
            <w:gridSpan w:val="2"/>
          </w:tcPr>
          <w:p>
            <w:pPr>
              <w:jc w:val="center"/>
              <w:ind w:right="1230"/>
              <w:spacing w:after="0"/>
              <w:rPr>
                <w:sz w:val="20"/>
                <w:szCs w:val="20"/>
                <w:color w:val="auto"/>
              </w:rPr>
            </w:pPr>
            <w:r>
              <w:rPr>
                <w:rFonts w:ascii="Arial" w:cs="Arial" w:eastAsia="Arial" w:hAnsi="Arial"/>
                <w:sz w:val="18"/>
                <w:szCs w:val="18"/>
                <w:b w:val="1"/>
                <w:bCs w:val="1"/>
                <w:color w:val="auto"/>
                <w:w w:val="92"/>
              </w:rPr>
              <w:t>Item 1.  (a) Name of Issuer</w:t>
            </w:r>
          </w:p>
        </w:tc>
        <w:tc>
          <w:tcPr>
            <w:tcW w:w="3040" w:type="dxa"/>
            <w:vAlign w:val="bottom"/>
          </w:tcPr>
          <w:p>
            <w:pPr>
              <w:spacing w:after="0"/>
              <w:rPr>
                <w:sz w:val="24"/>
                <w:szCs w:val="24"/>
                <w:color w:val="auto"/>
              </w:rPr>
            </w:pPr>
          </w:p>
        </w:tc>
      </w:tr>
    </w:tbl>
    <w:p>
      <w:pPr>
        <w:spacing w:after="0" w:line="9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AVROBIO, INC.</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One Kendall Square</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Building 300, Suite 201</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Cambridge, MA 02139</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Names of Persons Filing:</w:t>
      </w:r>
    </w:p>
    <w:p>
      <w:pPr>
        <w:spacing w:after="0" w:line="121" w:lineRule="exact"/>
        <w:rPr>
          <w:sz w:val="20"/>
          <w:szCs w:val="20"/>
          <w:color w:val="auto"/>
        </w:rPr>
      </w:pPr>
    </w:p>
    <w:p>
      <w:pPr>
        <w:ind w:left="1020" w:hanging="220"/>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Deep Track Capital, LP</w:t>
      </w:r>
    </w:p>
    <w:p>
      <w:pPr>
        <w:spacing w:after="0" w:line="23" w:lineRule="exact"/>
        <w:rPr>
          <w:rFonts w:ascii="Arial" w:cs="Arial" w:eastAsia="Arial" w:hAnsi="Arial"/>
          <w:sz w:val="18"/>
          <w:szCs w:val="18"/>
          <w:color w:val="auto"/>
        </w:rPr>
      </w:pPr>
    </w:p>
    <w:p>
      <w:pPr>
        <w:ind w:left="1060" w:hanging="26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Deep Track Biotechnology Master Fund, Ltd.</w:t>
      </w:r>
    </w:p>
    <w:p>
      <w:pPr>
        <w:spacing w:after="0" w:line="9" w:lineRule="exact"/>
        <w:rPr>
          <w:rFonts w:ascii="Arial" w:cs="Arial" w:eastAsia="Arial" w:hAnsi="Arial"/>
          <w:sz w:val="18"/>
          <w:szCs w:val="18"/>
          <w:color w:val="auto"/>
        </w:rPr>
      </w:pPr>
    </w:p>
    <w:p>
      <w:pPr>
        <w:ind w:left="1120" w:hanging="320"/>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David Kroin</w:t>
      </w: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 b) Address of Principal Business Office:</w:t>
      </w:r>
    </w:p>
    <w:p>
      <w:pPr>
        <w:spacing w:after="0" w:line="121" w:lineRule="exact"/>
        <w:rPr>
          <w:sz w:val="20"/>
          <w:szCs w:val="20"/>
          <w:color w:val="auto"/>
        </w:rPr>
      </w:pPr>
    </w:p>
    <w:p>
      <w:pPr>
        <w:ind w:left="1020" w:hanging="220"/>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200 Greenwich Ave, 3rd Floor, Greenwich, CT 06830</w:t>
      </w:r>
    </w:p>
    <w:p>
      <w:pPr>
        <w:spacing w:after="0" w:line="23" w:lineRule="exact"/>
        <w:rPr>
          <w:rFonts w:ascii="Arial" w:cs="Arial" w:eastAsia="Arial" w:hAnsi="Arial"/>
          <w:sz w:val="18"/>
          <w:szCs w:val="18"/>
          <w:color w:val="auto"/>
        </w:rPr>
      </w:pPr>
    </w:p>
    <w:p>
      <w:pPr>
        <w:ind w:left="1060" w:hanging="260"/>
        <w:spacing w:after="0"/>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 Walkers Corporate Limited, 190 Elgin Ave, George Town, KY1-9001, Cayman Islands</w:t>
      </w:r>
    </w:p>
    <w:p>
      <w:pPr>
        <w:spacing w:after="0" w:line="32" w:lineRule="exact"/>
        <w:rPr>
          <w:rFonts w:ascii="Arial" w:cs="Arial" w:eastAsia="Arial" w:hAnsi="Arial"/>
          <w:sz w:val="16"/>
          <w:szCs w:val="16"/>
          <w:color w:val="auto"/>
        </w:rPr>
      </w:pPr>
    </w:p>
    <w:p>
      <w:pPr>
        <w:ind w:left="1120" w:hanging="320"/>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 Deep Track Capital, LP, 200 Greenwich Ave, 3rd Floor, Greenwich, CT 06830</w:t>
      </w:r>
    </w:p>
    <w:p>
      <w:pPr>
        <w:spacing w:after="0" w:line="21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(c) Citizenship:</w:t>
      </w:r>
    </w:p>
    <w:p>
      <w:pPr>
        <w:spacing w:after="0" w:line="121" w:lineRule="exact"/>
        <w:rPr>
          <w:sz w:val="20"/>
          <w:szCs w:val="20"/>
          <w:color w:val="auto"/>
        </w:rPr>
      </w:pPr>
    </w:p>
    <w:p>
      <w:pPr>
        <w:ind w:left="1020" w:hanging="22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Delaware</w:t>
      </w:r>
    </w:p>
    <w:p>
      <w:pPr>
        <w:spacing w:after="0" w:line="23" w:lineRule="exact"/>
        <w:rPr>
          <w:rFonts w:ascii="Arial" w:cs="Arial" w:eastAsia="Arial" w:hAnsi="Arial"/>
          <w:sz w:val="18"/>
          <w:szCs w:val="18"/>
          <w:color w:val="auto"/>
        </w:rPr>
      </w:pPr>
    </w:p>
    <w:p>
      <w:pPr>
        <w:ind w:left="1060" w:hanging="26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Cayman Islands</w:t>
      </w:r>
    </w:p>
    <w:p>
      <w:pPr>
        <w:spacing w:after="0" w:line="9" w:lineRule="exact"/>
        <w:rPr>
          <w:rFonts w:ascii="Arial" w:cs="Arial" w:eastAsia="Arial" w:hAnsi="Arial"/>
          <w:sz w:val="18"/>
          <w:szCs w:val="18"/>
          <w:color w:val="auto"/>
        </w:rPr>
      </w:pPr>
    </w:p>
    <w:p>
      <w:pPr>
        <w:ind w:left="1120" w:hanging="32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$0.0001 par value per share (the “Common Stock”)</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05455M100</w:t>
      </w:r>
    </w:p>
    <w:p>
      <w:pPr>
        <w:spacing w:after="0" w:line="33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05455M100</w:t>
            </w:r>
          </w:p>
        </w:tc>
        <w:tc>
          <w:tcPr>
            <w:tcW w:w="3040" w:type="dxa"/>
            <w:vAlign w:val="bottom"/>
          </w:tcPr>
          <w:p>
            <w:pPr>
              <w:ind w:left="1500"/>
              <w:spacing w:after="0"/>
              <w:rPr>
                <w:sz w:val="20"/>
                <w:szCs w:val="20"/>
                <w:color w:val="auto"/>
              </w:rPr>
            </w:pPr>
            <w:r>
              <w:rPr>
                <w:rFonts w:ascii="Arial" w:cs="Arial" w:eastAsia="Arial" w:hAnsi="Arial"/>
                <w:sz w:val="18"/>
                <w:szCs w:val="18"/>
                <w:b w:val="1"/>
                <w:bCs w:val="1"/>
                <w:color w:val="auto"/>
                <w:w w:val="97"/>
              </w:rPr>
              <w:t>SCHEDULE 13G/A</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30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0425" cy="30416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4790440</wp:posOffset>
            </wp:positionV>
            <wp:extent cx="2130425"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6 of 9 Pages</w:t>
      </w:r>
    </w:p>
    <w:p>
      <w:pPr>
        <w:spacing w:after="0" w:line="393" w:lineRule="exact"/>
        <w:rPr>
          <w:sz w:val="20"/>
          <w:szCs w:val="20"/>
          <w:color w:val="auto"/>
        </w:rPr>
      </w:pPr>
    </w:p>
    <w:p>
      <w:pPr>
        <w:sectPr>
          <w:pgSz w:w="11900" w:h="16838" w:orient="portrait"/>
          <w:cols w:equalWidth="0" w:num="2">
            <w:col w:w="9060" w:space="720"/>
            <w:col w:w="1460"/>
          </w:cols>
          <w:pgMar w:left="320" w:top="663" w:right="339" w:bottom="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8" w:lineRule="exact"/>
        <w:rPr>
          <w:sz w:val="20"/>
          <w:szCs w:val="20"/>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7"/>
          <w:szCs w:val="17"/>
          <w:color w:val="auto"/>
        </w:rPr>
        <w:t>An investment adviser in accordance with §240.13d-1(b)(1)(ii)(E);</w:t>
      </w:r>
    </w:p>
    <w:p>
      <w:pPr>
        <w:spacing w:after="0" w:line="103"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200" w:hanging="595"/>
        <w:spacing w:after="0" w:line="237" w:lineRule="exact"/>
        <w:tabs>
          <w:tab w:leader="none" w:pos="603"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460" w:hanging="595"/>
        <w:spacing w:after="0" w:line="237" w:lineRule="exact"/>
        <w:tabs>
          <w:tab w:leader="none" w:pos="603"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05455M100</w:t>
            </w: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7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ectPr>
          <w:pgSz w:w="11900" w:h="16838" w:orient="portrait"/>
          <w:cols w:equalWidth="0" w:num="1">
            <w:col w:w="11240"/>
          </w:cols>
          <w:pgMar w:left="320" w:top="663" w:right="339" w:bottom="0" w:gutter="0" w:footer="0" w:header="0"/>
          <w:type w:val="continuous"/>
        </w:sectPr>
      </w:pPr>
    </w:p>
    <w:bookmarkStart w:id="5" w:name="page6"/>
    <w:bookmarkEnd w:id="5"/>
    <w:p>
      <w:pPr>
        <w:jc w:val="both"/>
        <w:ind w:left="800"/>
        <w:spacing w:after="0" w:line="277" w:lineRule="auto"/>
        <w:rPr>
          <w:sz w:val="20"/>
          <w:szCs w:val="20"/>
          <w:color w:val="auto"/>
        </w:rPr>
      </w:pPr>
      <w:r>
        <w:rPr>
          <w:rFonts w:ascii="Arial" w:cs="Arial" w:eastAsia="Arial" w:hAnsi="Arial"/>
          <w:sz w:val="18"/>
          <w:szCs w:val="18"/>
          <w:color w:val="auto"/>
        </w:rPr>
        <w:t>Information with respect to the Reporting Persons' ownership of the Common Stock as of December 31, 2021, is incorporated by reference to items (5) - (9) and (11) of the cover page of the respective Reporting Person.</w:t>
      </w:r>
    </w:p>
    <w:p>
      <w:pPr>
        <w:spacing w:after="0" w:line="62" w:lineRule="exact"/>
        <w:rPr>
          <w:sz w:val="20"/>
          <w:szCs w:val="20"/>
          <w:color w:val="auto"/>
        </w:rPr>
      </w:pPr>
    </w:p>
    <w:p>
      <w:pPr>
        <w:ind w:right="920" w:firstLine="792"/>
        <w:spacing w:after="0" w:line="321" w:lineRule="auto"/>
        <w:rPr>
          <w:sz w:val="20"/>
          <w:szCs w:val="20"/>
          <w:color w:val="auto"/>
        </w:rPr>
      </w:pPr>
      <w:r>
        <w:rPr>
          <w:rFonts w:ascii="Arial" w:cs="Arial" w:eastAsia="Arial" w:hAnsi="Arial"/>
          <w:sz w:val="18"/>
          <w:szCs w:val="18"/>
          <w:color w:val="auto"/>
        </w:rPr>
        <w:t xml:space="preserve">The amount beneficially owned by each Reporting Person is determined based on 43,652,470 shares of Common Stock outstanding. </w:t>
      </w:r>
      <w:r>
        <w:rPr>
          <w:rFonts w:ascii="Arial" w:cs="Arial" w:eastAsia="Arial" w:hAnsi="Arial"/>
          <w:sz w:val="18"/>
          <w:szCs w:val="18"/>
          <w:b w:val="1"/>
          <w:bCs w:val="1"/>
          <w:color w:val="auto"/>
        </w:rPr>
        <w:t>Item 5. Ownership of Five Percent or Less of a Class</w:t>
      </w:r>
    </w:p>
    <w:p>
      <w:pPr>
        <w:spacing w:after="0" w:line="1" w:lineRule="exact"/>
        <w:rPr>
          <w:sz w:val="20"/>
          <w:szCs w:val="20"/>
          <w:color w:val="auto"/>
        </w:rPr>
      </w:pPr>
    </w:p>
    <w:p>
      <w:pPr>
        <w:ind w:left="400" w:firstLine="396"/>
        <w:spacing w:after="0" w:line="260"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ind w:left="1300" w:hanging="1295"/>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Deep Track Capital, LP is the relevant entity for which David Kroin may be considered a control person.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jc w:val="both"/>
        <w:ind w:left="80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5"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05455M100</w:t>
            </w:r>
          </w:p>
        </w:tc>
        <w:tc>
          <w:tcPr>
            <w:tcW w:w="4520" w:type="dxa"/>
            <w:vAlign w:val="bottom"/>
            <w:tcBorders>
              <w:right w:val="single" w:sz="8" w:color="auto"/>
            </w:tcBorders>
          </w:tcPr>
          <w:p>
            <w:pPr>
              <w:ind w:left="152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Deep Track Capital, LP</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Investment Adviser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Deep Track Biotechnology Master Fund, Ltd.</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Kroin, Director</w:t>
      </w: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David Kroin</w:t>
      </w:r>
    </w:p>
    <w:p>
      <w:pPr>
        <w:spacing w:after="0" w:line="229"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82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Kroin</w:t>
      </w:r>
    </w:p>
    <w:p>
      <w:pPr>
        <w:sectPr>
          <w:pgSz w:w="11900" w:h="16838" w:orient="portrait"/>
          <w:cols w:equalWidth="0" w:num="1">
            <w:col w:w="11240"/>
          </w:cols>
          <w:pgMar w:left="320" w:top="730"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05455M100</w:t>
            </w:r>
          </w:p>
        </w:tc>
        <w:tc>
          <w:tcPr>
            <w:tcW w:w="4520" w:type="dxa"/>
            <w:vAlign w:val="bottom"/>
            <w:tcBorders>
              <w:right w:val="single" w:sz="8" w:color="auto"/>
            </w:tcBorders>
          </w:tcPr>
          <w:p>
            <w:pPr>
              <w:ind w:left="152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13d-1(k)</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Deep Track Capital, LP</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Investment Adviser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Deep Track Biotechnology Master Fund, Ltd.</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Kroin, Director</w:t>
      </w: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David Kroin</w:t>
      </w:r>
    </w:p>
    <w:p>
      <w:pPr>
        <w:spacing w:after="0" w:line="229"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829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Kroin</w:t>
      </w:r>
    </w:p>
    <w:sectPr>
      <w:pgSz w:w="11900" w:h="16838" w:orient="portrait"/>
      <w:cols w:equalWidth="0" w:num="1">
        <w:col w:w="11240"/>
      </w:cols>
      <w:pgMar w:left="320" w:top="7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2022-02-14T08:04:55Z</dcterms:created>
  <dcterms:modified xsi:type="dcterms:W3CDTF">2022-02-14T08:04:55Z</dcterms:modified>
</cp:coreProperties>
</file>