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8"/>
        </w:rPr>
      </w:pPr>
      <w:r>
        <w:rPr>
          <w:rFonts w:ascii="Times New Roman" w:hAnsi="Times New Roman"/>
          <w:b/>
          <w:sz w:val="28"/>
        </w:rPr>
        <w:t>UNITED STATES</w:t>
      </w:r>
    </w:p>
    <w:p>
      <w:pPr>
        <w:pStyle w:val="TextBody"/>
        <w:bidi w:val="0"/>
        <w:spacing w:before="0" w:after="0"/>
        <w:jc w:val="center"/>
        <w:rPr>
          <w:rFonts w:ascii="Times New Roman" w:hAnsi="Times New Roman"/>
          <w:b/>
          <w:sz w:val="28"/>
        </w:rPr>
      </w:pPr>
      <w:r>
        <w:rPr>
          <w:rFonts w:ascii="Times New Roman" w:hAnsi="Times New Roman"/>
          <w:b/>
          <w:sz w:val="28"/>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b/>
          <w:sz w:val="36"/>
        </w:rPr>
      </w:pPr>
      <w:r>
        <w:rPr>
          <w:rFonts w:ascii="Times New Roman" w:hAnsi="Times New Roman"/>
          <w:b/>
          <w:sz w:val="36"/>
        </w:rPr>
        <w:t>FORM 8-K</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sz w:val="20"/>
        </w:rPr>
      </w:pPr>
      <w:r>
        <w:rPr>
          <w:rFonts w:ascii="Times New Roman" w:hAnsi="Times New Roman"/>
          <w:b/>
          <w:sz w:val="20"/>
        </w:rPr>
        <w:t>CURRENT REPORT</w:t>
      </w:r>
    </w:p>
    <w:p>
      <w:pPr>
        <w:pStyle w:val="TextBody"/>
        <w:bidi w:val="0"/>
        <w:spacing w:before="0" w:after="0"/>
        <w:jc w:val="center"/>
        <w:rPr>
          <w:rFonts w:ascii="Times New Roman" w:hAnsi="Times New Roman"/>
          <w:b/>
          <w:sz w:val="20"/>
        </w:rPr>
      </w:pPr>
      <w:r>
        <w:rPr>
          <w:rFonts w:ascii="Times New Roman" w:hAnsi="Times New Roman"/>
          <w:b/>
          <w:sz w:val="20"/>
        </w:rPr>
        <w:t>Pursuant to Section 13 or 15(d)</w:t>
      </w:r>
    </w:p>
    <w:p>
      <w:pPr>
        <w:pStyle w:val="TextBody"/>
        <w:bidi w:val="0"/>
        <w:spacing w:before="0" w:after="0"/>
        <w:jc w:val="center"/>
        <w:rPr>
          <w:rFonts w:ascii="Times New Roman" w:hAnsi="Times New Roman"/>
          <w:b/>
          <w:sz w:val="20"/>
        </w:rPr>
      </w:pPr>
      <w:r>
        <w:rPr>
          <w:rFonts w:ascii="Times New Roman" w:hAnsi="Times New Roman"/>
          <w:b/>
          <w:sz w:val="20"/>
        </w:rPr>
        <w:t>of the Securities Exchange Act of 1934</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Date of Report (Date of earliest event reported): June 9, 2023</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b/>
          <w:sz w:val="48"/>
        </w:rPr>
      </w:pPr>
      <w:r>
        <w:rPr>
          <w:rFonts w:ascii="Times New Roman" w:hAnsi="Times New Roman"/>
          <w:b/>
          <w:sz w:val="48"/>
        </w:rPr>
        <w:t>AVROBIO,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r>
    </w:p>
    <w:tbl>
      <w:tblPr>
        <w:tblW w:w="9090" w:type="dxa"/>
        <w:jc w:val="left"/>
        <w:tblInd w:w="0" w:type="dxa"/>
        <w:tblLayout w:type="fixed"/>
        <w:tblCellMar>
          <w:top w:w="0" w:type="dxa"/>
          <w:left w:w="0" w:type="dxa"/>
          <w:bottom w:w="0" w:type="dxa"/>
          <w:right w:w="0" w:type="dxa"/>
        </w:tblCellMar>
      </w:tblPr>
      <w:tblGrid>
        <w:gridCol w:w="3770"/>
        <w:gridCol w:w="2300"/>
        <w:gridCol w:w="3020"/>
      </w:tblGrid>
      <w:tr>
        <w:trPr/>
        <w:tc>
          <w:tcPr>
            <w:tcW w:w="37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001-38537</w:t>
            </w:r>
          </w:p>
        </w:tc>
        <w:tc>
          <w:tcPr>
            <w:tcW w:w="30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81-0710585</w:t>
            </w:r>
          </w:p>
        </w:tc>
      </w:tr>
      <w:tr>
        <w:trPr/>
        <w:tc>
          <w:tcPr>
            <w:tcW w:w="37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30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sz w:val="20"/>
        </w:rPr>
      </w:pPr>
      <w:r>
        <w:rPr>
          <w:rFonts w:ascii="Times New Roman" w:hAnsi="Times New Roman"/>
          <w:b/>
          <w:sz w:val="20"/>
        </w:rPr>
        <w:t>100 Technology Square</w:t>
      </w:r>
    </w:p>
    <w:p>
      <w:pPr>
        <w:pStyle w:val="TextBody"/>
        <w:bidi w:val="0"/>
        <w:spacing w:before="0" w:after="0"/>
        <w:jc w:val="center"/>
        <w:rPr>
          <w:rFonts w:ascii="Times New Roman" w:hAnsi="Times New Roman"/>
          <w:b/>
          <w:sz w:val="20"/>
        </w:rPr>
      </w:pPr>
      <w:r>
        <w:rPr>
          <w:rFonts w:ascii="Times New Roman" w:hAnsi="Times New Roman"/>
          <w:b/>
          <w:sz w:val="20"/>
        </w:rPr>
        <w:t>Sixth Floor</w:t>
      </w:r>
    </w:p>
    <w:p>
      <w:pPr>
        <w:pStyle w:val="TextBody"/>
        <w:bidi w:val="0"/>
        <w:spacing w:before="0" w:after="0"/>
        <w:jc w:val="center"/>
        <w:rPr>
          <w:rFonts w:ascii="Times New Roman" w:hAnsi="Times New Roman"/>
          <w:b/>
          <w:sz w:val="20"/>
        </w:rPr>
      </w:pPr>
      <w:r>
        <w:rPr>
          <w:rFonts w:ascii="Times New Roman" w:hAnsi="Times New Roman"/>
          <w:b/>
          <w:sz w:val="20"/>
        </w:rPr>
        <w:t>Cambridge, MA 02139</w:t>
      </w:r>
    </w:p>
    <w:p>
      <w:pPr>
        <w:pStyle w:val="TextBody"/>
        <w:bidi w:val="0"/>
        <w:spacing w:before="0" w:after="0"/>
        <w:jc w:val="center"/>
        <w:rPr>
          <w:rFonts w:ascii="Times New Roman" w:hAnsi="Times New Roman"/>
          <w:b/>
          <w:sz w:val="20"/>
        </w:rPr>
      </w:pPr>
      <w:r>
        <w:rPr>
          <w:rFonts w:ascii="Times New Roman" w:hAnsi="Times New Roman"/>
          <w:b/>
          <w:sz w:val="20"/>
        </w:rPr>
        <w:t>(Address of principal executive offices, including zip code)</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(617) 914-8420</w:t>
      </w:r>
    </w:p>
    <w:p>
      <w:pPr>
        <w:pStyle w:val="TextBody"/>
        <w:bidi w:val="0"/>
        <w:spacing w:before="0" w:after="0"/>
        <w:jc w:val="center"/>
        <w:rPr>
          <w:rFonts w:ascii="Times New Roman" w:hAnsi="Times New Roman"/>
          <w:b/>
          <w:sz w:val="20"/>
        </w:rPr>
      </w:pPr>
      <w:r>
        <w:rPr>
          <w:rFonts w:ascii="Times New Roman" w:hAnsi="Times New Roman"/>
          <w:b/>
          <w:sz w:val="20"/>
        </w:rPr>
        <w:t>(Registrant’s telephone number, including area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20"/>
        </w:rPr>
      </w:pPr>
      <w:r>
        <w:rPr>
          <w:rFonts w:ascii="Times New Roman" w:hAnsi="Times New Roman"/>
          <w:b/>
          <w:sz w:val="20"/>
        </w:rPr>
        <w:t>(Former Name or Former Address, if Changed Since Last Report)</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7215" w:type="dxa"/>
        <w:jc w:val="left"/>
        <w:tblInd w:w="0" w:type="dxa"/>
        <w:tblLayout w:type="fixed"/>
        <w:tblCellMar>
          <w:top w:w="0" w:type="dxa"/>
          <w:left w:w="0" w:type="dxa"/>
          <w:bottom w:w="28" w:type="dxa"/>
          <w:right w:w="0" w:type="dxa"/>
        </w:tblCellMar>
      </w:tblPr>
      <w:tblGrid>
        <w:gridCol w:w="3770"/>
        <w:gridCol w:w="60"/>
        <w:gridCol w:w="830"/>
        <w:gridCol w:w="60"/>
        <w:gridCol w:w="2495"/>
      </w:tblGrid>
      <w:tr>
        <w:trPr/>
        <w:tc>
          <w:tcPr>
            <w:tcW w:w="377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283"/>
              <w:jc w:val="left"/>
              <w:rPr/>
            </w:pPr>
            <w:r>
              <w:rPr/>
              <w:t> </w:t>
            </w:r>
          </w:p>
        </w:tc>
        <w:tc>
          <w:tcPr>
            <w:tcW w:w="24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77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AVRO</w:t>
            </w:r>
          </w:p>
        </w:tc>
        <w:tc>
          <w:tcPr>
            <w:tcW w:w="60" w:type="dxa"/>
            <w:tcBorders/>
            <w:tcMar>
              <w:bottom w:w="0" w:type="dxa"/>
            </w:tcMar>
            <w:vAlign w:val="center"/>
          </w:tcPr>
          <w:p>
            <w:pPr>
              <w:pStyle w:val="TableContents"/>
              <w:bidi w:val="0"/>
              <w:spacing w:before="0" w:after="283"/>
              <w:jc w:val="left"/>
              <w:rPr/>
            </w:pPr>
            <w:r>
              <w:rPr/>
              <w:t> </w:t>
            </w:r>
          </w:p>
        </w:tc>
        <w:tc>
          <w:tcPr>
            <w:tcW w:w="2495"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Nasdaq Global Select Market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Emerging growth company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5.02</w:t>
            </w:r>
          </w:p>
        </w:tc>
        <w:tc>
          <w:tcPr>
            <w:tcW w:w="94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t>On June 6, 2023, in connection with the previously announced agreement providing for the sale of the cystinosis gene therapy program of AVROBIO, Inc. (the “</w:t>
      </w:r>
      <w:r>
        <w:rPr>
          <w:rFonts w:ascii="Times New Roman" w:hAnsi="Times New Roman"/>
          <w:sz w:val="20"/>
          <w:u w:val="single"/>
        </w:rPr>
        <w:t>Company</w:t>
      </w:r>
      <w:r>
        <w:rPr>
          <w:rFonts w:ascii="Times New Roman" w:hAnsi="Times New Roman"/>
          <w:sz w:val="20"/>
        </w:rPr>
        <w:t>”) and the other transactions contemplated thereunder (such transactions, the “</w:t>
      </w:r>
      <w:r>
        <w:rPr>
          <w:rFonts w:ascii="Times New Roman" w:hAnsi="Times New Roman"/>
          <w:sz w:val="20"/>
          <w:u w:val="single"/>
        </w:rPr>
        <w:t>Asset Sale</w:t>
      </w:r>
      <w:r>
        <w:rPr>
          <w:rFonts w:ascii="Times New Roman" w:hAnsi="Times New Roman"/>
          <w:sz w:val="20"/>
        </w:rPr>
        <w:t>”), the Compensation Committee of the Board of Directors of the Company approved transaction bonuses, conditioned upon the closing of the Asset Sale, of $150,000 for Erik Ostrowski, the Company’s President, Interim Chief Executive Officer, Chief Financial Officer and Treasurer, and $100,000 for Azadeh Golipour, the Company’s Chief Technology Officer, (the “</w:t>
      </w:r>
      <w:r>
        <w:rPr>
          <w:rFonts w:ascii="Times New Roman" w:hAnsi="Times New Roman"/>
          <w:sz w:val="20"/>
          <w:u w:val="single"/>
        </w:rPr>
        <w:t>Transaction Bonuses</w:t>
      </w:r>
      <w:r>
        <w:rPr>
          <w:rFonts w:ascii="Times New Roman" w:hAnsi="Times New Roman"/>
          <w:sz w:val="20"/>
        </w:rPr>
        <w:t>”). The Transaction Bonuses will be payable in three equal installments within 90 days following the closing of the Asset Sale. In certain circumstances, should Mr. Ostrowski or Dr. Golipour resign or be terminated prior to any of their installment payment dates, any such unpaid installments following such date shall be forfeited and not paid.</w:t>
      </w:r>
    </w:p>
    <w:p>
      <w:pPr>
        <w:pStyle w:val="TextBody"/>
        <w:bidi w:val="0"/>
        <w:spacing w:before="0" w:after="0"/>
        <w:jc w:val="left"/>
        <w:rPr>
          <w:rFonts w:ascii="Times New Roman" w:hAnsi="Times New Roman"/>
          <w:sz w:val="20"/>
        </w:rPr>
      </w:pPr>
      <w:r>
        <w:rPr>
          <w:rFonts w:ascii="Times New Roman" w:hAnsi="Times New Roman"/>
          <w:sz w:val="20"/>
        </w:rPr>
      </w:r>
    </w:p>
    <w:tbl>
      <w:tblPr>
        <w:tblW w:w="5260" w:type="dxa"/>
        <w:jc w:val="left"/>
        <w:tblInd w:w="0" w:type="dxa"/>
        <w:tblLayout w:type="fixed"/>
        <w:tblCellMar>
          <w:top w:w="0" w:type="dxa"/>
          <w:left w:w="0" w:type="dxa"/>
          <w:bottom w:w="0" w:type="dxa"/>
          <w:right w:w="0" w:type="dxa"/>
        </w:tblCellMar>
      </w:tblPr>
      <w:tblGrid>
        <w:gridCol w:w="830"/>
        <w:gridCol w:w="443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5.07</w:t>
            </w:r>
          </w:p>
        </w:tc>
        <w:tc>
          <w:tcPr>
            <w:tcW w:w="44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Submission of Matters to a Vote of Security Holders.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t>On June 6, 2023, the Company held its previously announced 2023 Annual Meeting of Stockholders (the “</w:t>
      </w:r>
      <w:r>
        <w:rPr>
          <w:rFonts w:ascii="Times New Roman" w:hAnsi="Times New Roman"/>
          <w:sz w:val="20"/>
          <w:u w:val="single"/>
        </w:rPr>
        <w:t>Meeting</w:t>
      </w:r>
      <w:r>
        <w:rPr>
          <w:rFonts w:ascii="Times New Roman" w:hAnsi="Times New Roman"/>
          <w:sz w:val="20"/>
        </w:rPr>
        <w:t>”), at which a quorum was present. The proposals voted on at the Meeting and the final voting results for each proposal are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pPr>
            <w:r>
              <w:rPr/>
            </w:r>
          </w:p>
        </w:tc>
        <w:tc>
          <w:tcPr>
            <w:tcW w:w="15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10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Company’s stockholders elected the two director nominees listed below to serve as Class II directors until the Company’s 2026 annual meeting of stockholders, with the votes cast as follows: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055" w:type="dxa"/>
        <w:jc w:val="left"/>
        <w:tblInd w:w="0" w:type="dxa"/>
        <w:tblLayout w:type="fixed"/>
        <w:tblCellMar>
          <w:top w:w="0" w:type="dxa"/>
          <w:left w:w="0" w:type="dxa"/>
          <w:bottom w:w="0" w:type="dxa"/>
          <w:right w:w="0" w:type="dxa"/>
        </w:tblCellMar>
      </w:tblPr>
      <w:tblGrid>
        <w:gridCol w:w="75"/>
        <w:gridCol w:w="2975"/>
        <w:gridCol w:w="60"/>
        <w:gridCol w:w="950"/>
        <w:gridCol w:w="60"/>
        <w:gridCol w:w="1310"/>
        <w:gridCol w:w="60"/>
        <w:gridCol w:w="1565"/>
      </w:tblGrid>
      <w:tr>
        <w:trPr/>
        <w:tc>
          <w:tcPr>
            <w:tcW w:w="75" w:type="dxa"/>
            <w:tcBorders/>
            <w:vAlign w:val="center"/>
          </w:tcPr>
          <w:p>
            <w:pPr>
              <w:pStyle w:val="TableContents"/>
              <w:bidi w:val="0"/>
              <w:spacing w:before="0" w:after="283"/>
              <w:jc w:val="left"/>
              <w:rPr/>
            </w:pPr>
            <w:r>
              <w:rPr/>
              <w:t> </w:t>
            </w:r>
          </w:p>
        </w:tc>
        <w:tc>
          <w:tcPr>
            <w:tcW w:w="297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 Nominee</w:t>
            </w:r>
          </w:p>
        </w:tc>
        <w:tc>
          <w:tcPr>
            <w:tcW w:w="60" w:type="dxa"/>
            <w:tcBorders/>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Votes For</w:t>
            </w:r>
          </w:p>
        </w:tc>
        <w:tc>
          <w:tcPr>
            <w:tcW w:w="60" w:type="dxa"/>
            <w:tcBorders/>
            <w:vAlign w:val="center"/>
          </w:tcPr>
          <w:p>
            <w:pPr>
              <w:pStyle w:val="TableContents"/>
              <w:bidi w:val="0"/>
              <w:spacing w:before="0" w:after="283"/>
              <w:jc w:val="left"/>
              <w:rPr/>
            </w:pPr>
            <w:r>
              <w:rPr/>
              <w:t> </w:t>
            </w:r>
          </w:p>
        </w:tc>
        <w:tc>
          <w:tcPr>
            <w:tcW w:w="131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Votes Withheld</w:t>
            </w:r>
          </w:p>
        </w:tc>
        <w:tc>
          <w:tcPr>
            <w:tcW w:w="60" w:type="dxa"/>
            <w:tcBorders/>
            <w:vAlign w:val="center"/>
          </w:tcPr>
          <w:p>
            <w:pPr>
              <w:pStyle w:val="TableContents"/>
              <w:bidi w:val="0"/>
              <w:spacing w:before="0" w:after="283"/>
              <w:jc w:val="left"/>
              <w:rPr/>
            </w:pPr>
            <w:r>
              <w:rPr/>
              <w:t> </w:t>
            </w:r>
          </w:p>
        </w:tc>
        <w:tc>
          <w:tcPr>
            <w:tcW w:w="156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Broker Non-Votes</w:t>
            </w:r>
          </w:p>
        </w:tc>
      </w:tr>
      <w:tr>
        <w:trPr/>
        <w:tc>
          <w:tcPr>
            <w:tcW w:w="75" w:type="dxa"/>
            <w:tcBorders/>
            <w:shd w:fill="CDE6FF" w:val="clear"/>
            <w:vAlign w:val="center"/>
          </w:tcPr>
          <w:p>
            <w:pPr>
              <w:pStyle w:val="TableContents"/>
              <w:bidi w:val="0"/>
              <w:spacing w:before="0" w:after="283"/>
              <w:jc w:val="left"/>
              <w:rPr/>
            </w:pPr>
            <w:r>
              <w:rPr/>
              <w:t> </w:t>
            </w:r>
          </w:p>
        </w:tc>
        <w:tc>
          <w:tcPr>
            <w:tcW w:w="2975" w:type="dxa"/>
            <w:tcBorders/>
            <w:shd w:fill="CDE6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Ian Clark</w:t>
            </w:r>
          </w:p>
        </w:tc>
        <w:tc>
          <w:tcPr>
            <w:tcW w:w="60" w:type="dxa"/>
            <w:tcBorders/>
            <w:shd w:fill="CDE6FF" w:val="clear"/>
            <w:vAlign w:val="center"/>
          </w:tcPr>
          <w:p>
            <w:pPr>
              <w:pStyle w:val="TableContents"/>
              <w:bidi w:val="0"/>
              <w:spacing w:before="0" w:after="283"/>
              <w:jc w:val="left"/>
              <w:rPr/>
            </w:pPr>
            <w:r>
              <w:rPr/>
              <w:t> </w:t>
            </w:r>
          </w:p>
        </w:tc>
        <w:tc>
          <w:tcPr>
            <w:tcW w:w="950" w:type="dxa"/>
            <w:tcBorders/>
            <w:shd w:fill="CDE6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20,810,217</w:t>
            </w:r>
          </w:p>
        </w:tc>
        <w:tc>
          <w:tcPr>
            <w:tcW w:w="60" w:type="dxa"/>
            <w:tcBorders/>
            <w:shd w:fill="CDE6FF" w:val="clear"/>
            <w:vAlign w:val="center"/>
          </w:tcPr>
          <w:p>
            <w:pPr>
              <w:pStyle w:val="TableContents"/>
              <w:bidi w:val="0"/>
              <w:spacing w:before="0" w:after="283"/>
              <w:jc w:val="left"/>
              <w:rPr/>
            </w:pPr>
            <w:r>
              <w:rPr/>
              <w:t> </w:t>
            </w:r>
          </w:p>
        </w:tc>
        <w:tc>
          <w:tcPr>
            <w:tcW w:w="1310" w:type="dxa"/>
            <w:tcBorders/>
            <w:shd w:fill="CDE6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5,332,015</w:t>
            </w:r>
          </w:p>
        </w:tc>
        <w:tc>
          <w:tcPr>
            <w:tcW w:w="60" w:type="dxa"/>
            <w:tcBorders/>
            <w:shd w:fill="CDE6FF" w:val="clear"/>
            <w:vAlign w:val="center"/>
          </w:tcPr>
          <w:p>
            <w:pPr>
              <w:pStyle w:val="TableContents"/>
              <w:bidi w:val="0"/>
              <w:spacing w:before="0" w:after="283"/>
              <w:jc w:val="left"/>
              <w:rPr/>
            </w:pPr>
            <w:r>
              <w:rPr/>
              <w:t> </w:t>
            </w:r>
          </w:p>
        </w:tc>
        <w:tc>
          <w:tcPr>
            <w:tcW w:w="1565" w:type="dxa"/>
            <w:tcBorders/>
            <w:shd w:fill="CDE6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8,660,564</w:t>
            </w:r>
          </w:p>
        </w:tc>
      </w:tr>
      <w:tr>
        <w:trPr/>
        <w:tc>
          <w:tcPr>
            <w:tcW w:w="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Annalisa Jenkins, M.B.B.S., F.R.C.P.</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16,685,601</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9,456,631</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8,660,564</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pPr>
            <w:r>
              <w:rPr/>
            </w:r>
          </w:p>
        </w:tc>
        <w:tc>
          <w:tcPr>
            <w:tcW w:w="14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Company’s stockholders ratified the appointment of Ernst &amp; Young LLP as the Company’s independent registered public accounting firm for the fiscal year ending December 31, 2023, with the votes cast as follows: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940" w:type="dxa"/>
        <w:jc w:val="left"/>
        <w:tblInd w:w="0" w:type="dxa"/>
        <w:tblLayout w:type="fixed"/>
        <w:tblCellMar>
          <w:top w:w="0" w:type="dxa"/>
          <w:left w:w="0" w:type="dxa"/>
          <w:bottom w:w="0" w:type="dxa"/>
          <w:right w:w="0" w:type="dxa"/>
        </w:tblCellMar>
      </w:tblPr>
      <w:tblGrid>
        <w:gridCol w:w="75"/>
        <w:gridCol w:w="950"/>
        <w:gridCol w:w="60"/>
        <w:gridCol w:w="1175"/>
        <w:gridCol w:w="60"/>
        <w:gridCol w:w="995"/>
        <w:gridCol w:w="60"/>
        <w:gridCol w:w="1565"/>
      </w:tblGrid>
      <w:tr>
        <w:trPr/>
        <w:tc>
          <w:tcPr>
            <w:tcW w:w="75" w:type="dxa"/>
            <w:tcBorders/>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Votes For</w:t>
            </w:r>
          </w:p>
        </w:tc>
        <w:tc>
          <w:tcPr>
            <w:tcW w:w="60" w:type="dxa"/>
            <w:tcBorders/>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Votes Against</w:t>
            </w:r>
          </w:p>
        </w:tc>
        <w:tc>
          <w:tcPr>
            <w:tcW w:w="60" w:type="dxa"/>
            <w:tcBorders/>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Abstentions</w:t>
            </w:r>
          </w:p>
        </w:tc>
        <w:tc>
          <w:tcPr>
            <w:tcW w:w="60" w:type="dxa"/>
            <w:tcBorders/>
            <w:vAlign w:val="center"/>
          </w:tcPr>
          <w:p>
            <w:pPr>
              <w:pStyle w:val="TableContents"/>
              <w:bidi w:val="0"/>
              <w:spacing w:before="0" w:after="283"/>
              <w:jc w:val="left"/>
              <w:rPr/>
            </w:pPr>
            <w:r>
              <w:rPr/>
              <w:t> </w:t>
            </w:r>
          </w:p>
        </w:tc>
        <w:tc>
          <w:tcPr>
            <w:tcW w:w="156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Broker Non-Votes</w:t>
            </w:r>
          </w:p>
        </w:tc>
      </w:tr>
      <w:tr>
        <w:trPr/>
        <w:tc>
          <w:tcPr>
            <w:tcW w:w="75" w:type="dxa"/>
            <w:tcBorders/>
            <w:shd w:fill="CDE6FF" w:val="clear"/>
            <w:vAlign w:val="center"/>
          </w:tcPr>
          <w:p>
            <w:pPr>
              <w:pStyle w:val="TableContents"/>
              <w:bidi w:val="0"/>
              <w:spacing w:before="0" w:after="283"/>
              <w:jc w:val="left"/>
              <w:rPr/>
            </w:pPr>
            <w:r>
              <w:rPr/>
              <w:t> </w:t>
            </w:r>
          </w:p>
        </w:tc>
        <w:tc>
          <w:tcPr>
            <w:tcW w:w="950" w:type="dxa"/>
            <w:tcBorders/>
            <w:shd w:fill="CDE6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34,092,579</w:t>
            </w:r>
          </w:p>
        </w:tc>
        <w:tc>
          <w:tcPr>
            <w:tcW w:w="60" w:type="dxa"/>
            <w:tcBorders/>
            <w:shd w:fill="CDE6FF" w:val="clear"/>
            <w:vAlign w:val="center"/>
          </w:tcPr>
          <w:p>
            <w:pPr>
              <w:pStyle w:val="TableContents"/>
              <w:bidi w:val="0"/>
              <w:spacing w:before="0" w:after="283"/>
              <w:jc w:val="left"/>
              <w:rPr/>
            </w:pPr>
            <w:r>
              <w:rPr/>
              <w:t> </w:t>
            </w:r>
          </w:p>
        </w:tc>
        <w:tc>
          <w:tcPr>
            <w:tcW w:w="1175" w:type="dxa"/>
            <w:tcBorders/>
            <w:shd w:fill="CDE6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33,201</w:t>
            </w:r>
          </w:p>
        </w:tc>
        <w:tc>
          <w:tcPr>
            <w:tcW w:w="60" w:type="dxa"/>
            <w:tcBorders/>
            <w:shd w:fill="CDE6FF" w:val="clear"/>
            <w:vAlign w:val="center"/>
          </w:tcPr>
          <w:p>
            <w:pPr>
              <w:pStyle w:val="TableContents"/>
              <w:bidi w:val="0"/>
              <w:spacing w:before="0" w:after="283"/>
              <w:jc w:val="left"/>
              <w:rPr/>
            </w:pPr>
            <w:r>
              <w:rPr/>
              <w:t> </w:t>
            </w:r>
          </w:p>
        </w:tc>
        <w:tc>
          <w:tcPr>
            <w:tcW w:w="995" w:type="dxa"/>
            <w:tcBorders/>
            <w:shd w:fill="CDE6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677,016</w:t>
            </w:r>
          </w:p>
        </w:tc>
        <w:tc>
          <w:tcPr>
            <w:tcW w:w="60" w:type="dxa"/>
            <w:tcBorders/>
            <w:shd w:fill="CDE6FF" w:val="clear"/>
            <w:vAlign w:val="center"/>
          </w:tcPr>
          <w:p>
            <w:pPr>
              <w:pStyle w:val="TableContents"/>
              <w:bidi w:val="0"/>
              <w:spacing w:before="0" w:after="283"/>
              <w:jc w:val="left"/>
              <w:rPr/>
            </w:pPr>
            <w:r>
              <w:rPr/>
              <w:t> </w:t>
            </w:r>
          </w:p>
        </w:tc>
        <w:tc>
          <w:tcPr>
            <w:tcW w:w="1565" w:type="dxa"/>
            <w:tcBorders/>
            <w:shd w:fill="CDE6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8355" w:type="dxa"/>
        <w:jc w:val="left"/>
        <w:tblInd w:w="0" w:type="dxa"/>
        <w:tblLayout w:type="fixed"/>
        <w:tblCellMar>
          <w:top w:w="0" w:type="dxa"/>
          <w:left w:w="0" w:type="dxa"/>
          <w:bottom w:w="0" w:type="dxa"/>
          <w:right w:w="0" w:type="dxa"/>
        </w:tblCellMar>
      </w:tblPr>
      <w:tblGrid>
        <w:gridCol w:w="1535"/>
        <w:gridCol w:w="320"/>
        <w:gridCol w:w="6500"/>
      </w:tblGrid>
      <w:tr>
        <w:trPr/>
        <w:tc>
          <w:tcPr>
            <w:tcW w:w="1535" w:type="dxa"/>
            <w:tcBorders/>
            <w:vAlign w:val="center"/>
          </w:tcPr>
          <w:p>
            <w:pPr>
              <w:pStyle w:val="TableContents"/>
              <w:bidi w:val="0"/>
              <w:spacing w:before="0" w:after="283"/>
              <w:jc w:val="left"/>
              <w:rPr/>
            </w:pPr>
            <w:r>
              <w:rPr/>
              <w:t> </w:t>
            </w:r>
          </w:p>
        </w:tc>
        <w:tc>
          <w:tcPr>
            <w:tcW w:w="6820"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AVROBIO, INC.</w:t>
            </w:r>
          </w:p>
        </w:tc>
      </w:tr>
      <w:tr>
        <w:trPr/>
        <w:tc>
          <w:tcPr>
            <w:tcW w:w="1535" w:type="dxa"/>
            <w:tcBorders/>
            <w:vAlign w:val="center"/>
          </w:tcPr>
          <w:p>
            <w:pPr>
              <w:pStyle w:val="TableContents"/>
              <w:bidi w:val="0"/>
              <w:spacing w:before="0" w:after="283"/>
              <w:jc w:val="left"/>
              <w:rPr/>
            </w:pPr>
            <w:r>
              <w:rPr/>
              <w:t> </w:t>
            </w:r>
          </w:p>
        </w:tc>
        <w:tc>
          <w:tcPr>
            <w:tcW w:w="6820" w:type="dxa"/>
            <w:gridSpan w:val="2"/>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June 9, 2023</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650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Erik Ostrowski</w:t>
            </w:r>
          </w:p>
        </w:tc>
      </w:tr>
      <w:tr>
        <w:trPr/>
        <w:tc>
          <w:tcPr>
            <w:tcW w:w="153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65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Erik Ostrowski</w:t>
            </w:r>
          </w:p>
        </w:tc>
      </w:tr>
      <w:tr>
        <w:trPr/>
        <w:tc>
          <w:tcPr>
            <w:tcW w:w="153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65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President, Interim Chief Executive Officer, Chief Financial Officer and Treasurer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669</Words>
  <Characters>3775</Characters>
  <CharactersWithSpaces>4397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