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490 Arsenal 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210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(339) 666-3320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TECX</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November 7, 2024, Tectonic Therapeutic, Inc. announced its financial results for the three and nine months ended September 30, 2024 and provided a general business update. The full text of the press release is furnished as Exhibit 99.1 to this Current Report on Form 8-K.</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furnished to comply with Item 2.02 of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Tectonic Therapeutic, Inc. dated 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wp:posOffset>
            </wp:positionV>
            <wp:extent cx="31330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33090" cy="8255"/>
                    </a:xfrm>
                    <a:prstGeom prst="rect">
                      <a:avLst/>
                    </a:prstGeom>
                    <a:noFill/>
                  </pic:spPr>
                </pic:pic>
              </a:graphicData>
            </a:graphic>
          </wp:anchor>
        </w:drawing>
      </w:r>
    </w:p>
    <w:p>
      <w:pPr>
        <w:spacing w:after="0" w:line="57"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Daniel Lochner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Tectonic Therapeutic Announces Third Quarter 2024 Financial Results and Recent Business Highlights</w:t>
      </w:r>
    </w:p>
    <w:p>
      <w:pPr>
        <w:spacing w:after="0" w:line="229" w:lineRule="exact"/>
        <w:rPr>
          <w:sz w:val="20"/>
          <w:szCs w:val="20"/>
          <w:color w:val="auto"/>
        </w:rPr>
      </w:pPr>
    </w:p>
    <w:p>
      <w:pPr>
        <w:ind w:left="520" w:right="40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enrollment in the Phase 1b hemodynamic trial remains ahead of expectation, with topline results now expected in late Q1’2025 or early Q2’2025</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subject dosed with TX000045 (“TX45”) in APEX Phase 2 clinical trial in early October, with topline results expected in 2026</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Candidate TX002100 (“TX2100”) selected for second program targeting patients with Hereditary Hemorrhagic Telangiectasia (HHT)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$159.1 million as of September 30, 2024, expected to provide cash runway into mid-2027</w:t>
      </w:r>
    </w:p>
    <w:p>
      <w:pPr>
        <w:spacing w:after="0" w:line="11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WATERTOWN, MA, November 7, 2024 (GLOBE NEWSWIRE) -- Tectonic Therapeutic, Inc. (NASDAQ: TECX) (“Tectonic”, or “the Company”), a clinical-stage biotechnology company focused on the discovery and development of therapeutic proteins and antibodies that modulate the activity of G-protein coupled receptors (GPCRs), today announced its financial results for the third quarter ending September 30, 2024, and provided an overview of recent business highlights.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third quarter we continued to make excellent progress advancing our novel pipeline. We initiated the APEX Phase 2 clinical trial and continued better than expected enrollment in our Phase 1b hemodynamic, proof of concept clinical trial for TX45,” commented Alise Reicin, M.D., President and Chief Executive Officer of Tectonic. “Additionally, today we are announcing the selection of TX2100 as our development candidate for Tectonic’s second program targeting HHT, and we are looking forward to discussing our Phase 1a trial results for TX45 this month at the American Heart Association followed by topline results for the Phase 1b trial expected in late Q1’2025 or early Q2’2025.”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225" w:lineRule="exact"/>
        <w:rPr>
          <w:sz w:val="20"/>
          <w:szCs w:val="20"/>
          <w:color w:val="auto"/>
        </w:rPr>
      </w:pPr>
    </w:p>
    <w:p>
      <w:pPr>
        <w:ind w:left="1020" w:right="200" w:hanging="503"/>
        <w:spacing w:after="0" w:line="259"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First Subject Dosed TX45 in APEX Phase 2 Trial in Early October 2024</w:t>
      </w:r>
      <w:r>
        <w:rPr>
          <w:rFonts w:ascii="Times New Roman" w:cs="Times New Roman" w:eastAsia="Times New Roman" w:hAnsi="Times New Roman"/>
          <w:sz w:val="18"/>
          <w:szCs w:val="18"/>
          <w:color w:val="auto"/>
        </w:rPr>
        <w:t>: Tectonic dosed its first subject in its global, 24-week APEX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Phase 2 clinical trial in early October. The trial is a placebo-controlled study designed to evaluate the safety and efficacy of Tectonic’s lead program, TX45 administered subcutaneously (SC) in subjects with PH-HFpEF. Subjects will be randomized to 300 mg SC (2 ml injection) once monthly of TX45, 300 mg SC once every other week of TX45, or placebo. Topline trial results from the APEX trial are expected in 2026.</w:t>
      </w:r>
    </w:p>
    <w:p>
      <w:pPr>
        <w:spacing w:after="0" w:line="71" w:lineRule="exact"/>
        <w:rPr>
          <w:rFonts w:ascii="Times New Roman" w:cs="Times New Roman" w:eastAsia="Times New Roman" w:hAnsi="Times New Roman"/>
          <w:sz w:val="18"/>
          <w:szCs w:val="18"/>
          <w:color w:val="auto"/>
        </w:rPr>
      </w:pPr>
    </w:p>
    <w:p>
      <w:pPr>
        <w:ind w:left="1020" w:right="120" w:hanging="503"/>
        <w:spacing w:after="0" w:line="26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Favorable Phase 1a Topline Trial Results for TX45 Announced in September 2024</w:t>
      </w:r>
      <w:r>
        <w:rPr>
          <w:rFonts w:ascii="Times New Roman" w:cs="Times New Roman" w:eastAsia="Times New Roman" w:hAnsi="Times New Roman"/>
          <w:sz w:val="18"/>
          <w:szCs w:val="18"/>
          <w:color w:val="auto"/>
        </w:rPr>
        <w:t>: In September, Tectonic announced favorable Phase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1a safety, tolerability and pharmacokinetic (PK) and pharmacodynamic (PD) results for TX45. TX45 was well-tolerated with no observed immunogenicity and demonstrated a favorable PK/PD relationship which was used to identify doses for the ongoing APEX Phase 2 clinical trial.</w:t>
      </w:r>
    </w:p>
    <w:p>
      <w:pPr>
        <w:spacing w:after="0" w:line="68"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Development Candidate TX2100 Selected for HHT Program</w:t>
      </w:r>
      <w:r>
        <w:rPr>
          <w:rFonts w:ascii="Times New Roman" w:cs="Times New Roman" w:eastAsia="Times New Roman" w:hAnsi="Times New Roman"/>
          <w:sz w:val="18"/>
          <w:szCs w:val="18"/>
          <w:color w:val="auto"/>
        </w:rPr>
        <w:t>: Tectonic has identified TX2100 as its development candidate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HHT, the second most common genetic bleeding disorder with no approved therapy. TX2100 is a VHH-Fc fusion antagonist antibody that binds to an undisclosed GPCR target (“GPCR3”)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Tectonic expects to initiate a Phase 1 clinical trial for TX2100 in Q4’2025 or Q1’2026 following the conclusion of favorable IND enabling studies.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Milestones</w:t>
      </w:r>
    </w:p>
    <w:p>
      <w:pPr>
        <w:spacing w:after="0" w:line="225" w:lineRule="exact"/>
        <w:rPr>
          <w:sz w:val="20"/>
          <w:szCs w:val="20"/>
          <w:color w:val="auto"/>
        </w:rPr>
      </w:pPr>
    </w:p>
    <w:p>
      <w:pPr>
        <w:ind w:left="1020" w:right="26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Phase 1a Clinical Trial Results at AHA</w:t>
      </w:r>
      <w:r>
        <w:rPr>
          <w:rFonts w:ascii="Times New Roman" w:cs="Times New Roman" w:eastAsia="Times New Roman" w:hAnsi="Times New Roman"/>
          <w:sz w:val="18"/>
          <w:szCs w:val="18"/>
          <w:color w:val="auto"/>
        </w:rPr>
        <w:t>: The TX45 Phase 1a poster titled “The tolerability, safety, pharmacokinetics,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pharmacodynamics of TX000045, a long-acting Fc-relaxin fusion protein after single doses in healthy volunteers” will be presented at the American Heart Association (AHA) Scientific Sessions on November 16th from 3-4pm EST.</w:t>
      </w:r>
    </w:p>
    <w:p>
      <w:pPr>
        <w:spacing w:after="0" w:line="62" w:lineRule="exact"/>
        <w:rPr>
          <w:rFonts w:ascii="Times New Roman" w:cs="Times New Roman" w:eastAsia="Times New Roman" w:hAnsi="Times New Roman"/>
          <w:sz w:val="18"/>
          <w:szCs w:val="18"/>
          <w:color w:val="auto"/>
        </w:rPr>
      </w:pPr>
    </w:p>
    <w:p>
      <w:pPr>
        <w:ind w:left="1020" w:right="4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Ongoing Phase 1b Hemodynamic Clinical Trial Results Expected Late Q1’2025 or Early Q2’2025</w:t>
      </w:r>
      <w:r>
        <w:rPr>
          <w:rFonts w:ascii="Times New Roman" w:cs="Times New Roman" w:eastAsia="Times New Roman" w:hAnsi="Times New Roman"/>
          <w:sz w:val="18"/>
          <w:szCs w:val="18"/>
          <w:color w:val="auto"/>
        </w:rPr>
        <w:t>: The TX45 Phase 1b hemodynamic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trial evaluating single doses of TX45 in subjects with PH-HFpEF continues to enroll ahead of plan, with topline trial results expected in late Q1’2025 or early Q2’2025.</w:t>
      </w:r>
    </w:p>
    <w:p>
      <w:pPr>
        <w:spacing w:after="0" w:line="62" w:lineRule="exact"/>
        <w:rPr>
          <w:rFonts w:ascii="Times New Roman" w:cs="Times New Roman" w:eastAsia="Times New Roman" w:hAnsi="Times New Roman"/>
          <w:sz w:val="18"/>
          <w:szCs w:val="18"/>
          <w:color w:val="auto"/>
        </w:rPr>
      </w:pPr>
    </w:p>
    <w:p>
      <w:pPr>
        <w:jc w:val="both"/>
        <w:ind w:left="1020" w:right="14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Ongoing APEX Phase 2 Clinical Trial Results Expected in 2026</w:t>
      </w:r>
      <w:r>
        <w:rPr>
          <w:rFonts w:ascii="Times New Roman" w:cs="Times New Roman" w:eastAsia="Times New Roman" w:hAnsi="Times New Roman"/>
          <w:sz w:val="18"/>
          <w:szCs w:val="18"/>
          <w:color w:val="auto"/>
        </w:rPr>
        <w:t>: The global, 24-week APEX Phase 2 clinical trial, a placebo-controlled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study designed to evaluate the safety and efficacy of TX45 administered subcutaneously in subjects with PH-HFpEF remains on track, with topline trial results expected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Financial and Operating Results</w:t>
      </w:r>
    </w:p>
    <w:p>
      <w:pPr>
        <w:spacing w:after="0" w:line="225" w:lineRule="exact"/>
        <w:rPr>
          <w:sz w:val="20"/>
          <w:szCs w:val="20"/>
          <w:color w:val="auto"/>
        </w:rPr>
      </w:pPr>
    </w:p>
    <w:p>
      <w:pPr>
        <w:ind w:left="102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Position</w:t>
      </w:r>
      <w:r>
        <w:rPr>
          <w:rFonts w:ascii="Times New Roman" w:cs="Times New Roman" w:eastAsia="Times New Roman" w:hAnsi="Times New Roman"/>
          <w:sz w:val="18"/>
          <w:szCs w:val="18"/>
          <w:color w:val="auto"/>
        </w:rPr>
        <w:t>: As of September 30, 2024, cash and cash equivalents were $159.1 million, compared to $185.1 million as of June 30,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Tectonic anticipates that its current cash and cash equivalents, will provide a cash runway into mid-2027, including through key Phase 1b and Phase 2 readouts for TX45, and the progression of the HHT program into clinical development.</w:t>
      </w:r>
    </w:p>
    <w:p>
      <w:pPr>
        <w:spacing w:after="0" w:line="62" w:lineRule="exact"/>
        <w:rPr>
          <w:rFonts w:ascii="Times New Roman" w:cs="Times New Roman" w:eastAsia="Times New Roman" w:hAnsi="Times New Roman"/>
          <w:sz w:val="18"/>
          <w:szCs w:val="18"/>
          <w:color w:val="auto"/>
        </w:rPr>
      </w:pPr>
    </w:p>
    <w:p>
      <w:pPr>
        <w:ind w:left="1020" w:right="14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color w:val="auto"/>
        </w:rPr>
        <w:t>: Research and development expenses were $14.3 million for the three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as compared to $8.1 million for the three months ended September 30, 2023. The increase was primarily the result of increased external contract research organization research costs related to the progression of the TX45 Phase 1b clinical trial and the initiation of the TX45 Phase 2 clinical trial, along with an increase in consulting and professional services to support the ongoing development activities of Tectonic’s early stage drug candidates.</w:t>
      </w:r>
    </w:p>
    <w:p>
      <w:pPr>
        <w:spacing w:after="0" w:line="71" w:lineRule="exact"/>
        <w:rPr>
          <w:rFonts w:ascii="Times New Roman" w:cs="Times New Roman" w:eastAsia="Times New Roman" w:hAnsi="Times New Roman"/>
          <w:sz w:val="18"/>
          <w:szCs w:val="18"/>
          <w:color w:val="auto"/>
        </w:rPr>
      </w:pPr>
    </w:p>
    <w:p>
      <w:pPr>
        <w:ind w:left="1020" w:right="16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and Administrative Expenses</w:t>
      </w:r>
      <w:r>
        <w:rPr>
          <w:rFonts w:ascii="Times New Roman" w:cs="Times New Roman" w:eastAsia="Times New Roman" w:hAnsi="Times New Roman"/>
          <w:sz w:val="18"/>
          <w:szCs w:val="18"/>
          <w:color w:val="auto"/>
        </w:rPr>
        <w:t>: General and administrative expenses were $5.3 million for the three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as compared to $2.0 million for the three months ended September 30, 2023. The increase was primarily the result of increases in personnel-related costs as well as increases in professional and consulting fees to support merger-related activities.</w:t>
      </w:r>
    </w:p>
    <w:p>
      <w:pPr>
        <w:spacing w:after="0" w:line="62" w:lineRule="exact"/>
        <w:rPr>
          <w:rFonts w:ascii="Times New Roman" w:cs="Times New Roman" w:eastAsia="Times New Roman" w:hAnsi="Times New Roman"/>
          <w:sz w:val="18"/>
          <w:szCs w:val="18"/>
          <w:color w:val="auto"/>
        </w:rPr>
      </w:pPr>
    </w:p>
    <w:p>
      <w:pPr>
        <w:ind w:left="1020" w:right="40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For the three months ended September 30, 2024, the Company had a net loss of $17.7 million compared to a net loss of $10.1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three months ended September 30,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TX45, a long-acting Fc-relaxin fusion protein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Tectonic’s lead program, TX45, is an Fc-relaxin fusion protein with optimized pharmacokinetics and biophysical properties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w:t>
      </w:r>
    </w:p>
    <w:p>
      <w:pPr>
        <w:spacing w:after="0" w:line="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Tectonic is evaluating TX45 in an ongoing Phase 1b hemodynamic, proof-of-concept study and a Phase 2 clinical proof-of-concept study; both studies are being conducted in patients with PH-HFpEF.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Group 2 Pulmonary Hypertension in HFpEF</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World Health Organization has defined five groups of PH. Tectonic is focused on the Group 2 subtype, a condition that develops due to left-sided heart disease, specifically pulmonary hypertension secondary to left heart failure with preserved ejection fraction (PH-HFpEF).</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patients with PH-HFpEF, chronic heart failure leads to increased blood pressure in the pulmonary arteries, exerting severe strain on the right side of the heart, which adapts poorly to the increased pressure. This increased pulmonary pressure gradually causes worsening exercise capacity, shortness of breath and right-sided heart failure which can lead to death. Although several Group 1 PH (Pulmonary Arterial Hypertension, PAH) medications have been explored in Group 2 PH, to date, no medications have been approved for its treatment.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TX2100</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TX2100 is a GPCR-targeting biotherapeutic that is being developed to treat HHT, the second most common genetic bleeding disorder. In HHT, loss-of-function mutations in the BMP9/10-Endoglin-ALK1-SMAD4 signaling pathway lead to increased expression of factors that promote abnormal blood vessel formation. The abnormal blood vessel formations found in HHT, also known as telangiectasias and arterio-venous malformations or “AVMs”, are prone to spontaneous recurrent and severe bleeding episodes that can be life-threatening, yet there are no approved therapies to treat these patients. The target GPCR for TX2100 is a receptor for an angiogenic factor known to be upregulated in animal models of HHT. By blocking the signaling of this receptor, Tectonic anticipates it can reduce bleeding resulting from the abnormal blood vessel formation seen in HHT.</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Tectonic</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Tectonic is a biotechnology company focused on the discovery and development of therapeutic proteins and antibodies that modulate the activity of G-protein coupled receptors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www.tectonictx.com and follow @TectonicTx on X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preclinical studies and clinical trials of Tectonic’s product candidates, including the ongoing Phase 1b and Phase 2 clinical trials for its lead program, TX45, in Group 2 PH-HFpEF; the proposed initiation of a Phase 1 clinical trial for its development candidate for a second program in HHT, including its preclinical studies and anticipated endpoints; and the Company’s expected cash runway.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in the Middle East,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with the SEC on November 7, 2024,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For more information, please visit www.tectonictx.com and follow @TectonicTx on X (formerly Twitter) and LinkedIn.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Ferry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daniel@lifesciadvisors.com</w:t>
      </w:r>
    </w:p>
    <w:p>
      <w:pPr>
        <w:spacing w:after="0" w:line="9" w:lineRule="exact"/>
        <w:rPr>
          <w:sz w:val="20"/>
          <w:szCs w:val="20"/>
          <w:color w:val="auto"/>
        </w:rPr>
      </w:pPr>
    </w:p>
    <w:p>
      <w:pPr>
        <w:ind w:right="10100" w:firstLine="8"/>
        <w:spacing w:after="0" w:line="490"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430-7576 </w:t>
      </w:r>
      <w:r>
        <w:rPr>
          <w:rFonts w:ascii="Times New Roman" w:cs="Times New Roman" w:eastAsia="Times New Roman" w:hAnsi="Times New Roman"/>
          <w:sz w:val="18"/>
          <w:szCs w:val="18"/>
          <w:u w:val="single" w:color="auto"/>
          <w:color w:val="auto"/>
        </w:rPr>
        <w:t>Media</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Barbara Yates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Barbara@theyatesnetwork.com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 258-6153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(19,637 )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(10,114 )</w:t>
            </w: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(44,024 )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(35,274 )</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(3,610 )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(1,585 )</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(17,717 )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(10,054 )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(45,609 )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(34,954 )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(1.20 )</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(7.62 )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(7.16 )</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(28.06 )</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vMerge w:val="continue"/>
            <w:shd w:val="clear" w:color="auto" w:fill="CFF0FC"/>
          </w:tcPr>
          <w:p>
            <w:pPr>
              <w:spacing w:after="0"/>
              <w:rPr>
                <w:sz w:val="21"/>
                <w:szCs w:val="21"/>
                <w:color w:val="auto"/>
              </w:rPr>
            </w:pPr>
          </w:p>
        </w:tc>
        <w:tc>
          <w:tcPr>
            <w:tcW w:w="1280" w:type="dxa"/>
            <w:vAlign w:val="bottom"/>
            <w:gridSpan w:val="2"/>
            <w:vMerge w:val="continue"/>
            <w:shd w:val="clear" w:color="auto" w:fill="CFF0FC"/>
          </w:tcPr>
          <w:p>
            <w:pPr>
              <w:spacing w:after="0"/>
              <w:rPr>
                <w:sz w:val="21"/>
                <w:szCs w:val="21"/>
                <w:color w:val="auto"/>
              </w:rPr>
            </w:pPr>
          </w:p>
        </w:tc>
        <w:tc>
          <w:tcPr>
            <w:tcW w:w="260" w:type="dxa"/>
            <w:vAlign w:val="bottom"/>
            <w:vMerge w:val="continue"/>
            <w:shd w:val="clear" w:color="auto" w:fill="CFF0FC"/>
          </w:tcPr>
          <w:p>
            <w:pPr>
              <w:spacing w:after="0"/>
              <w:rPr>
                <w:sz w:val="21"/>
                <w:szCs w:val="21"/>
                <w:color w:val="auto"/>
              </w:rPr>
            </w:pPr>
          </w:p>
        </w:tc>
        <w:tc>
          <w:tcPr>
            <w:tcW w:w="1120" w:type="dxa"/>
            <w:vAlign w:val="bottom"/>
            <w:gridSpan w:val="2"/>
            <w:vMerge w:val="continue"/>
            <w:shd w:val="clear" w:color="auto" w:fill="CFF0FC"/>
          </w:tcPr>
          <w:p>
            <w:pPr>
              <w:spacing w:after="0"/>
              <w:rPr>
                <w:sz w:val="21"/>
                <w:szCs w:val="21"/>
                <w:color w:val="auto"/>
              </w:rPr>
            </w:pPr>
          </w:p>
        </w:tc>
        <w:tc>
          <w:tcPr>
            <w:tcW w:w="140" w:type="dxa"/>
            <w:vAlign w:val="bottom"/>
            <w:vMerge w:val="continue"/>
            <w:shd w:val="clear" w:color="auto" w:fill="CFF0FC"/>
          </w:tcPr>
          <w:p>
            <w:pPr>
              <w:spacing w:after="0"/>
              <w:rPr>
                <w:sz w:val="21"/>
                <w:szCs w:val="21"/>
                <w:color w:val="auto"/>
              </w:rPr>
            </w:pPr>
          </w:p>
        </w:tc>
        <w:tc>
          <w:tcPr>
            <w:tcW w:w="1240" w:type="dxa"/>
            <w:vAlign w:val="bottom"/>
            <w:gridSpan w:val="2"/>
            <w:vMerge w:val="continue"/>
            <w:shd w:val="clear" w:color="auto" w:fill="CFF0FC"/>
          </w:tcPr>
          <w:p>
            <w:pPr>
              <w:spacing w:after="0"/>
              <w:rPr>
                <w:sz w:val="21"/>
                <w:szCs w:val="21"/>
                <w:color w:val="auto"/>
              </w:rPr>
            </w:pPr>
          </w:p>
        </w:tc>
        <w:tc>
          <w:tcPr>
            <w:tcW w:w="260" w:type="dxa"/>
            <w:vAlign w:val="bottom"/>
            <w:vMerge w:val="continue"/>
            <w:shd w:val="clear" w:color="auto" w:fill="CFF0FC"/>
          </w:tcPr>
          <w:p>
            <w:pPr>
              <w:spacing w:after="0"/>
              <w:rPr>
                <w:sz w:val="21"/>
                <w:szCs w:val="21"/>
                <w:color w:val="auto"/>
              </w:rPr>
            </w:pPr>
          </w:p>
        </w:tc>
        <w:tc>
          <w:tcPr>
            <w:tcW w:w="98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14,729,018</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1,319,147</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6,373,717</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1,245,745</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(66 )</w:t>
            </w: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(17,733 )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(10,054 )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(45,675 )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(34,954 )</w:t>
            </w:r>
          </w:p>
        </w:tc>
        <w:tc>
          <w:tcPr>
            <w:tcW w:w="0" w:type="dxa"/>
            <w:vAlign w:val="bottom"/>
          </w:tcPr>
          <w:p>
            <w:pPr>
              <w:spacing w:after="0"/>
              <w:rPr>
                <w:sz w:val="1"/>
                <w:szCs w:val="1"/>
                <w:color w:val="auto"/>
              </w:rPr>
            </w:pPr>
          </w:p>
        </w:tc>
      </w:tr>
      <w:tr>
        <w:trPr>
          <w:trHeight w:val="964"/>
        </w:trPr>
        <w:tc>
          <w:tcPr>
            <w:tcW w:w="582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-3034030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-3034030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-3034030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-1773555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-1773555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-1773555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-1336675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-1319530</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-1336675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-1319530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-1336675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-1319530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-659765</wp:posOffset>
            </wp:positionV>
            <wp:extent cx="76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-642620</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-659765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-642620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-659765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-642620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460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Select Condensed Consolidated Balance Sheet Data</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159,095</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145,278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(10,004 )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168,717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(84,636 )</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2024-11-07T16:02:23Z</dcterms:created>
  <dcterms:modified xsi:type="dcterms:W3CDTF">2024-11-07T16:02:23Z</dcterms:modified>
</cp:coreProperties>
</file>