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05455M 10 0</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Brent Faduski</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SV Health Investors, LLC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One Boston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201 Washington Street, Suite 3900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Boston, MA 02108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(617) 367-8100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19, 2019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8"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517"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05455M 10 0</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auto"/>
              <w:right w:val="single" w:sz="8" w:color="auto"/>
            </w:tcBorders>
          </w:tcPr>
          <w:p>
            <w:pPr>
              <w:spacing w:after="0"/>
              <w:rPr>
                <w:sz w:val="21"/>
                <w:szCs w:val="21"/>
                <w:color w:val="auto"/>
              </w:rPr>
            </w:pPr>
          </w:p>
        </w:tc>
        <w:tc>
          <w:tcPr>
            <w:tcW w:w="103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SVLSF VI, LLC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0" w:type="dxa"/>
            <w:vAlign w:val="bottom"/>
            <w:gridSpan w:val="2"/>
          </w:tcPr>
          <w:p>
            <w:pPr>
              <w:ind w:left="10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916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3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1,417,204</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40" w:type="dxa"/>
            <w:vAlign w:val="bottom"/>
            <w:tcBorders>
              <w:left w:val="single" w:sz="8" w:color="auto"/>
            </w:tcBorders>
          </w:tcPr>
          <w:p>
            <w:pPr>
              <w:spacing w:after="0"/>
              <w:rPr>
                <w:sz w:val="13"/>
                <w:szCs w:val="13"/>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1,417,204</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4"/>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1,417,204</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00" w:hanging="424"/>
        <w:spacing w:after="0" w:line="277"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Percentage calculated using a denominator of 31,551,762 outstanding shares of Common Stock of Issuer as of July 19, 2019, as reported in the Issuer’s prospectus supplement filed with the Securities and Exchange Commission.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05455M 10 0</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auto"/>
              <w:right w:val="single" w:sz="8" w:color="auto"/>
            </w:tcBorders>
          </w:tcPr>
          <w:p>
            <w:pPr>
              <w:spacing w:after="0"/>
              <w:rPr>
                <w:sz w:val="21"/>
                <w:szCs w:val="21"/>
                <w:color w:val="auto"/>
              </w:rPr>
            </w:pPr>
          </w:p>
        </w:tc>
        <w:tc>
          <w:tcPr>
            <w:tcW w:w="103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SV Life Sciences Fund VI,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0" w:type="dxa"/>
            <w:vAlign w:val="bottom"/>
            <w:gridSpan w:val="2"/>
          </w:tcPr>
          <w:p>
            <w:pPr>
              <w:ind w:left="10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9160" w:type="dxa"/>
            <w:vAlign w:val="bottom"/>
            <w:tcBorders>
              <w:right w:val="single" w:sz="8" w:color="auto"/>
            </w:tcBorders>
            <w:gridSpan w:val="2"/>
          </w:tcPr>
          <w:p>
            <w:pPr>
              <w:jc w:val="right"/>
              <w:ind w:right="88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3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1,370,290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40" w:type="dxa"/>
            <w:vAlign w:val="bottom"/>
            <w:tcBorders>
              <w:left w:val="single" w:sz="8" w:color="auto"/>
            </w:tcBorders>
          </w:tcPr>
          <w:p>
            <w:pPr>
              <w:spacing w:after="0"/>
              <w:rPr>
                <w:sz w:val="13"/>
                <w:szCs w:val="13"/>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1,370,290</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4"/>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1,370,290</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gridSpan w:val="2"/>
          </w:tcPr>
          <w:p>
            <w:pPr>
              <w:jc w:val="right"/>
              <w:ind w:right="54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05455M 10 0</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auto"/>
              <w:right w:val="single" w:sz="8" w:color="auto"/>
            </w:tcBorders>
          </w:tcPr>
          <w:p>
            <w:pPr>
              <w:spacing w:after="0"/>
              <w:rPr>
                <w:sz w:val="21"/>
                <w:szCs w:val="21"/>
                <w:color w:val="auto"/>
              </w:rPr>
            </w:pPr>
          </w:p>
        </w:tc>
        <w:tc>
          <w:tcPr>
            <w:tcW w:w="103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SV Life Sciences Fund VI Strategic Partners,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0" w:type="dxa"/>
            <w:vAlign w:val="bottom"/>
            <w:gridSpan w:val="2"/>
          </w:tcPr>
          <w:p>
            <w:pPr>
              <w:ind w:left="10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9160" w:type="dxa"/>
            <w:vAlign w:val="bottom"/>
            <w:tcBorders>
              <w:right w:val="single" w:sz="8" w:color="auto"/>
            </w:tcBorders>
            <w:gridSpan w:val="2"/>
          </w:tcPr>
          <w:p>
            <w:pPr>
              <w:jc w:val="right"/>
              <w:ind w:right="88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3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46,914</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40" w:type="dxa"/>
            <w:vAlign w:val="bottom"/>
            <w:tcBorders>
              <w:left w:val="single" w:sz="8" w:color="auto"/>
            </w:tcBorders>
          </w:tcPr>
          <w:p>
            <w:pPr>
              <w:spacing w:after="0"/>
              <w:rPr>
                <w:sz w:val="13"/>
                <w:szCs w:val="13"/>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46,914</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4"/>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46,914</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0.1%</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gridSpan w:val="2"/>
          </w:tcPr>
          <w:p>
            <w:pPr>
              <w:jc w:val="right"/>
              <w:ind w:right="54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05455M 10 0</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auto"/>
              <w:right w:val="single" w:sz="8" w:color="auto"/>
            </w:tcBorders>
          </w:tcPr>
          <w:p>
            <w:pPr>
              <w:spacing w:after="0"/>
              <w:rPr>
                <w:sz w:val="21"/>
                <w:szCs w:val="21"/>
                <w:color w:val="auto"/>
              </w:rPr>
            </w:pPr>
          </w:p>
        </w:tc>
        <w:tc>
          <w:tcPr>
            <w:tcW w:w="103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SV Life Sciences Fund VI (GP), L.P.</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34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0" w:type="dxa"/>
            <w:vAlign w:val="bottom"/>
            <w:gridSpan w:val="2"/>
          </w:tcPr>
          <w:p>
            <w:pPr>
              <w:ind w:left="10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9160" w:type="dxa"/>
            <w:vAlign w:val="bottom"/>
            <w:tcBorders>
              <w:right w:val="single" w:sz="8" w:color="auto"/>
            </w:tcBorders>
            <w:gridSpan w:val="2"/>
          </w:tcPr>
          <w:p>
            <w:pPr>
              <w:jc w:val="right"/>
              <w:ind w:right="88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3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1,417,204</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1"/>
              </w:rPr>
              <w:t>SHARES</w:t>
            </w: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1"/>
                <w:szCs w:val="11"/>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8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80" w:type="dxa"/>
            <w:vAlign w:val="bottom"/>
            <w:tcBorders>
              <w:left w:val="single" w:sz="8" w:color="auto"/>
              <w:right w:val="single" w:sz="8" w:color="auto"/>
            </w:tcBorders>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240" w:type="dxa"/>
            <w:vAlign w:val="bottom"/>
            <w:tcBorders>
              <w:right w:val="single" w:sz="8" w:color="auto"/>
            </w:tcBorders>
            <w:gridSpan w:val="2"/>
            <w:vMerge w:val="continue"/>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6"/>
                <w:szCs w:val="6"/>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40" w:type="dxa"/>
            <w:vAlign w:val="bottom"/>
            <w:tcBorders>
              <w:left w:val="single" w:sz="8" w:color="auto"/>
            </w:tcBorders>
          </w:tcPr>
          <w:p>
            <w:pPr>
              <w:spacing w:after="0"/>
              <w:rPr>
                <w:sz w:val="13"/>
                <w:szCs w:val="13"/>
                <w:color w:val="auto"/>
              </w:rPr>
            </w:pPr>
          </w:p>
        </w:tc>
        <w:tc>
          <w:tcPr>
            <w:tcW w:w="1240" w:type="dxa"/>
            <w:vAlign w:val="bottom"/>
            <w:tcBorders>
              <w:right w:val="single" w:sz="8" w:color="auto"/>
            </w:tcBorders>
            <w:gridSpan w:val="2"/>
            <w:vMerge w:val="restart"/>
          </w:tcPr>
          <w:p>
            <w:pPr>
              <w:jc w:val="center"/>
              <w:ind w:right="114"/>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4"/>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1,417,204</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4"/>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right w:val="single" w:sz="8" w:color="auto"/>
            </w:tcBorders>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1,417,204</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gridSpan w:val="2"/>
          </w:tcPr>
          <w:p>
            <w:pPr>
              <w:jc w:val="right"/>
              <w:ind w:right="54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05455M 10 0</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117"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This statement relates to the Common Stock, par value $0.0001 per share (the “Common Stock”), of AVROBIO, Inc. (the “Issuer”). The address of the principal executive offices of the Issuer is One Kendall Square, Building 300, Suite 201, Cambridge, MA 02139.</w:t>
      </w:r>
    </w:p>
    <w:p>
      <w:pPr>
        <w:spacing w:after="0" w:line="29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117" w:lineRule="exact"/>
        <w:rPr>
          <w:sz w:val="20"/>
          <w:szCs w:val="20"/>
          <w:color w:val="auto"/>
        </w:rPr>
      </w:pPr>
    </w:p>
    <w:p>
      <w:pPr>
        <w:ind w:firstLine="987"/>
        <w:spacing w:after="0" w:line="255"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 (i) SV Life Sciences Fund VI, L.P. a Delaware limited partnership (“SVLS VI LP”) and SV Life Sciences Fund VI Strategic Partners, L.P. a Delaware limited partnership (“Strategic Partners” and together with SVLS VI LP, the “Funds”), each direct owners of the shares of Common Stock of the Issuer (together, the “Shares”); (ii) SV Life Sciences Fund VI (GP), L.P., a Delaware limited partnership (“SVLS VI GP”) and general partner of SVLS VI LP and Strategic Partners; and (iii) SVLSF VI, LLC, a Delaware limited liability company and general partner of SVLS VI GP. Each of SVLS VI LP, Strategic Partners, SVLS VI GP and SVLSF VI, LLC are sometimes individually referred to herein as a “Reporting Person” and collectively as the “Reporting Persons.”</w:t>
      </w:r>
    </w:p>
    <w:p>
      <w:pPr>
        <w:spacing w:after="0" w:line="84" w:lineRule="exact"/>
        <w:rPr>
          <w:rFonts w:ascii="Arial" w:cs="Arial" w:eastAsia="Arial" w:hAnsi="Arial"/>
          <w:sz w:val="18"/>
          <w:szCs w:val="18"/>
          <w:color w:val="auto"/>
        </w:rPr>
      </w:pPr>
    </w:p>
    <w:p>
      <w:pPr>
        <w:ind w:right="220" w:firstLine="987"/>
        <w:spacing w:after="0" w:line="263" w:lineRule="auto"/>
        <w:tabs>
          <w:tab w:leader="none" w:pos="12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principal business address of the Reporting Persons is c/o SV Health Investors, One Boston Place, 201 Washington Street, Suite 3900, Boston, MA 02108. The principal business address of any person or entity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is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w:t>
      </w:r>
    </w:p>
    <w:p>
      <w:pPr>
        <w:spacing w:after="0" w:line="75" w:lineRule="exact"/>
        <w:rPr>
          <w:rFonts w:ascii="Arial" w:cs="Arial" w:eastAsia="Arial" w:hAnsi="Arial"/>
          <w:sz w:val="18"/>
          <w:szCs w:val="18"/>
          <w:color w:val="auto"/>
        </w:rPr>
      </w:pPr>
    </w:p>
    <w:p>
      <w:pPr>
        <w:jc w:val="both"/>
        <w:ind w:right="140" w:firstLine="987"/>
        <w:spacing w:after="0" w:line="259"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principal business of the Reporting Persons is international healthcare and life sciences venture capital investments. SVLS VI LP and Strategic Partners are private venture capital funds. SVLS VI GP is the general partner of SVLS VI LP and Strategic Partners. SVLSF VI, LLC is the general partner of SVLS VI GP. The principal business of the persons or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w:t>
      </w:r>
    </w:p>
    <w:p>
      <w:pPr>
        <w:spacing w:after="0" w:line="78"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 Reporting Person nor any person or entity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has, during the last five years, been convicted in a criminal proceeding (excluding traffic violations or similar misdemeanors).</w:t>
      </w:r>
    </w:p>
    <w:p>
      <w:pPr>
        <w:spacing w:after="0" w:line="62" w:lineRule="exact"/>
        <w:rPr>
          <w:rFonts w:ascii="Arial" w:cs="Arial" w:eastAsia="Arial" w:hAnsi="Arial"/>
          <w:sz w:val="18"/>
          <w:szCs w:val="18"/>
          <w:color w:val="auto"/>
        </w:rPr>
      </w:pPr>
    </w:p>
    <w:p>
      <w:pPr>
        <w:ind w:right="140" w:firstLine="987"/>
        <w:spacing w:after="0" w:line="259"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 Reporting Person nor any person or entity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78" w:lineRule="exact"/>
        <w:rPr>
          <w:rFonts w:ascii="Arial" w:cs="Arial" w:eastAsia="Arial" w:hAnsi="Arial"/>
          <w:sz w:val="18"/>
          <w:szCs w:val="18"/>
          <w:color w:val="auto"/>
        </w:rPr>
      </w:pPr>
    </w:p>
    <w:p>
      <w:pPr>
        <w:ind w:right="20" w:firstLine="987"/>
        <w:spacing w:after="0" w:line="277" w:lineRule="auto"/>
        <w:tabs>
          <w:tab w:leader="none" w:pos="121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Each of the individuals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are citizens of the country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Each of the Reporting Persons are organized under the laws of the State of Delaware.</w:t>
      </w:r>
    </w:p>
    <w:p>
      <w:pPr>
        <w:spacing w:after="0" w:line="3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11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On June 25, 2018, SVLS VI LP acquired 2,645,454 shares of Common Stock and Strategic Partners acquired 90,573 shares of Common Stock, each in connection with the closing of the Issuer’s initial public offering (the “IPO”) pursuant to a registration statement on Form S-1 under the Securities Act of 1933, as amended (the “Registration Statement”) and a related corporate reorganization, whereby (i) all Series A Preferred Stock held by SVLS VI LP converted into 2,207,843 shares of Common Stock, (ii) all Series B Preferred Stock held by SVLS VI LP converted into 437,611 shares of Common Stock, (iii) all Series A Preferred Stock held by Strategic Partners converted into 75,590 shares of Common Stock, and (iv) all Series B Preferred Stock held by Strategic Partners converted into 14,983 shares of Common Stock. SVLS VI LP and Strategic acquired the preferred shares (the “Pre-Conversion Shares”) prior to the filing of the Registration Statement using proceeds from capital calls by SVLS VI LP and Strategic Partners from their limited partners (i.e., working capital) for an aggregate purchase price of approximately $11.5 million. After a January 16, 2019 distribution of 778,663 and 26,660 shares of Common Stock, respectively, SVLS VI LP held a total of 1,866,791 shares of the Issuer’s Common Stock and Strategic Partners held a total of 63,913 shares of the Issuer’s Common Stock. After a July 19, 2019 distribution of 496,501 and 16,999 shares of Common Stock, respectively, SVLS VI LP held a total of 1,370,290 shares of the Issuer’s Common Stock and Strategic Partners held a total of 46,914 shares of the Issuer’s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05455M 10 0</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Reporting Persons acquired the Shares prior to and in connection with the initial public offering of the Company’s Common Stock.</w:t>
      </w:r>
    </w:p>
    <w:p>
      <w:pPr>
        <w:spacing w:after="0" w:line="248"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 (j) of Item 4 of Schedule 13D except as set forth herein or such as would occur upon completion of any of the actions discussed herein.</w:t>
      </w:r>
    </w:p>
    <w:p>
      <w:pPr>
        <w:spacing w:after="0" w:line="27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31,551,762 shares of Common Stock outstanding, which is the total number of shares of Common Stock outstanding as of July 19, 2019 according to the Issuer’s prospectus supplement filed with the Securities and Exchange Commission.</w:t>
      </w:r>
    </w:p>
    <w:p>
      <w:pPr>
        <w:spacing w:after="0" w:line="184"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As of the close of business on July 19, 2019, the Funds, SVLS VI GP and SVLS VI, LLC may each be deemed to beneficially own, in the aggregate, 1,417,204 shares of Common Stock, constituting approximately 4.5% of the Common Stock outstanding.</w:t>
      </w:r>
    </w:p>
    <w:p>
      <w:pPr>
        <w:spacing w:after="0" w:line="146"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As of the close of business on July 19, 2019, SVLS VI LP owned directly 1,370,290 shares of Common Stock, constituting approximately 4.3% of the Common Stock outstanding.</w:t>
      </w:r>
    </w:p>
    <w:p>
      <w:pPr>
        <w:spacing w:after="0" w:line="170" w:lineRule="exact"/>
        <w:rPr>
          <w:sz w:val="20"/>
          <w:szCs w:val="20"/>
          <w:color w:val="auto"/>
        </w:rPr>
      </w:pPr>
    </w:p>
    <w:p>
      <w:pPr>
        <w:ind w:right="1000" w:firstLine="991"/>
        <w:spacing w:after="0" w:line="277" w:lineRule="auto"/>
        <w:rPr>
          <w:sz w:val="20"/>
          <w:szCs w:val="20"/>
          <w:color w:val="auto"/>
        </w:rPr>
      </w:pPr>
      <w:r>
        <w:rPr>
          <w:rFonts w:ascii="Arial" w:cs="Arial" w:eastAsia="Arial" w:hAnsi="Arial"/>
          <w:sz w:val="18"/>
          <w:szCs w:val="18"/>
          <w:color w:val="auto"/>
        </w:rPr>
        <w:t>As of the close of business on July 19, 2019, Strategic Partners owned directly 46,914 shares of Common Stock, constituting approximately 0.1% of the Common Stock outstanding.</w:t>
      </w:r>
    </w:p>
    <w:p>
      <w:pPr>
        <w:spacing w:after="0" w:line="170"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SVLS VI LP and Strategic Partners (each a “Fund”, or collectively the “Funds”) may be deemed to beneficially own the shares held by each other Fund because of certain contractual relationships among the Funds and their affiliates. The Funds disclaim beneficial ownership of shares held by any other Fund except to the extent of any pecuniary interest therein.</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SVLS VI GP, the general partner of SVLS VI LP and Strategic Partners, may be deemed to beneficially own the shares held by SVLS VI LP and Strategic Partners. SVLS VI GP disclaims beneficial ownership of shares held by SVLS VI LP and Strategic Partners except to the extent of any pecuniary interest therein.</w:t>
      </w:r>
    </w:p>
    <w:p>
      <w:pPr>
        <w:spacing w:after="0" w:line="184"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SVLSF VI, LLC, the general partner of SVLS VI GP, may be deemed to beneficially own the shares held by SVLS VI LP and Strategic Partners. SVLSF VI, LLC disclaims beneficial ownership of shares held by SVLS VI LP and Strategic Partners except to the extent of any pecuniary interest therein.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05455M 10 0</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Each of SVLS VI LP and Strategic Partners have sole power to vote and dispose of the Shares they own directly.</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Each of SVLS VI GP and SVLSF VI, LLC may be deemed to have sole power to vote and dispose of the Shares reported in this Schedule 13D owned directly by SVLS VI LP.</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Each of SVLS VI GP and SVLSF VI, LLC may be deemed to have sole power to vote and dispose of the Shares reported in this Schedule 13D owned directly by Strategic Partners.</w:t>
      </w:r>
    </w:p>
    <w:p>
      <w:pPr>
        <w:spacing w:after="0" w:line="62" w:lineRule="exact"/>
        <w:rPr>
          <w:sz w:val="20"/>
          <w:szCs w:val="20"/>
          <w:color w:val="auto"/>
        </w:rPr>
      </w:pPr>
    </w:p>
    <w:p>
      <w:pPr>
        <w:ind w:firstLine="987"/>
        <w:spacing w:after="0" w:line="259" w:lineRule="auto"/>
        <w:tabs>
          <w:tab w:leader="none" w:pos="1236" w:val="left"/>
        </w:tabs>
        <w:numPr>
          <w:ilvl w:val="0"/>
          <w:numId w:val="5"/>
        </w:numPr>
        <w:rPr>
          <w:rFonts w:ascii="Arial" w:cs="Arial" w:eastAsia="Arial" w:hAnsi="Arial"/>
          <w:sz w:val="18"/>
          <w:szCs w:val="18"/>
          <w:color w:val="auto"/>
        </w:rPr>
      </w:pPr>
      <w:r>
        <w:rPr>
          <w:rFonts w:ascii="Arial" w:cs="Arial" w:eastAsia="Arial" w:hAnsi="Arial"/>
          <w:sz w:val="18"/>
          <w:szCs w:val="18"/>
          <w:color w:val="auto"/>
        </w:rPr>
        <w:t>Item 3 and Item 6 of this Schedule 13D describe all transactions in the Shares of the Issuer effected during the past sixty days by the Reporting Persons and are incorporated herein by reference. Except as set forth in such Items, none of the Reporting Persons, nor, to the best knowledge of the Reporting Persons, without independent verification, any persons named in Item 2 hereof, has effected any transaction in the Common Stock during the past 60 days.</w:t>
      </w:r>
    </w:p>
    <w:p>
      <w:pPr>
        <w:spacing w:after="0" w:line="78"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117"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Pursuant to Rule 13d-1(k) promulgated under the Securities Exchange Act of 1934, as amended, the Reporting Persons have entered into an agreement with respect to the joint filing of this statement, and any amendment or amendments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Item 3 of this Schedule 13D describes the pre-conversion equity owned by the Reporting Persons and is incorporated herein by reference.</w:t>
      </w:r>
    </w:p>
    <w:p>
      <w:pPr>
        <w:spacing w:after="0" w:line="24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Joshua Resnick, M.D. (“Resnick”), a former Partner at SV Health Investors, served as a member of the Board of Directors of the Issuer from July, 2016 to September, 2018, and, accordingly, the Reporting Persons may have had the ability to affect and influence control of the Issuer. From time to time, Resnick may have received stock options or other awards of equity-based compensation pursuant to the Issuer’s compensation arrangements for non-employee directors. Pursuant to an agreement with the Reporting Persons, Resnick was obligated to transfer any securities issued under any such stock options or other awards, or the economic benefit thereof, to the Reporting Persons, which would in turn ensure that such securities or economic benefits were provided to the Reporting Persons.</w:t>
      </w:r>
    </w:p>
    <w:p>
      <w:pPr>
        <w:spacing w:after="0" w:line="192"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In connection with the IPO, the Funds entered into a lock-up agreement, pursuant to which they agreed, subject to certain exceptions, not to sell, transfer or otherwise convey any of the Issuer’s securities held by them for a period of 180 days following the date of the IPO (the “Restricted Period”). The Restricted Period ended December 17, 2018.</w:t>
      </w:r>
    </w:p>
    <w:p>
      <w:pPr>
        <w:spacing w:after="0" w:line="18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Funds and certain other persons are parties to a registration rights agreement with the Issuer (the “Registration Rights Agreement”), which provides for certain registration rights. Beginning 180 days after the IPO, subject to certain limitations, the Funds and other signatory stockholders have the right to request the Issuer to prepare, file and maintain up to two registration statements covering the sale of such shares of Common Stock. If the Issuer is eligible to file a registration statement on Form S-3, subject to certain limitations, the Funds and other signatory stockholders have the right to request the Issuer to prepare, file and maintain up to two registrations in any twelve-month period covering the sale of such shares of Common Stock. Additionally, the Funds and other signatory stockholders have “piggyback” registration rights to include these shares of Common Stock in future registration statements that the Issuer may initiate, subject to certain conditions and limitations (including customary cut-back rights). Under the Registration Rights Agreement, the Issuer will pay all expenses relating to such registrations. The Registration Rights Agreement contains customary cross-indemnification provisions, under which the Issuer is obligated to indemnify the Funds and other signatory stockholders in the event of material misstatements or omissions in the registration statement attributable to the Issuer, and the Funds and other signatory stockholders are obligated to indemnify the Issuer for material misstatements or omissions attributable to them.</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05455M 10 0</w:t>
      </w:r>
    </w:p>
    <w:p>
      <w:pPr>
        <w:spacing w:after="0" w:line="158"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Except as set forth herein, there are no contracts, arrangements, understandings or relationships among the Reporting Persons, or between the Reporting Persons and any other person, with respect to the securities of the Issuer.</w:t>
      </w:r>
    </w:p>
    <w:p>
      <w:pPr>
        <w:spacing w:after="0" w:line="319"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131" w:lineRule="exact"/>
        <w:rPr>
          <w:sz w:val="20"/>
          <w:szCs w:val="20"/>
          <w:color w:val="auto"/>
        </w:rPr>
      </w:pPr>
    </w:p>
    <w:p>
      <w:pPr>
        <w:ind w:left="1704" w:right="160" w:hanging="701"/>
        <w:spacing w:after="0" w:line="277" w:lineRule="auto"/>
        <w:tabs>
          <w:tab w:leader="none" w:pos="168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SV Life Sciences Fund VI, L.P., SV Life Sciences Fund VI Strategic Partners, L.P., SV Life Sciences Fund VI (GP), L.P. and SVLSF VI, LLC, dated January 25, 2019.*</w:t>
      </w:r>
    </w:p>
    <w:p>
      <w:pPr>
        <w:spacing w:after="0" w:line="19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4"/>
          </w:cols>
          <w:pgMar w:left="436" w:top="274"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05455M 10 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SVLSF VI,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Brent M. Faduski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SV LIFE SCIENCES FUND VI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SVLSF VI, LLC,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Brent M. Faduski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SV LIFE SCIENCES FUND VI,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SV Life Sciences Fund VI (GP), L.P., its General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SVLSF VI, LLC,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Brent M. Faduski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SV LIFE SCIENCES FUND VI STRATEGIC PARTNERS,</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SV Life Sciences Fund VI (GP), L.P., its General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SVLSF VI, LLC,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Brent M. Faduski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05455M 10 0</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members of the investment committee of SVLSF VI,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Present principal</w:t>
            </w: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Name of Employer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Occupation or</w:t>
            </w:r>
          </w:p>
        </w:tc>
        <w:tc>
          <w:tcPr>
            <w:tcW w:w="20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Residence or</w:t>
            </w:r>
          </w:p>
        </w:tc>
        <w:tc>
          <w:tcPr>
            <w:tcW w:w="2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Employment;</w:t>
            </w: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and Address where</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gridSpan w:val="2"/>
            <w:vMerge w:val="continue"/>
          </w:tcPr>
          <w:p>
            <w:pPr>
              <w:spacing w:after="0"/>
              <w:rPr>
                <w:sz w:val="12"/>
                <w:szCs w:val="12"/>
                <w:color w:val="auto"/>
              </w:rPr>
            </w:pPr>
          </w:p>
        </w:tc>
        <w:tc>
          <w:tcPr>
            <w:tcW w:w="2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Principal business of</w:t>
            </w: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Employment is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0" w:type="dxa"/>
            <w:vAlign w:val="bottom"/>
          </w:tcPr>
          <w:p>
            <w:pPr>
              <w:spacing w:after="0"/>
              <w:rPr>
                <w:sz w:val="1"/>
                <w:szCs w:val="1"/>
                <w:color w:val="auto"/>
              </w:rPr>
            </w:pPr>
          </w:p>
        </w:tc>
      </w:tr>
      <w:tr>
        <w:trPr>
          <w:trHeight w:val="191"/>
        </w:trPr>
        <w:tc>
          <w:tcPr>
            <w:tcW w:w="3080" w:type="dxa"/>
            <w:vAlign w:val="bottom"/>
            <w:gridSpan w:val="2"/>
            <w:vMerge w:val="continue"/>
          </w:tcPr>
          <w:p>
            <w:pPr>
              <w:spacing w:after="0"/>
              <w:rPr>
                <w:sz w:val="16"/>
                <w:szCs w:val="16"/>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Business Address</w:t>
            </w:r>
          </w:p>
        </w:tc>
        <w:tc>
          <w:tcPr>
            <w:tcW w:w="2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Employer</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Conducted</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Kate</w:t>
            </w:r>
          </w:p>
        </w:tc>
        <w:tc>
          <w:tcPr>
            <w:tcW w:w="2720" w:type="dxa"/>
            <w:vAlign w:val="bottom"/>
          </w:tcPr>
          <w:p>
            <w:pPr>
              <w:ind w:left="20"/>
              <w:spacing w:after="0" w:line="189" w:lineRule="exact"/>
              <w:rPr>
                <w:sz w:val="20"/>
                <w:szCs w:val="20"/>
                <w:color w:val="auto"/>
              </w:rPr>
            </w:pPr>
            <w:r>
              <w:rPr>
                <w:rFonts w:ascii="Arial" w:cs="Arial" w:eastAsia="Arial" w:hAnsi="Arial"/>
                <w:sz w:val="18"/>
                <w:szCs w:val="18"/>
                <w:color w:val="auto"/>
              </w:rPr>
              <w:t>Bingham</w:t>
            </w:r>
          </w:p>
        </w:tc>
        <w:tc>
          <w:tcPr>
            <w:tcW w:w="2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c/o SV Health Investors, 71</w:t>
            </w:r>
          </w:p>
        </w:tc>
        <w:tc>
          <w:tcPr>
            <w:tcW w:w="2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Managing Partner;</w:t>
            </w:r>
          </w:p>
        </w:tc>
        <w:tc>
          <w:tcPr>
            <w:tcW w:w="360" w:type="dxa"/>
            <w:vAlign w:val="bottom"/>
          </w:tcPr>
          <w:p>
            <w:pPr>
              <w:spacing w:after="0"/>
              <w:rPr>
                <w:sz w:val="16"/>
                <w:szCs w:val="16"/>
                <w:color w:val="auto"/>
              </w:rPr>
            </w:pPr>
          </w:p>
        </w:tc>
        <w:tc>
          <w:tcPr>
            <w:tcW w:w="1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SV Health Investors, 71</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United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Kingsway, London WC2B</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International life sciences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Kingsway, London WC2B</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Kingdom</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6ST United Kingdom</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venture capital investments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6ST United Kingdom</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80" w:type="dxa"/>
            <w:vAlign w:val="bottom"/>
            <w:gridSpan w:val="2"/>
          </w:tcPr>
          <w:p>
            <w:pPr>
              <w:spacing w:after="0"/>
              <w:rPr>
                <w:sz w:val="20"/>
                <w:szCs w:val="20"/>
                <w:color w:val="auto"/>
              </w:rPr>
            </w:pPr>
            <w:r>
              <w:rPr>
                <w:rFonts w:ascii="Arial" w:cs="Arial" w:eastAsia="Arial" w:hAnsi="Arial"/>
                <w:sz w:val="18"/>
                <w:szCs w:val="18"/>
                <w:color w:val="auto"/>
              </w:rPr>
              <w:t>Eugene Hill</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 SV Health Investors, One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Managing Partner;</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SV Health Investors, One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Boston Place, 201</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International life sciences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Boston Place, 201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Washington Street, Suite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venture capital investments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Washington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3900, Boston,</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Street, Suite 3900, Boston,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MA 02108</w:t>
            </w: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MA 02108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Thomas Flynn</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 SV Health Investors, One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Managing Partner;</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SV Health Investors, One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Boston Place, 201</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International life sciences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Boston Place, 201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Washington Street, Suite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venture capital investments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Washington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3900, Boston,</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Street, Suite 3900, Boston,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MA 02108</w:t>
            </w: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MA 02108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Michael Ross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 SV Health Investors, One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Managing Partner;</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SV Health Investors, One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Boston Place, 201</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International life sciences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Boston Place, 201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Washington Street, Suite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venture capital investments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Washington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3900, Boston,</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Street, Suite 3900, Boston,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MA 02108</w:t>
            </w: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MA 02108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Paul LaViolette</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 SV Health Investors, One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Managing Partner;</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SV Health Investors, One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Boston Place, 201</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International life sciences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Boston Place, 201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Washington Street, Suite</w:t>
            </w:r>
          </w:p>
        </w:tc>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venture capital investments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Washington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3900, Boston,</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Street, Suite 3900, Boston,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MA 02108</w:t>
            </w: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MA 02108</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2021-02-16T16:08:52Z</dcterms:created>
  <dcterms:modified xsi:type="dcterms:W3CDTF">2021-02-16T16:08:52Z</dcterms:modified>
</cp:coreProperties>
</file>