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48669dposam.htm"/>
        <w:bookmarkStart w:id="1" w:name="ksd948669dposam"/>
        <w:bookmarkEnd w:id="0"/>
        <w:bookmarkEnd w:id="1"/>
        <w:r>
          <w:rPr>
            <w:rStyle w:val="InternetLink"/>
            <w:b/>
            <w:sz w:val="20"/>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July 7, 2025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No. 333-280909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33"/>
        </w:rPr>
      </w:pPr>
      <w:r>
        <w:rPr>
          <w:rFonts w:ascii="Times New Roman" w:hAnsi="Times New Roman"/>
          <w:b/>
          <w:sz w:val="33"/>
        </w:rPr>
        <w:t xml:space="preserve">UNITED STATES </w:t>
      </w:r>
    </w:p>
    <w:p>
      <w:pPr>
        <w:pStyle w:val="TextBody"/>
        <w:bidi w:val="0"/>
        <w:spacing w:before="0" w:after="0"/>
        <w:jc w:val="center"/>
        <w:rPr>
          <w:rFonts w:ascii="Times New Roman" w:hAnsi="Times New Roman"/>
          <w:b/>
          <w:sz w:val="33"/>
        </w:rPr>
      </w:pPr>
      <w:r>
        <w:rPr>
          <w:rFonts w:ascii="Times New Roman" w:hAnsi="Times New Roman"/>
          <w:b/>
          <w:sz w:val="33"/>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33"/>
        </w:rPr>
      </w:pPr>
      <w:r>
        <w:rPr>
          <w:rFonts w:ascii="Times New Roman" w:hAnsi="Times New Roman"/>
          <w:b/>
          <w:sz w:val="33"/>
        </w:rPr>
        <w:t xml:space="preserve">POST-EFFECTIVE AMENDMENT NO. 2 </w:t>
      </w:r>
    </w:p>
    <w:p>
      <w:pPr>
        <w:pStyle w:val="TextBody"/>
        <w:bidi w:val="0"/>
        <w:spacing w:before="0" w:after="0"/>
        <w:jc w:val="center"/>
        <w:rPr>
          <w:rFonts w:ascii="Times New Roman" w:hAnsi="Times New Roman"/>
          <w:b/>
          <w:sz w:val="33"/>
        </w:rPr>
      </w:pPr>
      <w:r>
        <w:rPr>
          <w:rFonts w:ascii="Times New Roman" w:hAnsi="Times New Roman"/>
          <w:b/>
          <w:sz w:val="33"/>
        </w:rPr>
        <w:t xml:space="preserve">TO </w:t>
      </w:r>
    </w:p>
    <w:p>
      <w:pPr>
        <w:pStyle w:val="TextBody"/>
        <w:bidi w:val="0"/>
        <w:spacing w:before="0" w:after="0"/>
        <w:jc w:val="center"/>
        <w:rPr>
          <w:rFonts w:ascii="Times New Roman" w:hAnsi="Times New Roman"/>
          <w:b/>
          <w:sz w:val="33"/>
        </w:rPr>
      </w:pPr>
      <w:r>
        <w:rPr>
          <w:rFonts w:ascii="Times New Roman" w:hAnsi="Times New Roman"/>
          <w:b/>
          <w:sz w:val="33"/>
        </w:rPr>
        <w:t xml:space="preserve">FORM S-1 </w:t>
      </w:r>
    </w:p>
    <w:p>
      <w:pPr>
        <w:pStyle w:val="TextBody"/>
        <w:bidi w:val="0"/>
        <w:spacing w:before="0" w:after="0"/>
        <w:jc w:val="center"/>
        <w:rPr>
          <w:rFonts w:ascii="Times New Roman" w:hAnsi="Times New Roman"/>
          <w:b/>
          <w:sz w:val="33"/>
        </w:rPr>
      </w:pPr>
      <w:r>
        <w:rPr>
          <w:rFonts w:ascii="Times New Roman" w:hAnsi="Times New Roman"/>
          <w:b/>
          <w:sz w:val="33"/>
        </w:rPr>
        <w:t xml:space="preserve">ON </w:t>
      </w:r>
    </w:p>
    <w:p>
      <w:pPr>
        <w:pStyle w:val="TextBody"/>
        <w:bidi w:val="0"/>
        <w:spacing w:before="0" w:after="0"/>
        <w:jc w:val="center"/>
        <w:rPr>
          <w:rFonts w:ascii="Times New Roman" w:hAnsi="Times New Roman"/>
          <w:b/>
          <w:sz w:val="33"/>
        </w:rPr>
      </w:pPr>
      <w:r>
        <w:rPr>
          <w:rFonts w:ascii="Times New Roman" w:hAnsi="Times New Roman"/>
          <w:b/>
          <w:sz w:val="33"/>
        </w:rPr>
        <w:t xml:space="preserve">FORM S-3 </w:t>
      </w:r>
    </w:p>
    <w:p>
      <w:pPr>
        <w:pStyle w:val="TextBody"/>
        <w:bidi w:val="0"/>
        <w:spacing w:before="0" w:after="0"/>
        <w:jc w:val="center"/>
        <w:rPr>
          <w:rFonts w:ascii="Times New Roman" w:hAnsi="Times New Roman"/>
          <w:b/>
          <w:sz w:val="33"/>
        </w:rPr>
      </w:pPr>
      <w:r>
        <w:rPr>
          <w:rFonts w:ascii="Times New Roman" w:hAnsi="Times New Roman"/>
          <w:b/>
          <w:sz w:val="33"/>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42"/>
        </w:rPr>
      </w:pPr>
      <w:r>
        <w:rPr>
          <w:rFonts w:ascii="Times New Roman" w:hAnsi="Times New Roman"/>
          <w:b/>
          <w:sz w:val="42"/>
        </w:rPr>
        <w:t xml:space="preserve">Tectonic Therapeutic, Inc.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81-0710585</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No.)</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40" w:after="0"/>
        <w:jc w:val="center"/>
        <w:rPr>
          <w:rFonts w:ascii="Times New Roman" w:hAnsi="Times New Roman"/>
          <w:b/>
          <w:sz w:val="17"/>
        </w:rPr>
      </w:pPr>
      <w:r>
        <w:rPr>
          <w:rFonts w:ascii="Times New Roman" w:hAnsi="Times New Roman"/>
          <w:b/>
          <w:sz w:val="17"/>
        </w:rPr>
        <w:t xml:space="preserve">490 Arsenal Way </w:t>
      </w:r>
    </w:p>
    <w:p>
      <w:pPr>
        <w:pStyle w:val="TextBody"/>
        <w:bidi w:val="0"/>
        <w:spacing w:before="0" w:after="0"/>
        <w:jc w:val="center"/>
        <w:rPr>
          <w:rFonts w:ascii="Times New Roman" w:hAnsi="Times New Roman"/>
          <w:b/>
          <w:sz w:val="17"/>
        </w:rPr>
      </w:pPr>
      <w:r>
        <w:rPr>
          <w:rFonts w:ascii="Times New Roman" w:hAnsi="Times New Roman"/>
          <w:b/>
          <w:sz w:val="17"/>
        </w:rPr>
        <w:t xml:space="preserve">Suite 210 </w:t>
      </w:r>
    </w:p>
    <w:p>
      <w:pPr>
        <w:pStyle w:val="TextBody"/>
        <w:bidi w:val="0"/>
        <w:spacing w:before="0" w:after="0"/>
        <w:jc w:val="center"/>
        <w:rPr>
          <w:rFonts w:ascii="Times New Roman" w:hAnsi="Times New Roman"/>
          <w:b/>
          <w:sz w:val="17"/>
        </w:rPr>
      </w:pPr>
      <w:r>
        <w:rPr>
          <w:rFonts w:ascii="Times New Roman" w:hAnsi="Times New Roman"/>
          <w:b/>
          <w:sz w:val="17"/>
        </w:rPr>
        <w:t xml:space="preserve">Watertown, MA 02472 (339) 666-3320 </w:t>
      </w:r>
    </w:p>
    <w:p>
      <w:pPr>
        <w:pStyle w:val="TextBody"/>
        <w:bidi w:val="0"/>
        <w:spacing w:before="0" w:after="0"/>
        <w:jc w:val="center"/>
        <w:rPr>
          <w:rFonts w:ascii="Times New Roman" w:hAnsi="Times New Roman"/>
          <w:b/>
          <w:sz w:val="17"/>
        </w:rPr>
      </w:pPr>
      <w:r>
        <w:rPr>
          <w:rFonts w:ascii="Times New Roman" w:hAnsi="Times New Roman"/>
          <w:b/>
          <w:sz w:val="17"/>
        </w:rPr>
        <w:t xml:space="preserve">(I.R.S. Employer Identification Number)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17"/>
        </w:rPr>
      </w:pPr>
      <w:r>
        <w:rPr>
          <w:rFonts w:ascii="Times New Roman" w:hAnsi="Times New Roman"/>
          <w:b/>
          <w:sz w:val="17"/>
        </w:rPr>
        <w:t xml:space="preserve">Daniel Lochner </w:t>
      </w:r>
    </w:p>
    <w:p>
      <w:pPr>
        <w:pStyle w:val="TextBody"/>
        <w:bidi w:val="0"/>
        <w:spacing w:before="0" w:after="0"/>
        <w:jc w:val="center"/>
        <w:rPr>
          <w:rFonts w:ascii="Times New Roman" w:hAnsi="Times New Roman"/>
          <w:b/>
          <w:sz w:val="17"/>
        </w:rPr>
      </w:pPr>
      <w:r>
        <w:rPr>
          <w:rFonts w:ascii="Times New Roman" w:hAnsi="Times New Roman"/>
          <w:b/>
          <w:sz w:val="17"/>
        </w:rPr>
        <w:t xml:space="preserve">Chief Financial Officer </w:t>
      </w:r>
    </w:p>
    <w:p>
      <w:pPr>
        <w:pStyle w:val="TextBody"/>
        <w:bidi w:val="0"/>
        <w:spacing w:before="0" w:after="0"/>
        <w:jc w:val="center"/>
        <w:rPr>
          <w:rFonts w:ascii="Times New Roman" w:hAnsi="Times New Roman"/>
          <w:b/>
          <w:sz w:val="17"/>
        </w:rPr>
      </w:pPr>
      <w:r>
        <w:rPr>
          <w:rFonts w:ascii="Times New Roman" w:hAnsi="Times New Roman"/>
          <w:b/>
          <w:sz w:val="17"/>
        </w:rPr>
        <w:t xml:space="preserve">490 Arsenal Way </w:t>
      </w:r>
    </w:p>
    <w:p>
      <w:pPr>
        <w:pStyle w:val="TextBody"/>
        <w:bidi w:val="0"/>
        <w:spacing w:before="0" w:after="0"/>
        <w:jc w:val="center"/>
        <w:rPr>
          <w:rFonts w:ascii="Times New Roman" w:hAnsi="Times New Roman"/>
          <w:b/>
          <w:sz w:val="17"/>
        </w:rPr>
      </w:pPr>
      <w:r>
        <w:rPr>
          <w:rFonts w:ascii="Times New Roman" w:hAnsi="Times New Roman"/>
          <w:b/>
          <w:sz w:val="17"/>
        </w:rPr>
        <w:t xml:space="preserve">Suite 210 </w:t>
      </w:r>
    </w:p>
    <w:p>
      <w:pPr>
        <w:pStyle w:val="TextBody"/>
        <w:bidi w:val="0"/>
        <w:spacing w:before="0" w:after="0"/>
        <w:jc w:val="center"/>
        <w:rPr>
          <w:rFonts w:ascii="Times New Roman" w:hAnsi="Times New Roman"/>
          <w:b/>
          <w:sz w:val="17"/>
        </w:rPr>
      </w:pPr>
      <w:r>
        <w:rPr>
          <w:rFonts w:ascii="Times New Roman" w:hAnsi="Times New Roman"/>
          <w:b/>
          <w:sz w:val="17"/>
        </w:rPr>
        <w:t xml:space="preserve">Watertown, MA 02472 (339) 666-3320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i/>
          <w:sz w:val="17"/>
        </w:rPr>
      </w:pPr>
      <w:r>
        <w:rPr>
          <w:rFonts w:ascii="Times New Roman" w:hAnsi="Times New Roman"/>
          <w:b/>
          <w:i/>
          <w:sz w:val="17"/>
        </w:rPr>
        <w:t xml:space="preserve">Copies to: </w:t>
      </w:r>
    </w:p>
    <w:p>
      <w:pPr>
        <w:pStyle w:val="TextBody"/>
        <w:bidi w:val="0"/>
        <w:spacing w:before="40" w:after="0"/>
        <w:jc w:val="center"/>
        <w:rPr>
          <w:rFonts w:ascii="Times New Roman" w:hAnsi="Times New Roman"/>
          <w:b/>
          <w:sz w:val="17"/>
        </w:rPr>
      </w:pPr>
      <w:r>
        <w:rPr>
          <w:rFonts w:ascii="Times New Roman" w:hAnsi="Times New Roman"/>
          <w:b/>
          <w:sz w:val="17"/>
        </w:rPr>
        <w:t xml:space="preserve">Divakar S. Gupta </w:t>
      </w:r>
    </w:p>
    <w:p>
      <w:pPr>
        <w:pStyle w:val="TextBody"/>
        <w:bidi w:val="0"/>
        <w:spacing w:before="0" w:after="0"/>
        <w:jc w:val="center"/>
        <w:rPr>
          <w:rFonts w:ascii="Times New Roman" w:hAnsi="Times New Roman"/>
          <w:b/>
          <w:sz w:val="17"/>
        </w:rPr>
      </w:pPr>
      <w:r>
        <w:rPr>
          <w:rFonts w:ascii="Times New Roman" w:hAnsi="Times New Roman"/>
          <w:b/>
          <w:sz w:val="17"/>
        </w:rPr>
        <w:t xml:space="preserve">Brandon Fenn </w:t>
      </w:r>
    </w:p>
    <w:p>
      <w:pPr>
        <w:pStyle w:val="TextBody"/>
        <w:bidi w:val="0"/>
        <w:spacing w:before="0" w:after="0"/>
        <w:jc w:val="center"/>
        <w:rPr>
          <w:rFonts w:ascii="Times New Roman" w:hAnsi="Times New Roman"/>
          <w:b/>
          <w:sz w:val="17"/>
        </w:rPr>
      </w:pPr>
      <w:r>
        <w:rPr>
          <w:rFonts w:ascii="Times New Roman" w:hAnsi="Times New Roman"/>
          <w:b/>
          <w:sz w:val="17"/>
        </w:rPr>
        <w:t xml:space="preserve">Minkyu Park </w:t>
      </w:r>
    </w:p>
    <w:p>
      <w:pPr>
        <w:pStyle w:val="TextBody"/>
        <w:bidi w:val="0"/>
        <w:spacing w:before="0" w:after="0"/>
        <w:jc w:val="center"/>
        <w:rPr>
          <w:rFonts w:ascii="Times New Roman" w:hAnsi="Times New Roman"/>
          <w:b/>
          <w:sz w:val="17"/>
        </w:rPr>
      </w:pPr>
      <w:r>
        <w:rPr>
          <w:rFonts w:ascii="Times New Roman" w:hAnsi="Times New Roman"/>
          <w:b/>
          <w:sz w:val="17"/>
        </w:rPr>
        <w:t xml:space="preserve">Cooley LLP </w:t>
      </w:r>
    </w:p>
    <w:p>
      <w:pPr>
        <w:pStyle w:val="TextBody"/>
        <w:bidi w:val="0"/>
        <w:spacing w:before="0" w:after="0"/>
        <w:jc w:val="center"/>
        <w:rPr>
          <w:rFonts w:ascii="Times New Roman" w:hAnsi="Times New Roman"/>
          <w:b/>
          <w:sz w:val="17"/>
        </w:rPr>
      </w:pPr>
      <w:r>
        <w:rPr>
          <w:rFonts w:ascii="Times New Roman" w:hAnsi="Times New Roman"/>
          <w:b/>
          <w:sz w:val="17"/>
        </w:rPr>
        <w:t xml:space="preserve">55 Hudson Yards </w:t>
      </w:r>
    </w:p>
    <w:p>
      <w:pPr>
        <w:pStyle w:val="TextBody"/>
        <w:bidi w:val="0"/>
        <w:spacing w:before="0" w:after="0"/>
        <w:jc w:val="center"/>
        <w:rPr>
          <w:rFonts w:ascii="Times New Roman" w:hAnsi="Times New Roman"/>
          <w:b/>
          <w:sz w:val="17"/>
        </w:rPr>
      </w:pPr>
      <w:r>
        <w:rPr>
          <w:rFonts w:ascii="Times New Roman" w:hAnsi="Times New Roman"/>
          <w:b/>
          <w:sz w:val="17"/>
        </w:rPr>
        <w:t xml:space="preserve">New York, New York 10001 </w:t>
      </w:r>
    </w:p>
    <w:p>
      <w:pPr>
        <w:pStyle w:val="TextBody"/>
        <w:bidi w:val="0"/>
        <w:spacing w:before="0" w:after="0"/>
        <w:jc w:val="center"/>
        <w:rPr>
          <w:rFonts w:ascii="Times New Roman" w:hAnsi="Times New Roman"/>
          <w:b/>
          <w:sz w:val="17"/>
        </w:rPr>
      </w:pPr>
      <w:r>
        <w:rPr>
          <w:rFonts w:ascii="Times New Roman" w:hAnsi="Times New Roman"/>
          <w:b/>
          <w:sz w:val="17"/>
        </w:rPr>
        <w:t xml:space="preserve">(212) 479-6000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left"/>
        <w:rPr>
          <w:rFonts w:ascii="Times New Roman" w:hAnsi="Times New Roman"/>
          <w:sz w:val="17"/>
        </w:rPr>
      </w:pPr>
      <w:r>
        <w:rPr>
          <w:rFonts w:ascii="Times New Roman" w:hAnsi="Times New Roman"/>
          <w:b/>
          <w:sz w:val="17"/>
        </w:rPr>
        <w:t xml:space="preserve">Approximate Date of Commencement of Proposed Sale to the Public: </w:t>
      </w:r>
      <w:r>
        <w:rPr>
          <w:rFonts w:ascii="Times New Roman" w:hAnsi="Times New Roman"/>
          <w:sz w:val="17"/>
        </w:rPr>
        <w:t xml:space="preserve">From time to time after the effective date of this registration statement. </w:t>
      </w:r>
    </w:p>
    <w:p>
      <w:pPr>
        <w:pStyle w:val="TextBody"/>
        <w:bidi w:val="0"/>
        <w:spacing w:before="4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bidi w:val="0"/>
        <w:spacing w:before="4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4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4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4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4"/>
        <w:gridCol w:w="104"/>
        <w:gridCol w:w="4818"/>
        <w:gridCol w:w="136"/>
        <w:gridCol w:w="2626"/>
        <w:gridCol w:w="104"/>
        <w:gridCol w:w="273"/>
      </w:tblGrid>
      <w:tr>
        <w:trPr/>
        <w:tc>
          <w:tcPr>
            <w:tcW w:w="2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1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c>
          <w:tcPr>
            <w:tcW w:w="214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c>
          <w:tcPr>
            <w:tcW w:w="21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4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July 19, 2024, Tectonic Therapeutic, Inc., a Delaware corporation (the Company), filed a Registration Statement on Form S-1, which was subsequently declared effective by the Securities and Exchange Commission (the SEC) on July 30, 2024, and amended by Post-Effective Amendment No. 1, which was filed on March 27, 2025 and subsequently declared effective by the SEC on April 3, 2025 (as amended,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No. 2 to the Registration Statement is being filed by the Registrant to (i) convert the Registration Statement into a registration statement on Form S-3 (the Post-Effective Amendment) and (ii) update certain information regarding the securities being offered pursuant to the prospectus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included in this filing amends the Registration Statement and the prospectus contained therein. No additional securities are being registered under this Post-Effective Amendment. All applicable registration fees were paid at the time of the original filing of the Registration Statement.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7, 2025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346835" cy="355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6835" cy="3556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Up to 2,969,583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proposed offer and resale or other disposition from time to time by the selling stockholders identified in this prospectus of up to an aggregate of 2,969,583 shares of common stock, par value $0.0001 per share, of Tectonic Therapeutic, Inc.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registering the resale of the shares of common stock pursuant to the selling stockholders registration rights under the subscription agreement among us and the selling stockholders, dated January 30, 2024 (the Subscription Agreement).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which may involve crosses or block transactions. The shares of common stock may be sold in one or more transactions at fixed prices, at prevailing market prices at the time of the sale, at varying prices determined at the time of sale or at negotiated prices. See the section entitled </w:t>
      </w:r>
      <w:r>
        <w:rPr>
          <w:rFonts w:ascii="Times New Roman" w:hAnsi="Times New Roman"/>
          <w:i/>
          <w:sz w:val="20"/>
        </w:rPr>
        <w:t>Plan of Distribution</w:t>
      </w:r>
      <w:r>
        <w:rPr>
          <w:rFonts w:ascii="Times New Roman" w:hAnsi="Times New Roman"/>
          <w:sz w:val="20"/>
        </w:rPr>
        <w:t xml:space="preserve"> for more information.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except for any underwriting discounts and commissions or transfer taxes relating to the sale of common stock, which will be borne by the selling stockholders.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Market (Nasdaq) under the symbol TECX. On July 3, 2025, the closing price for our common stock, as reported on Nasdaq, was $21.34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See the section entitled </w:t>
      </w:r>
      <w:hyperlink w:anchor="toc948669_5">
        <w:r>
          <w:rPr>
            <w:rStyle w:val="InternetLink"/>
            <w:rFonts w:ascii="Times New Roman" w:hAnsi="Times New Roman"/>
            <w:b/>
            <w:sz w:val="24"/>
          </w:rPr>
          <w:t>Risk Factors</w:t>
        </w:r>
      </w:hyperlink>
      <w:r>
        <w:rPr>
          <w:rFonts w:ascii="Times New Roman" w:hAnsi="Times New Roman"/>
          <w:b/>
          <w:sz w:val="24"/>
        </w:rPr>
        <w:t xml:space="preserve"> beginning on page 6 of this prospectus to read about factors you should consider before buying our securities. </w:t>
      </w:r>
    </w:p>
    <w:p>
      <w:pPr>
        <w:pStyle w:val="TextBody"/>
        <w:bidi w:val="0"/>
        <w:spacing w:before="240" w:after="0"/>
        <w:ind w:left="960" w:right="960" w:hanging="0"/>
        <w:jc w:val="left"/>
        <w:rPr>
          <w:rFonts w:ascii="Times New Roman" w:hAnsi="Times New Roman"/>
          <w:sz w:val="20"/>
        </w:rPr>
      </w:pPr>
      <w:r>
        <w:rPr>
          <w:rFonts w:ascii="Times New Roman" w:hAnsi="Times New Roman"/>
          <w:b/>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 w:hAnsi="Times New Roman"/>
          <w:sz w:val="20"/>
        </w:rPr>
        <w:t xml:space="preserv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2025. </w:t>
      </w:r>
    </w:p>
    <w:p>
      <w:pPr>
        <w:pStyle w:val="TextBody"/>
        <w:bidi w:val="0"/>
        <w:spacing w:before="0" w:after="0"/>
        <w:ind w:left="960" w:right="960" w:hanging="0"/>
        <w:jc w:val="left"/>
        <w:rPr/>
      </w:pPr>
      <w:r>
        <w:rPr/>
        <w:t>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948669_1">
              <w:r>
                <w:rPr>
                  <w:rStyle w:val="InternetLink"/>
                  <w:rFonts w:ascii="Times New Roman" w:hAnsi="Times New Roman"/>
                  <w:sz w:val="20"/>
                </w:rPr>
                <w:t xml:space="preserve">ABOUT THIS PROSPECTUS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2">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4">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8">
              <w:r>
                <w:rPr>
                  <w:rStyle w:val="InternetLink"/>
                  <w:rFonts w:ascii="Times New Roman" w:hAnsi="Times New Roman"/>
                  <w:sz w:val="20"/>
                </w:rPr>
                <w:t>DESCRIPTION OF CAPITAL STOCK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9">
              <w:r>
                <w:rPr>
                  <w:rStyle w:val="InternetLink"/>
                  <w:rFonts w:ascii="Times New Roman" w:hAnsi="Times New Roman"/>
                  <w:sz w:val="20"/>
                </w:rPr>
                <w:t>MATERIAL UNITED STATES FEDERAL INCOME TAX CONSIDERATIONS TO NON-U.S. HOLDERS OF OUR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11">
              <w:r>
                <w:rPr>
                  <w:rStyle w:val="InternetLink"/>
                  <w:rFonts w:ascii="Times New Roman" w:hAnsi="Times New Roman"/>
                  <w:sz w:val="20"/>
                </w:rPr>
                <w:t xml:space="preserve">LEGAL MATTERS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1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948669_14">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provided in this prospectus, as well as the information incorporated by reference to exhibits to the registration statement of which this prospectus forms a part and any applicable prospectus supplement or amendment. Neither we nor the selling stockholders have authorized anyone to provide you with different information. Neither we nor the selling stockholders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filed as exhibits to the registration statement of which this prospectus forms a part, our business, financial condition, results of operations and prospects may have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948669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by the selling stockholders identified in this prospectus under the caption Selling Stockholders, from time to time, of up to an aggregate of 2,969,583 shares of common stock. We are not selling any shares of common stock under this prospectus, and we will not receive any proceeds from the sale of shares of common stock offered hereby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Company, we, our and us refer, collectively to Tectonic Therapeutic, Inc., a Delaware corporation, and its consolidated subsidiaries (including Tectonic Operating Company, Inc., previously Tectonic Therapeutic, Inc., referred to as Legacy Tectonic). </w:t>
      </w:r>
    </w:p>
    <w:p>
      <w:pPr>
        <w:pStyle w:val="TextBody"/>
        <w:bidi w:val="0"/>
        <w:spacing w:before="240" w:after="0"/>
        <w:jc w:val="left"/>
        <w:rPr>
          <w:rFonts w:ascii="Times New Roman" w:hAnsi="Times New Roman"/>
          <w:sz w:val="20"/>
        </w:rPr>
      </w:pPr>
      <w:r>
        <w:rPr>
          <w:rFonts w:ascii="Times New Roman" w:hAnsi="Times New Roman"/>
          <w:sz w:val="20"/>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948669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and/or incorporates by reference statements that are not historical facts and are considered forward-looking within the meaning of Section 27A of the Securities Act of 1933, as amended (the Securities Act), and Section 21E of the Securities Exchange Act of 1934, as amended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 may, might, plan, possible, potential, predict, project, should, will, would and similar expressions or negative of these terms may identify forward- looking statements, but the absence of these words does not mean that a statement is not forward-looking. Forward-looking statements in this prospectus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progress, scope or timing of the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surrounding the potential safety, efficacy, and regulatory and clinical progress of TX45, TX2100 and any other product candidates, and our anticipated milestones and timing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that may be derived from any of our future products, if approved, or the commercial or market opportunity with respect to any of our future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operations, financial position, ability to raise capital to fund our operations, revenues, costs or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regarding our future economic conditions or performance, statements of belief and any statement of assumptions underlying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to us at the time of this prospectus or the documents incorporated by reference herein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 looking statements, including those set forth in this prospectus in the section entitled Risk Factors and in our periodic filings with the Securities and Exchange Commission (the SEC). Our SEC filings are available publicly on the SECs website at www.sec.gov. 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 Should one or more of the risks or uncertainties described in this prospectus, or should underlying assumptions prove incorrect, actual results and plans could differ materially from those expressed in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any accompanying prospectus supplement if any, completely and with the understanding that our actual future results, levels of activity and performance as well as other events and circumstances may be materially different from what we expect. Except as otherwise required by applicable law, we disclaim any duty to update any forward-looking statements, all of which are expressly qualified by the statements in this section, to reflect events or circumstances after the date of this prospectus.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948669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or incorporated by reference in this prospectus, and does not contain all of the information that you should consider in making your investment decision. Before investing in our securities, you should carefully read this entire prospectus, including the risks of investing in our securities under the section titled Risk Factors contained in this prospectus and any applicable prospectus supplement, and under similar headings in the other documents that are incorporated by reference in this prospectus. You should also carefully read the information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this trial, TX45 was well-tolerated with no drug-related severe adverse events, no observed immunogenicity and demonstrated a favorable PK/PD relationship. Renal plasma flow was measured in each patient at several time points as a PD marker. This data was used to develop an exposure-response model which enabled the selection of doses for the APEX Phase 2 trial.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currently evaluating TX45 in a Phase 1b Part B hemodynamic clinical trial and in the APEX Phase 2 clinical trial. Part A of the TX45 Phase 1b hemodynamic clinical trial was a single intravenous dose, open-label clinical trial that evaluated the safety, tolerability, and acute hemodynamic effects of TX45 in subjects with Group 2 Pulmonary Hypertension in Heart Failure with preserved Ejection Fraction (PH-HFpEF). Part B which is still enrolling has a similar design but is being conducted in subjects with Group 2 Pulmonary Hypertension in Heart Failure with reduced Ejection Fraction (PH-HFrEF). APEX is a 24-week, placebo-controlled trial designed to evaluate the safety and efficacy of TX45 administered subcutaneously (SC) in subjects with PH-HFpEF.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2025, we announced the complete results from Part A of the Phase 1b clinical trial of TX45 in subjects with PH-HFpEF. The complete data from Part A confirmed the tolerability and hemodynamic effects of TX45 in patients with PH-HFpEF previously reported in the interim data. Based on the complete dataset, TX45 was well-tolerated in subjects with PH-HFpEF with no serious or severe adverse events. In the overall study population, TX45 achieved a 19.0% reduction in pulmonary capillary wedge pressure (PCWP), an endpoint known to correlate with exercise capacity, morbidity and mortality in patients with heart failure. In the subpopulation with combined pre- and post-capillary pulmonary hypertension who have an elevated Pulmonary Vascular Resistance (PVR) and more severe disease, TX45 demonstrated &gt;30% reduction in PVR, which along with PCWP is correlated to exercise capacity and mortality in this patient population. The Phase 1b Part A clinical trial enrolled a patient population and evaluated hemodynamic endpoints which are similar to the ongoing APEX Phase 2 clinical trial. We dosed our first patient in the APEX Phase 2 clinical trial in October 2024. Subjects will be randomized to 300 mg SC once monthly of TX45, 300 mg SC once every other week of TX45, or placebo. We expect topline trial results from the APEX clinical trial in 2026. Part B of the Phase 1b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which is assessing the acute hemodynamic effects of TX45 in subjects with Group 2 PH-HFrEF enrolled its first patient in the first half of 2025 with data expected to be announced in the second half of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evaluating TX002100 (TX2100) as our second development candidate for the treatment of Hereditary Hemorrhagic Telangiectasia (HHT), the second most common genetic bleeding disorder with no current approved therapy. TX2100 is a VHH-Fc fusion antagonist antibody that binds to an undisclosed GPCR target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Investigational New Drug (IND)-enabling non-human primate good laboratory practices toxicology studies and technical development activities to generate good manufacturing practice drug supply and drug product for TX2100 started in the second quarter of 2025. We expect to initiate a Phase 1 clinical trial for TX2100 in the fourth quarter of 2025 or the first quarter of 2026, subject to the results of IND enabling studies.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490 Arsenal Way, Suite 210, Watertown, Massachusetts 02472, and our telephone number is (339) 666-3320. Our website address is www.tectonictx.com. We do not incorporate the information on or accessible through our website into this prospectus, and you should not consider any information on, or that can be accessed through, our website as part of this prospectus. Our common stock is listed on Nasdaq under the symbol TECX.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Exchange Act.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the information in this prospectus and that we provide to our investors in the future may be different than what you might receive from other public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oc948669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9" w:type="dxa"/>
            <w:tcBorders/>
          </w:tcPr>
          <w:p>
            <w:pPr>
              <w:pStyle w:val="TableContents"/>
              <w:bidi w:val="0"/>
              <w:spacing w:before="0" w:after="283"/>
              <w:jc w:val="left"/>
              <w:rPr/>
            </w:pPr>
            <w:r>
              <w:rPr/>
              <w:t xml:space="preserve">Tectonic Therapeutic,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the Selling Stockholders </w:t>
            </w:r>
          </w:p>
        </w:tc>
        <w:tc>
          <w:tcPr>
            <w:tcW w:w="6329" w:type="dxa"/>
            <w:tcBorders/>
          </w:tcPr>
          <w:p>
            <w:pPr>
              <w:pStyle w:val="TableContents"/>
              <w:bidi w:val="0"/>
              <w:spacing w:before="0" w:after="283"/>
              <w:jc w:val="left"/>
              <w:rPr/>
            </w:pPr>
            <w:r>
              <w:rPr/>
              <w:t xml:space="preserve">Up to an aggregate of 2,969,583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Outstanding </w:t>
            </w:r>
          </w:p>
        </w:tc>
        <w:tc>
          <w:tcPr>
            <w:tcW w:w="6328" w:type="dxa"/>
            <w:tcBorders/>
          </w:tcPr>
          <w:p>
            <w:pPr>
              <w:pStyle w:val="TableContents"/>
              <w:bidi w:val="0"/>
              <w:spacing w:before="0" w:after="283"/>
              <w:jc w:val="left"/>
              <w:rPr/>
            </w:pPr>
            <w:r>
              <w:rPr/>
              <w:t xml:space="preserve">18,671,229 shares of common stock as of March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All of the shares of common stock offered by the selling stockholders pursuant to this prospectus will be sold by the selling stockholders for their respective accounts. We will not receive any proceeds from the sale of the shares of common stock covered by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6327" w:type="dxa"/>
            <w:tcBorders/>
          </w:tcPr>
          <w:p>
            <w:pPr>
              <w:pStyle w:val="TableContents"/>
              <w:bidi w:val="0"/>
              <w:spacing w:before="0" w:after="283"/>
              <w:jc w:val="left"/>
              <w:rPr/>
            </w:pPr>
            <w:r>
              <w:rPr/>
              <w:t xml:space="preserve">TECX.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Price </w:t>
            </w:r>
          </w:p>
        </w:tc>
        <w:tc>
          <w:tcPr>
            <w:tcW w:w="6328" w:type="dxa"/>
            <w:tcBorders/>
          </w:tcPr>
          <w:p>
            <w:pPr>
              <w:pStyle w:val="TableContents"/>
              <w:bidi w:val="0"/>
              <w:spacing w:before="0" w:after="283"/>
              <w:jc w:val="left"/>
              <w:rPr/>
            </w:pPr>
            <w:r>
              <w:rPr/>
              <w:t xml:space="preserve">The selling stockholders will offer the shares of common stock offered by this prospectus at the prevailing market prices or at privately negotiated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You should read the Risk Factors section of this prospectus for a discussion of factors to consider carefully before deciding to invest in shares of our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concerning the offering, see </w:t>
      </w:r>
      <w:r>
        <w:rPr>
          <w:rFonts w:ascii="Times New Roman" w:hAnsi="Times New Roman"/>
          <w:i/>
          <w:sz w:val="20"/>
          <w:bdr w:val="single" w:sz="8" w:space="1" w:color="000000"/>
        </w:rPr>
        <w:t>Plan of Distribution</w:t>
      </w:r>
      <w:r>
        <w:rPr>
          <w:rFonts w:ascii="Times New Roman" w:hAnsi="Times New Roman"/>
          <w:sz w:val="20"/>
          <w:bdr w:val="single" w:sz="8" w:space="1" w:color="000000"/>
        </w:rPr>
        <w:t xml:space="preserve"> beginning on page 19.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issued and outstanding shares of common stock as of March 31, 2025 excludes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1,791,232 shares of common stock issuable upon the exercise of outstanding stock options at a weighted average exercise price of $19.32 under our 2019 and 2024 Equity Incentive Plan as of March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31,891 shares of common stock issuable upon the exercise of outstanding options at a weighted average exercise price of $40.80 under the AVROBIO, Inc. 2018 Equity Incentive Plan as of March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181,987 shares of common stock issuable upon the settlement of outstanding restricted stock units as of March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1,227,159 shares of common stock reserved for future issuance under our 2024 Equity Incentive Plan as of March 31, 2025;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295,906 shares of common stock reserved for future issuance under our 2024 Employee Stock Purchase Plan as of March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948669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We operate in a dynamic and rapidly changing industry that involves numerous risks and uncertainties. If any of these risks actually occur, it may materially harm our business, financial condition, liquidity and results of operations. As a result, the market price of our securities could decline, and you could lose all or part of your investment. Additional risks and uncertainties not presently known to us or that we currently believe to be immaterial may become material and adversely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94866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offered by the selling stockholders pursuant to this prospectus will be sold by the selling stockholders for their respective accounts. We will not receive any proceeds from any sales of shares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948669_7"/>
      <w:bookmarkEnd w:id="9"/>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acquired shares of common stock from us in the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upon the exchange of shares of Legacy Tectonic acquired from Legacy Tectonic immediately prior to the Merger pursuant to an exemption from registration under Section 4(a)(2) of the Securities Act. Under the Subscription Agreement that we assumed in the Merger, we agreed to file a registration statement with the SEC for the purposes of registering for resale from time to time the shares of common stock. </w:t>
      </w:r>
    </w:p>
    <w:p>
      <w:pPr>
        <w:pStyle w:val="TextBody"/>
        <w:bidi w:val="0"/>
        <w:spacing w:before="240" w:after="0"/>
        <w:jc w:val="left"/>
        <w:rPr>
          <w:rFonts w:ascii="Times New Roman" w:hAnsi="Times New Roman"/>
          <w:sz w:val="20"/>
        </w:rPr>
      </w:pPr>
      <w:r>
        <w:rPr>
          <w:rFonts w:ascii="Times New Roman" w:hAnsi="Times New Roman"/>
          <w:sz w:val="20"/>
        </w:rPr>
        <w:t>The table below lists the selling stockholders and other information regarding their ownership of the shares of common stock offered hereby. The second column lists the number of shares of common stock beneficially owned by the selling stockholders as of July 6, 2024 immediately following consummation of the Merger.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third column lists the shares of common stock being offered by this prospectus by the selling stockholders. The fourth column assumes the sale of all of the shares of common stock offered by the selling stockholders pursuant to this prospectus. The selling stockholders may sell all, some or none of their shares of common stock in this offering.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14,734,325 shares of common stock outstanding as of July 6, 2024. </w:t>
      </w:r>
    </w:p>
    <w:p>
      <w:pPr>
        <w:pStyle w:val="TextBody"/>
        <w:bidi w:val="0"/>
        <w:spacing w:before="0" w:after="0"/>
        <w:jc w:val="left"/>
        <w:rPr/>
      </w:pPr>
      <w:r>
        <w:rPr/>
        <w:t> </w:t>
      </w:r>
    </w:p>
    <w:tbl>
      <w:tblPr>
        <w:tblW w:w="10920" w:type="dxa"/>
        <w:jc w:val="center"/>
        <w:tblInd w:w="0" w:type="dxa"/>
        <w:tblLayout w:type="fixed"/>
        <w:tblCellMar>
          <w:top w:w="0" w:type="dxa"/>
          <w:left w:w="0" w:type="dxa"/>
          <w:bottom w:w="0" w:type="dxa"/>
          <w:right w:w="0" w:type="dxa"/>
        </w:tblCellMar>
      </w:tblPr>
      <w:tblGrid>
        <w:gridCol w:w="4340"/>
        <w:gridCol w:w="60"/>
        <w:gridCol w:w="138"/>
        <w:gridCol w:w="1847"/>
        <w:gridCol w:w="60"/>
        <w:gridCol w:w="60"/>
        <w:gridCol w:w="131"/>
        <w:gridCol w:w="1749"/>
        <w:gridCol w:w="60"/>
        <w:gridCol w:w="60"/>
        <w:gridCol w:w="75"/>
        <w:gridCol w:w="800"/>
        <w:gridCol w:w="60"/>
        <w:gridCol w:w="60"/>
        <w:gridCol w:w="180"/>
        <w:gridCol w:w="965"/>
        <w:gridCol w:w="275"/>
      </w:tblGrid>
      <w:tr>
        <w:trPr/>
        <w:tc>
          <w:tcPr>
            <w:tcW w:w="4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340" w:type="dxa"/>
            <w:vMerge w:val="restart"/>
            <w:tcBorders/>
            <w:vAlign w:val="bottom"/>
          </w:tcPr>
          <w:p>
            <w:pPr>
              <w:pStyle w:val="TableContents"/>
              <w:bidi w:val="0"/>
              <w:spacing w:before="0" w:after="283"/>
              <w:jc w:val="left"/>
              <w:rPr>
                <w:b/>
              </w:rPr>
            </w:pPr>
            <w:r>
              <w:rPr>
                <w:b/>
              </w:rPr>
              <w:t>Name and Address of Selling Stockholders</w:t>
            </w:r>
          </w:p>
        </w:tc>
        <w:tc>
          <w:tcPr>
            <w:tcW w:w="60" w:type="dxa"/>
            <w:vMerge w:val="restart"/>
            <w:tcBorders/>
            <w:vAlign w:val="bottom"/>
          </w:tcPr>
          <w:p>
            <w:pPr>
              <w:pStyle w:val="TableContents"/>
              <w:bidi w:val="0"/>
              <w:spacing w:before="0" w:after="283"/>
              <w:jc w:val="left"/>
              <w:rPr/>
            </w:pPr>
            <w:r>
              <w:rPr/>
              <w:t> </w:t>
            </w:r>
          </w:p>
        </w:tc>
        <w:tc>
          <w:tcPr>
            <w:tcW w:w="198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 Shares</w:t>
              <w:br/>
              <w:t>Beneficially Owned</w:t>
              <w:br/>
              <w:t>Before the Offering</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88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 Shares</w:t>
              <w:br/>
              <w:t>that May Be</w:t>
              <w:br/>
              <w:t>Offered Hereby</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 After the</w:t>
              <w:br/>
              <w:t>Offering</w:t>
            </w:r>
          </w:p>
        </w:tc>
        <w:tc>
          <w:tcPr>
            <w:tcW w:w="275" w:type="dxa"/>
            <w:tcBorders/>
            <w:vAlign w:val="bottom"/>
          </w:tcPr>
          <w:p>
            <w:pPr>
              <w:pStyle w:val="TableContents"/>
              <w:bidi w:val="0"/>
              <w:spacing w:before="0" w:after="283"/>
              <w:jc w:val="left"/>
              <w:rPr/>
            </w:pPr>
            <w:r>
              <w:rPr/>
              <w:t> </w:t>
            </w:r>
          </w:p>
        </w:tc>
      </w:tr>
      <w:tr>
        <w:trPr/>
        <w:tc>
          <w:tcPr>
            <w:tcW w:w="434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98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88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r>
      <w:tr>
        <w:trPr/>
        <w:tc>
          <w:tcPr>
            <w:tcW w:w="4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Advisor Series VII: Fidelity Advisor Biotechnology Fund(1)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47" w:type="dxa"/>
            <w:tcBorders/>
            <w:shd w:fill="CCEEFF" w:val="clear"/>
            <w:vAlign w:val="bottom"/>
          </w:tcPr>
          <w:p>
            <w:pPr>
              <w:pStyle w:val="TableContents"/>
              <w:bidi w:val="0"/>
              <w:spacing w:before="0" w:after="283"/>
              <w:jc w:val="right"/>
              <w:rPr/>
            </w:pPr>
            <w:r>
              <w:rPr/>
              <w:t>72,841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72,841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Fidelity Growth Company Commingled</w:t>
              <w:br/>
              <w:t>Pool(1)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47" w:type="dxa"/>
            <w:tcBorders/>
            <w:vAlign w:val="bottom"/>
          </w:tcPr>
          <w:p>
            <w:pPr>
              <w:pStyle w:val="TableContents"/>
              <w:bidi w:val="0"/>
              <w:spacing w:before="0" w:after="283"/>
              <w:jc w:val="right"/>
              <w:rPr/>
            </w:pPr>
            <w:r>
              <w:rPr/>
              <w:t>400,394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400,394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4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Mt. Vernon Street Trust: Fidelity Growth Company Fund(1)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47" w:type="dxa"/>
            <w:tcBorders/>
            <w:shd w:fill="CCEEFF" w:val="clear"/>
            <w:vAlign w:val="bottom"/>
          </w:tcPr>
          <w:p>
            <w:pPr>
              <w:pStyle w:val="TableContents"/>
              <w:bidi w:val="0"/>
              <w:spacing w:before="0" w:after="283"/>
              <w:jc w:val="right"/>
              <w:rPr/>
            </w:pPr>
            <w:r>
              <w:rPr/>
              <w:t>230,656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230,656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Fidelity Mt. Vernon Street Trust: Fidelity Growth Company K6 Fund(1)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47" w:type="dxa"/>
            <w:tcBorders/>
            <w:vAlign w:val="bottom"/>
          </w:tcPr>
          <w:p>
            <w:pPr>
              <w:pStyle w:val="TableContents"/>
              <w:bidi w:val="0"/>
              <w:spacing w:before="0" w:after="283"/>
              <w:jc w:val="right"/>
              <w:rPr/>
            </w:pPr>
            <w:r>
              <w:rPr/>
              <w:t>94,586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94,586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4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Mt. Vernon Street Trust: Fidelity Series Growth Company Fund(1)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47" w:type="dxa"/>
            <w:tcBorders/>
            <w:shd w:fill="CCEEFF" w:val="clear"/>
            <w:vAlign w:val="bottom"/>
          </w:tcPr>
          <w:p>
            <w:pPr>
              <w:pStyle w:val="TableContents"/>
              <w:bidi w:val="0"/>
              <w:spacing w:before="0" w:after="283"/>
              <w:jc w:val="right"/>
              <w:rPr/>
            </w:pPr>
            <w:r>
              <w:rPr/>
              <w:t>63,553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63,553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Fidelity Select Portfolios: Biotechnology Portfolio(1)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47" w:type="dxa"/>
            <w:tcBorders/>
            <w:vAlign w:val="bottom"/>
          </w:tcPr>
          <w:p>
            <w:pPr>
              <w:pStyle w:val="TableContents"/>
              <w:bidi w:val="0"/>
              <w:spacing w:before="0" w:after="283"/>
              <w:jc w:val="right"/>
              <w:rPr/>
            </w:pPr>
            <w:r>
              <w:rPr/>
              <w:t>215,508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215,508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4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5AM Opportunities II, L.P.(2)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47" w:type="dxa"/>
            <w:tcBorders/>
            <w:shd w:fill="CCEEFF" w:val="clear"/>
            <w:vAlign w:val="bottom"/>
          </w:tcPr>
          <w:p>
            <w:pPr>
              <w:pStyle w:val="TableContents"/>
              <w:bidi w:val="0"/>
              <w:spacing w:before="0" w:after="283"/>
              <w:jc w:val="right"/>
              <w:rPr/>
            </w:pPr>
            <w:r>
              <w:rPr/>
              <w:t>646,524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646,524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EcoR1(3)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47" w:type="dxa"/>
            <w:tcBorders/>
            <w:vAlign w:val="bottom"/>
          </w:tcPr>
          <w:p>
            <w:pPr>
              <w:pStyle w:val="TableContents"/>
              <w:bidi w:val="0"/>
              <w:spacing w:before="0" w:after="283"/>
              <w:jc w:val="right"/>
              <w:rPr/>
            </w:pPr>
            <w:r>
              <w:rPr/>
              <w:t>838,749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573,139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265,610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1.4</w:t>
            </w:r>
          </w:p>
        </w:tc>
        <w:tc>
          <w:tcPr>
            <w:tcW w:w="275" w:type="dxa"/>
            <w:tcBorders/>
            <w:vAlign w:val="bottom"/>
          </w:tcPr>
          <w:p>
            <w:pPr>
              <w:pStyle w:val="TableContents"/>
              <w:bidi w:val="0"/>
              <w:spacing w:before="0" w:after="283"/>
              <w:jc w:val="left"/>
              <w:rPr/>
            </w:pPr>
            <w:r>
              <w:rPr/>
              <w:t>% </w:t>
            </w:r>
          </w:p>
        </w:tc>
      </w:tr>
      <w:tr>
        <w:trPr/>
        <w:tc>
          <w:tcPr>
            <w:tcW w:w="4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Farallon(4)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47" w:type="dxa"/>
            <w:tcBorders/>
            <w:shd w:fill="CCEEFF" w:val="clear"/>
            <w:vAlign w:val="bottom"/>
          </w:tcPr>
          <w:p>
            <w:pPr>
              <w:pStyle w:val="TableContents"/>
              <w:bidi w:val="0"/>
              <w:spacing w:before="0" w:after="283"/>
              <w:jc w:val="right"/>
              <w:rPr/>
            </w:pPr>
            <w:r>
              <w:rPr/>
              <w:t>431,014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431,014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The Stuart Partners, LLC(5)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47" w:type="dxa"/>
            <w:tcBorders/>
            <w:vAlign w:val="bottom"/>
          </w:tcPr>
          <w:p>
            <w:pPr>
              <w:pStyle w:val="TableContents"/>
              <w:bidi w:val="0"/>
              <w:spacing w:before="0" w:after="283"/>
              <w:jc w:val="right"/>
              <w:rPr/>
            </w:pPr>
            <w:r>
              <w:rPr/>
              <w:t>215,508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right"/>
              <w:rPr/>
            </w:pPr>
            <w:r>
              <w:rPr/>
              <w:t>215,508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4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GC&amp;H Investments(6)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47" w:type="dxa"/>
            <w:tcBorders/>
            <w:shd w:fill="CCEEFF" w:val="clear"/>
            <w:vAlign w:val="bottom"/>
          </w:tcPr>
          <w:p>
            <w:pPr>
              <w:pStyle w:val="TableContents"/>
              <w:bidi w:val="0"/>
              <w:spacing w:before="0" w:after="283"/>
              <w:jc w:val="right"/>
              <w:rPr/>
            </w:pPr>
            <w:r>
              <w:rPr/>
              <w:t>25,860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49" w:type="dxa"/>
            <w:tcBorders/>
            <w:shd w:fill="CCEEFF" w:val="clear"/>
            <w:vAlign w:val="bottom"/>
          </w:tcPr>
          <w:p>
            <w:pPr>
              <w:pStyle w:val="TableContents"/>
              <w:bidi w:val="0"/>
              <w:spacing w:before="0" w:after="283"/>
              <w:jc w:val="right"/>
              <w:rPr/>
            </w:pPr>
            <w:r>
              <w:rPr/>
              <w:t>25,860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646,524 shares of common stock held by 5AM Opportunities II, L.P. (Opportunities II). 5AM Opportunities II (GP), LLC (Opportunities II GP) is the sole general partner of Opportunities II. Dr. Kush M. Parmar and Andrew J. Schwab are the managing members of Opportunities II GP and may be deemed to have shared voting and investment power over the securities beneficially owned by Opportunities II. Each of Opportunities II GP, Dr. Parmar, and Mr. Schwab disclaims beneficial ownership of such securities except to the extent of its or his respective pecuniary interest therein. The address of the above persons and entities is 4 Embarcadero Center, Suite 3110, San Francisco, CA 94111.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55,535 shares of common stock held by EcoR1 Capital Fund, L.P. (Capital Fund) and (ii) 783,214 shares of common stock held by EcoR1 Capital Fund Qualified, L.P. (Qualified Fund). EcoR1 Capital LLC (EcoR1) is the general partner of Capital Fund and Qualified Fund. Oleg Nodelman is the control person of EcoR1 and may be deemed to share dispositive voting power over the shares held by Qualified Fund and Capital Fund. Mr. Nodelman and EcoR1 each disclaim beneficial ownership of all shares except to the extent of their pecuniary interest. The address of the above person and entities is 357 Tehama Street #3, San Francisco, CA 94103.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88,961 shares of common stock held by Farallon Capital Partners, L.P. (FCP), (ii) 66,937 shares of common stock held by Farallon Capital Institutional Partners, L.P. (FCIP), (iii) 23,835 shares of common stock held by Farallon Capital Institutional Partners II, L.P. (FCIP II), (iv) 8,706 shares of common stock held by Farallon Capital Institutional Partners III, L.P. (FCIP III), (v) 14,870 shares of common stock held by Four Crossings Institutional Partners V, L.P. (FCIP V), (vi) 167,622 shares of common stock held by Farallon Capital Offshore Investors II, L.P. (FCOI II), (vii) 11,508 shares of common stock held by Farallon Capital (AM) Investors, L.P. (FCAMI), and (viii) 48,575 shares of common stock held by Farallon Capital F5 Master I, L.P. (F5 MI and, together with FCP, FCIP, FCIP II, FCIP III, FCIP V, FCOI II, and FCAMI, the Farallon Funds). Farallon Partners, L.L.C. (the Farallon General Partner), as the general partner of each of FCP, FCIP, FCIP II, FCIP III, FCOI II and FCAMI, may be deemed a beneficial owner of the shares held by FCP, FCIP, FCIP II, FCIP III, FCOI II and FCAMI. Farallon Institutional (GP) V, L.L.C. (the FCIP V General Partner), as the general partner of FCIP V, may be deemed a beneficial owner of the shares held by FCIP V. Farallon F5 (GP), L.L.C. (the F5MI General Partner), as the general partner of F5 MI, may be deemed a beneficial owner of the shares held by F5 MI. Each of Joshua J. Dapice, Philip D. Dreyfuss, Hannah E. Dunn, Richard B. Fried, Varun N. Gehani, Nicolas Giauque, David T. Kim, Michael G. Linn, Patrick (Cheng) Luo, Rajiv A. Patel, Thomas G. Roberts, Jr., Edric C. Saito, William Seybold, Daniel S. Short, Andrew J. M. Spokes, John R. Warren and Mark C. Wehrly (collectively, the Farallon Managing Members), as a senior managing member or managing member, as the case may be, of the Farallon General Partner, and a manager or senior manager, as the case may be, of the FCIP V General Partner and the F5MI General Partner, in each case with the power to exercise investment discretion, may be deemed a beneficial owner of all such shares held by the Farallon Funds. Each of the Farallon General Partner, the FCIP V General Partner, the F5MI General Partner, and the Farallon Managing Members hereby disclaims any beneficial ownership of such shares. The address of the above persons and entities is One Maritime Plaza, Suite 2100, San Francisco, CA 94111.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215,508 shares of common stock held by The Stuart Partners, LLC (Stuart Partners). Anastasios Parafestas is the sole managing member of Stuart Partners and exercises sole voting and dispositive power over the securities beneficially owned by Stuart Partners. Mr. Parafestas disclaims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beneficial ownership of such securities except to the extent of his pecuniary interest therein. The address of the above person and entity is One Joy Street, Boston, MA 02108.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10,775 shares of common stock held by GC&amp;H Investments, L.P. (GC&amp;H) and (ii) 15,085 shares of common stock held by GC&amp;H Investments A5, L.P. (GC&amp;H A5). Jordan Silber, Mark Tanoury, Peter Werner, Derek Colla, Kenneth Guernsey are the control persons of GC&amp;H and GC&amp;H A5 and may be deemed to share dispositive voting power over the shares held by GC&amp;H and GC&amp;H A5. The address of the above persons and entities is 3 Embarcadero Center, 20th Floor, San Francisco, CA 94111.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948669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capital stock and provisions of our charter and bylaws are summaries and are qualified by reference to such charter and bylaws and applicable provisions of Delaware corporate law. Copies of these documents are filed as exhibits to the registration statement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150,000,000 shares of common stock, par value $0.0001 per share, and 10,000,000 shares of preferred stock, par value $0.0001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receive dividends ratably, if any, as may be declared by our Board out of legally available funds, subject to any preferential dividend rights of any our preferred stock then outstanding </w:t>
      </w:r>
    </w:p>
    <w:p>
      <w:pPr>
        <w:pStyle w:val="TextBody"/>
        <w:bidi w:val="0"/>
        <w:spacing w:before="360" w:after="0"/>
        <w:jc w:val="left"/>
        <w:rPr>
          <w:rFonts w:ascii="Times New Roman" w:hAnsi="Times New Roman"/>
          <w:i/>
          <w:sz w:val="20"/>
        </w:rPr>
      </w:pPr>
      <w:r>
        <w:rPr>
          <w:rFonts w:ascii="Times New Roman" w:hAnsi="Times New Roman"/>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of our common stock held of record for the election of directors of the Company and on all matters submitted to a vote of the stockholders. The holders of our common stock do not have any cumulative voting rights.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Companys dissolution, liquidation or winding up, holders of our common stock are entitled to share ratably in all assets remaining after payment of all debts and other liabilities and any liquidation preference of any outstanding preferred stock. All outstanding shares are fully paid and non-assessable.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not entitled to preemptive, subscription, redemption or conversion rights, and no sinking fund provisions are applicable to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for 10,000,000 authorized shares of preferred stock. The existence of authorized but unissued shares of preferred stock may enable the Board to discourage an attempt to obtain control of the Company by means of a merger, tender offer, proxy contest or otherwise. For example, if in the due exercise of its fiduciary obligations, the Board were to determine that a takeover proposal is not in the best interests of the Company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Delaware Law and Provisions of the Companys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DGCL and of the Companys charter and bylaws could have the effect of delaying, deferring or discouraging another party from acquiring control of the Company.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the Company to first negotiate with the Board. These provisions might also have the effect of preventing changes in our management. It is possible that these provisions could make it more difficult to accomplish transactions that stockholders might otherwise deem to be in their best interests. However, the Company holds that the advantages gained by protecting its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or by any direct or indirect majority-owned subsidiary of the corporation of any stock of the corporation or any subsidiary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or any direct or indirect majority- owned subsidiary of the corporation that has the effect of increasing the proportionate share of the stock of any class or series of the corporation or of any subsidiary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or any direct or indirect majority-owned subsidiary.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 </w:t>
      </w:r>
    </w:p>
    <w:p>
      <w:pPr>
        <w:pStyle w:val="TextBody"/>
        <w:bidi w:val="0"/>
        <w:spacing w:before="360" w:after="0"/>
        <w:jc w:val="left"/>
        <w:rPr>
          <w:rFonts w:ascii="Times New Roman" w:hAnsi="Times New Roman"/>
          <w:i/>
          <w:sz w:val="20"/>
        </w:rPr>
      </w:pPr>
      <w:r>
        <w:rPr>
          <w:rFonts w:ascii="Times New Roman" w:hAnsi="Times New Roman"/>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for the division of the Board into three classes serving staggered three-year terms, with one class being elected each year. Our charter also provides that directors may be removed only for cause and then only by the affirmative vote of the holders of two-thirds or more of the shares then entitled to vote at an election of directors. Furthermore, any vacancy on the Board, however occurring, including a vacancy resulting from an increase in the size of the Board, may only be filled by the affirmative vote of a majority of directors then in office even if less than a quorum. The classification of directors, together with the limitations on removal of directors and treatment of vacancies, has the effect of making it more difficult for stockholders to change the composition of the Board. </w:t>
      </w:r>
    </w:p>
    <w:p>
      <w:pPr>
        <w:pStyle w:val="TextBody"/>
        <w:bidi w:val="0"/>
        <w:spacing w:before="360" w:after="0"/>
        <w:jc w:val="left"/>
        <w:rPr>
          <w:rFonts w:ascii="Times New Roman" w:hAnsi="Times New Roman"/>
          <w:i/>
          <w:sz w:val="20"/>
        </w:rPr>
      </w:pPr>
      <w:r>
        <w:rPr>
          <w:rFonts w:ascii="Times New Roman" w:hAnsi="Times New Roman"/>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the Companys bylaws or removal of directors by stockholders without holding a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Meetings of Stockholder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only a majority of the members of the Board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Company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1" w:name="toc948669_9"/>
      <w:bookmarkEnd w:id="11"/>
      <w:r>
        <w:rPr>
          <w:rFonts w:ascii="Times New Roman" w:hAnsi="Times New Roman"/>
          <w:b/>
          <w:sz w:val="20"/>
        </w:rPr>
        <w:t xml:space="preserve">MATERIAL UNITED STATES FEDERAL INCOME TAX CONSIDERATIONS TO NON-U.S. </w:t>
      </w:r>
    </w:p>
    <w:p>
      <w:pPr>
        <w:pStyle w:val="TextBody"/>
        <w:bidi w:val="0"/>
        <w:spacing w:before="0" w:after="0"/>
        <w:jc w:val="center"/>
        <w:rPr>
          <w:rFonts w:ascii="Times New Roman" w:hAnsi="Times New Roman"/>
          <w:b/>
          <w:sz w:val="20"/>
        </w:rPr>
      </w:pPr>
      <w:r>
        <w:rPr>
          <w:rFonts w:ascii="Times New Roman" w:hAnsi="Times New Roman"/>
          <w:b/>
          <w:sz w:val="20"/>
        </w:rPr>
        <w:t xml:space="preserve">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the material U.S. federal income tax consequences of the ownership and disposition of our common stock acquired in this offering by Non-U.S. Holders (as defined below). This discussion is not a complete analysis of all potential U.S. federal income tax consequences relevant to a Non-U.S. Holders particular circumstances, and does not deal with non-U.S., state and local tax consequences that may be relevant to Non-U.S. Holders, nor does it address any U.S. federal tax consequences (such as gift and estate taxes) other than income taxes. Special rules different from those described below may apply to certain Non-U.S. Holders that are subject to special treatment under the U.S. Internal Revenue Code of 1986, as amended, or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and certain electing traders in securities who mark their securities positions to market for U.S.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U.S. citizens or long-term residents,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corporations organized outside of the United States, any state thereof or the District of Columbia that are nonetheless treated as U.S. income taxpayers for U.S.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as part of a straddle, conversion transaction, synthetic security, integrated investment or other risk reduction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the federal Medicare contribution tax on net investment income or the special tax accounting rules under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 our common stock through the exercise of an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and other pass-through entities or arrangements, and investors in such pass-through entities or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Non-U.S. Holders are urged to consult their tax advisors to determine the U.S. federal, state, local and other tax consequences that may be relevant to them.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discussion assumes that the Non-U.S. Holder holds our common stock as a capital asset within the meaning of Section 1221 of the Code (generally, property held for investment). Furthermore, the discussion below is based upon the provisions of the Code, Treasury regulations promulgated thereunder, rulings and judicial decisions, in each case as of the date hereof, and such authorities may be repealed, revoked or modified, perhaps retroactively, so as to result in U.S. federal income tax consequences different from those discussed below. We have not requested a ruling from the U.S. Internal Revenue Service, or the IRS, with respect to the statements made and the conclusions reached in the following summary, and there can be no assurance that the IRS will agree with such statements and conclusions.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Persons considering the purchase of our common stock pursuant to this offering should consult their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non-U.S.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discussion, a Non-U.S. Holder is, for U.S. federal income tax purposes, a beneficial owner of common stock that is neither a U.S. Person, nor a partnership (or other entity or arrangement treated as a partnership for U.S. federal income tax purposes regardless of its place of organization or formation). A U.S. Person means any person that is,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United States persons (within the meaning of Code Section 7701(a)(30)) have the authority to control all substantial decisions of the trust or (2) has a valid election in effect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a beneficial owner of our common stock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our common stock through another pass-through entity should consult his, her or its tax advisor regarding the tax consequences of the ownership and disposition of our common stock through a partnership or other pass-through entity, as applicable. </w:t>
      </w:r>
    </w:p>
    <w:p>
      <w:pPr>
        <w:pStyle w:val="TextBody"/>
        <w:bidi w:val="0"/>
        <w:spacing w:before="240" w:after="0"/>
        <w:jc w:val="left"/>
        <w:rPr>
          <w:rFonts w:ascii="Times New Roman" w:hAnsi="Times New Roman"/>
          <w:sz w:val="20"/>
        </w:rPr>
      </w:pPr>
      <w:r>
        <w:rPr>
          <w:rFonts w:ascii="Times New Roman" w:hAnsi="Times New Roman"/>
          <w:i/>
          <w:sz w:val="20"/>
        </w:rPr>
        <w:t>Distributions</w:t>
      </w:r>
      <w:r>
        <w:rPr>
          <w:rFonts w:ascii="Times New Roman" w:hAnsi="Times New Roman"/>
          <w:sz w:val="20"/>
        </w:rPr>
        <w:t xml:space="preserve">. Distributions, if any, made on our common stock to a Non-U.S. Holder to the extent made out of our current or accumulated earnings and profits (as determined under U.S. federal income tax principles) generally will constitute dividends for U.S. federal income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or the applicable withholding agent with a properly executed IRS Form W-8BEN (in the case of individuals) or IRS Form W-8BEN-E (in the case of entities), or other appropriate form, certifying the Non-U.S. Holders entitlement to benefits under that treaty and, in certain circumstances, providing such Non-U.S. Holders U.S. taxpayer identification number and/or foreign tax identifying number. This certification must be provided prior to the payment of dividends and must be updated periodically. In the case of a Non-U.S. Holder that is an entity, Treasury regulations and the relevant income tax treaty provide rules to determine whether, for purposes of determining the applicability of an income tax treaty, dividends will be treated as paid to the entity or to those holding an interest in that entity. If a Non-U.S. Holder holds our common stock through a financial institution or other agent acting on its behalf, it will be required to provide appropriate documentation to such agent, which will then be required to provide certification to the applicable withholding agent, either directly or through other intermediaries. If the Non-U.S. Holder is eligible for a reduced rate of U.S. federal withholding tax under an income tax treaty and does not timely file the required certification, it may be able to obtain a refund or credit of any excess amounts withheld by timely filing an appropriate claim for a refund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We and other applicable withholding agents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it maintains in the United States) if a properly executed IRS Form W-8ECI, stating that the dividends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connected, is furnished to the applicable withholding agent prior to the payment of such dividends.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distributions on our common stock, if any, exceed our current and accumulated earnings and profits, they will first reduce the Non-U.S. Holders adjusted basis in our common stock, but not below zero, and then will be treated as capital gain to the extent of any excess, and taxed in the same manner as gain realized from a sale or other disposition of common stock as described in the next section. </w:t>
      </w:r>
    </w:p>
    <w:p>
      <w:pPr>
        <w:pStyle w:val="TextBody"/>
        <w:bidi w:val="0"/>
        <w:spacing w:before="240" w:after="0"/>
        <w:jc w:val="left"/>
        <w:rPr>
          <w:rFonts w:ascii="Times New Roman" w:hAnsi="Times New Roman"/>
          <w:sz w:val="20"/>
        </w:rPr>
      </w:pPr>
      <w:r>
        <w:rPr>
          <w:rFonts w:ascii="Times New Roman" w:hAnsi="Times New Roman"/>
          <w:i/>
          <w:sz w:val="20"/>
        </w:rPr>
        <w:t>Gain on Disposition of Our Common Stock</w:t>
      </w:r>
      <w:r>
        <w:rPr>
          <w:rFonts w:ascii="Times New Roman" w:hAnsi="Times New Roman"/>
          <w:sz w:val="20"/>
        </w:rPr>
        <w:t xml:space="preserve">. Subject to the discussions below regarding backup withholding and foreign accounts, a Non-U.S. Holder generally will not be subject to U.S. federal income tax with respect to gain realized on a sale or other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of the Non-U.S. Holder in the United States (and, if required by an applicable income tax treaty, is attributable to a permanent establishment or fixed base that such Non-U.S. Holder maintains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and is present in the United States for 183 or more days in the taxable year of the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or USRPHC, within the meaning of Code Section 897(c)(2) at any time within the shorter of the five-year period preceding such disposition and such Non-U.S. Holders holding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we would be a USRPHC if the aggregate fair market value of our United States real property interests (within the meaning of Code Section 897(c)(1)), or USRPIs, equaled or exceeded fifty percent (50%) of the combined fair market value of our USRPIs, our non-U.S. real property interests and our other business assets. We believe that we have not been and are not, and do not anticipate becoming, a USRPHC. Even if we are or were to become a USRPHC, gain realized by a Non-U.S. Holder on a disposition of our common stock will not be subject to U.S. federal income tax under the provisions applicable to USRPIs so long as our common stock is regularly traded, as defined by applicable Treasury regulations, on an established securities market. There can be no assurance that we are not or will not become a USRPHC or that our common stock will qualify as regularly traded on an established securities market. </w:t>
      </w:r>
    </w:p>
    <w:p>
      <w:pPr>
        <w:pStyle w:val="TextBody"/>
        <w:bidi w:val="0"/>
        <w:spacing w:before="240" w:after="0"/>
        <w:jc w:val="left"/>
        <w:rPr>
          <w:rFonts w:ascii="Times New Roman" w:hAnsi="Times New Roman"/>
          <w:sz w:val="20"/>
        </w:rPr>
      </w:pPr>
      <w:r>
        <w:rPr>
          <w:rFonts w:ascii="Times New Roman" w:hAnsi="Times New Roman"/>
          <w:sz w:val="20"/>
        </w:rPr>
        <w:t xml:space="preserve">Non-U.S. Holders described in (a) above will be required to pay tax on the gain derived from the sale or other taxable disposition at regular U.S. federal income tax rates applicable to U.S. Persons, and corporate Non-U.S. Holders described in (a) above may, in addition, be subject to a branch profits tax at a 30% rate or such lower rate as may be specified by an applicable income tax treaty, as adjusted for certain items. A Non-U.S. Holder described in (b) above will be subject to U.S. federal income tax at a flat 30% rate, or such lower rate as may be specified by an applicable income tax treaty, on gain realized upon the sale or other taxable disposition, which gain may be offset by certain U.S.-source capital losses of the Non-U.S. Holder (even though the Non-U.S. Holder is not considered a resident of the United States), provided that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i/>
          <w:sz w:val="20"/>
        </w:rPr>
        <w:t xml:space="preserve">Information Reporting Requirements and Backup Withholding. </w:t>
      </w:r>
      <w:r>
        <w:rPr>
          <w:rFonts w:ascii="Times New Roman" w:hAnsi="Times New Roman"/>
          <w:sz w:val="20"/>
        </w:rPr>
        <w:t xml:space="preserve">Generally, we or an applicable withholding agent will be required to report information to the IRS with respect to any distributions we pay on our common stock (even if the payments are exempt from withholding), including the amount of any such distributions, the name and address of the recipient, and the amount, if any, of tax withheld. A similar report is sent to the Non-U.S. Holder to whom any such distributions are paid. Pursuant to tax treaties or certain other agreements, the IRS may make its reports available to tax authorities in the recipients country of residence.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Distributions to a Non-U.S. Holder that are classified as dividends paid by us may also be subject to U.S. backup withholding currently at a rate of 24%. U.S. backup withholding generally will not apply to a Non-U.S. Holder who provides a properly executed IRS Form W-8BEN, IRS Form W-8BEN-E, or IRS Form W-8ECI, or otherwise establishes an exemption. Notwithstanding the foregoing, backup withholding may apply if the applicable payor has actual knowledge, or reason to know, that the Non-U.S.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U.S. information reporting and backup withholding requirements generally will apply to the proceeds of a sale or other taxable disposition of our common stock effected by or through a U.S. office of any broker, U.S. or foreign, except that information reporting and such requirements may be avoided if the Non-U.S. Holder provides a properly executed IRS Form W-8BEN, IRS Form W-8BEN-E or IRS Form W-8ECI,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payor has actual knowledge, or reason to know, that the Non-U.S. Holder is, in fact, a U.S. Person. For information reporting purposes, certain brokers with substantial U.S. ownership or operations will generally be treated in a manner similar to U.S. payors.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credit against the U.S. federal income tax liability of a Non-U.S. Holder subject to backup withholding,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i/>
          <w:sz w:val="20"/>
        </w:rPr>
        <w:t>Foreign Accounts</w:t>
      </w:r>
      <w:r>
        <w:rPr>
          <w:rFonts w:ascii="Times New Roman" w:hAnsi="Times New Roman"/>
          <w:sz w:val="20"/>
        </w:rPr>
        <w:t xml:space="preserve">. Sections 1471 through 1474 of the Code and the related Treasury regulations, together with other U.S. Treasury and IRS guidance issued thereunder and intergovernmental agreements, legislation, rules and other official guidance adopted pursuant to such intergovernmental agreements (commonly referred to as FATCA) impose a U.S. federal withholding tax of 30% on certain payments to a foreign financial institution (as defined in the Code) which does not provide the withholding agent with sufficient documentation evidencing either (x) an exemption from FATCA or (y) its compliance (or deemed compliance) with FATCA (which may alternatively be in the form of compliance with an intergovernmental agreement with the United States) to withhold on certain payments and to collect and provide to the U.S. tax authorities certain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(as defined in the Code) which does not provide the withholding agent with sufficient documentation evidencing either (x) an exemption from FATCA or (y)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FATCA. Prospective investors are encouraged to consult with their own tax advisors regarding the possible implications of FATCA on their investment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withholding provisions described above generally apply to payments of dividends. Under proposed Treasury regulations, the preamble to which states that taxpayers may rely on them until final Treasury regulations are issued, this withholding tax does not apply to payments of gross proceeds from a sale or other disposition of common stock. </w:t>
      </w:r>
    </w:p>
    <w:p>
      <w:pPr>
        <w:pStyle w:val="TextBody"/>
        <w:bidi w:val="0"/>
        <w:spacing w:before="240" w:after="0"/>
        <w:jc w:val="left"/>
        <w:rPr>
          <w:rFonts w:ascii="Times New Roman" w:hAnsi="Times New Roman"/>
          <w:i/>
          <w:sz w:val="20"/>
        </w:rPr>
      </w:pPr>
      <w:r>
        <w:rPr>
          <w:rFonts w:ascii="Times New Roman" w:hAnsi="Times New Roman"/>
          <w:i/>
          <w:sz w:val="20"/>
        </w:rPr>
        <w:t xml:space="preserve">EACH PROSPECTIVE INVESTOR SHOULD CONSULT ITS OWN TAX ADVISOR REGARDING THE TAX CONSEQUENCES OF PURCHASING, HOLDING AND DISPOSING OF OUR COMMON STOCK, INCLUDING THE CONSEQUENCES OF ANY CHANGES IN APPLICABLE LAW SUBSEQUENT TO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948669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Each selling stockholder of the securities and any of their pledgees, assignees, donees, transferees or other successors-in-interest may, from time to time, sell, transfer or otherwise dispose of any or all of their securities covered hereby on the Nasdaq Global Select Market, the Nasdaq Global Market, the Nasdaq Capital Market, or the New York Stock Exchange or any other stock exchange, market or trading facility on which the securities are traded or in private transactions. These sales may be at fixed or negotiated prices. A selling stockholder may use any one or more of the following methods when selling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through broker-dealers that agree with the selling stockholders to sell a specified number of such securities at a stipulated price per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also sell securities under Rule 144 or any other exemption from registration under the Securities Act, if available, rather than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Broker-dealers engaged by the selling stockholders may arrange for other brokers-dealers to participate in sales. Broker-dealers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also may transfer the securities in other circumstances, in which case the transferees, pledgees, donees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broker-dealers or agents that are involved in selling the securities may be deemed to be underwriters within the meaning of the Securities Act in connection with such sales (it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understood that the selling stockholders shall not be deemed to be underwriters solely as a result of their participation in this offering).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pay certain fees and expenses incurred by us incident to the registration of the securities. We have agreed to indemnify the selling stockholders against certain losses, claims, damages and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agreed to keep this prospectus effective until the earlier of the date that the securities (i) have been sold, pursuant to this prospectus or pursuant to Rule 144, or (ii) the date on which the securities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sales of any shares of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stockholders will sell all or any portion of the shares of common stock offered hereby. We are registering the resale of shares of our common stock to provide the selling stockholders with freely tradable securities, but the registration of such shares does not necessarily mean that any of such shares will be offered or sold by the selling stockholders pursuant to this prospectus or at all.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may be amended and/or supplemented from time to time to describe a specific plan of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948669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common stock being offered by this prospectus has been passed upon for us by Cooley LLP, New York, New York. </w:t>
      </w:r>
    </w:p>
    <w:p>
      <w:pPr>
        <w:pStyle w:val="TextBody"/>
        <w:bidi w:val="0"/>
        <w:spacing w:before="480" w:after="0"/>
        <w:jc w:val="center"/>
        <w:rPr>
          <w:rFonts w:ascii="Times New Roman" w:hAnsi="Times New Roman"/>
          <w:b/>
          <w:sz w:val="20"/>
        </w:rPr>
      </w:pPr>
      <w:bookmarkStart w:id="14" w:name="toc948669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Tectonic Therapeutic, Inc. as of December 31, 2024 and 2023, and for the years then ended, incorporated by reference in this prospectus, have been audited by Deloitte &amp; Touche LLP, an independent registered public accounting firm, as stated in their report. Such financial statements are incorporated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15" w:name="toc948669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issuers file electronically with the SEC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make available free of charge on or through our website at www.tectonictx.com,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furnishes it to the SEC. The website addresses are inactive textual references and except as specifically incorporated by reference into this prospectus, information on those websites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948669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on Form 8-K or portions thereof furnished under Item 2.02 or Item 7.01 and exhibits filed pursuant to Item 9.01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the effectiveness of the registration statement, and (ii) after the effectiveness of the registration statement but prior to the termination of all offerings of securities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March 20, 2025 and the information specifically incorporated by reference into our Annual Report on Form 10-K for the year ended December  31, 2024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Form 10-Q</w:t>
              </w:r>
            </w:hyperlink>
            <w:r>
              <w:rPr>
                <w:rFonts w:ascii="Times New Roman" w:hAnsi="Times New Roman"/>
                <w:sz w:val="20"/>
              </w:rPr>
              <w:t xml:space="preserve"> for the quarterly period ended March 31, 2025, filed with the SEC on May 8,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6">
              <w:r>
                <w:rPr>
                  <w:rStyle w:val="InternetLink"/>
                  <w:rFonts w:ascii="Times New Roman" w:hAnsi="Times New Roman"/>
                  <w:sz w:val="20"/>
                </w:rPr>
                <w:t>January  30, 2025</w:t>
              </w:r>
            </w:hyperlink>
            <w:r>
              <w:rPr>
                <w:rFonts w:ascii="Times New Roman" w:hAnsi="Times New Roman"/>
                <w:sz w:val="20"/>
              </w:rPr>
              <w:t xml:space="preserve">, </w:t>
            </w:r>
            <w:hyperlink r:id="rId7">
              <w:r>
                <w:rPr>
                  <w:rStyle w:val="InternetLink"/>
                  <w:rFonts w:ascii="Times New Roman" w:hAnsi="Times New Roman"/>
                  <w:sz w:val="20"/>
                </w:rPr>
                <w:t>February  3, 2025</w:t>
              </w:r>
            </w:hyperlink>
            <w:r>
              <w:rPr>
                <w:rFonts w:ascii="Times New Roman" w:hAnsi="Times New Roman"/>
                <w:sz w:val="20"/>
              </w:rPr>
              <w:t xml:space="preserve">, </w:t>
            </w:r>
            <w:hyperlink r:id="rId8">
              <w:r>
                <w:rPr>
                  <w:rStyle w:val="InternetLink"/>
                  <w:rFonts w:ascii="Times New Roman" w:hAnsi="Times New Roman"/>
                  <w:sz w:val="20"/>
                </w:rPr>
                <w:t>May  19, 2025</w:t>
              </w:r>
            </w:hyperlink>
            <w:r>
              <w:rPr>
                <w:rFonts w:ascii="Times New Roman" w:hAnsi="Times New Roman"/>
                <w:sz w:val="20"/>
              </w:rPr>
              <w:t xml:space="preserve"> and </w:t>
            </w:r>
            <w:hyperlink r:id="rId9">
              <w:r>
                <w:rPr>
                  <w:rStyle w:val="InternetLink"/>
                  <w:rFonts w:ascii="Times New Roman" w:hAnsi="Times New Roman"/>
                  <w:sz w:val="20"/>
                </w:rPr>
                <w:t>June 6,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which is registered under Section  12 of the Exchange Act, described in </w:t>
            </w:r>
            <w:hyperlink r:id="rId10">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2024, filed with the SEC on March 20,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or by telephoning us at the following address or phone number: </w:t>
      </w:r>
    </w:p>
    <w:p>
      <w:pPr>
        <w:pStyle w:val="TextBody"/>
        <w:bidi w:val="0"/>
        <w:spacing w:before="240" w:after="0"/>
        <w:jc w:val="center"/>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center"/>
        <w:rPr>
          <w:rFonts w:ascii="Times New Roman" w:hAnsi="Times New Roman"/>
          <w:sz w:val="20"/>
        </w:rPr>
      </w:pPr>
      <w:r>
        <w:rPr>
          <w:rFonts w:ascii="Times New Roman" w:hAnsi="Times New Roman"/>
          <w:sz w:val="20"/>
        </w:rPr>
        <w:t xml:space="preserve">490 Arsenal Way, Suite 210 </w:t>
      </w:r>
    </w:p>
    <w:p>
      <w:pPr>
        <w:pStyle w:val="TextBody"/>
        <w:bidi w:val="0"/>
        <w:spacing w:before="0" w:after="0"/>
        <w:jc w:val="center"/>
        <w:rPr>
          <w:rFonts w:ascii="Times New Roman" w:hAnsi="Times New Roman"/>
          <w:sz w:val="20"/>
        </w:rPr>
      </w:pPr>
      <w:r>
        <w:rPr>
          <w:rFonts w:ascii="Times New Roman" w:hAnsi="Times New Roman"/>
          <w:sz w:val="20"/>
        </w:rPr>
        <w:t xml:space="preserve">Watertown, Massachusetts 02472 </w:t>
      </w:r>
    </w:p>
    <w:p>
      <w:pPr>
        <w:pStyle w:val="TextBody"/>
        <w:bidi w:val="0"/>
        <w:spacing w:before="0" w:after="0"/>
        <w:jc w:val="center"/>
        <w:rPr>
          <w:rFonts w:ascii="Times New Roman" w:hAnsi="Times New Roman"/>
          <w:sz w:val="20"/>
        </w:rPr>
      </w:pPr>
      <w:r>
        <w:rPr>
          <w:rFonts w:ascii="Times New Roman" w:hAnsi="Times New Roman"/>
          <w:sz w:val="20"/>
        </w:rPr>
        <w:t xml:space="preserve">(339) 666-3320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80490" cy="3702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380490" cy="370205"/>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28"/>
        </w:rPr>
      </w:pPr>
      <w:r>
        <w:rPr>
          <w:rFonts w:ascii="Times New Roman" w:hAnsi="Times New Roman"/>
          <w:b/>
          <w:sz w:val="28"/>
        </w:rPr>
        <w:t xml:space="preserve">Up to 2,969,583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0" w:after="0"/>
        <w:jc w:val="center"/>
        <w:rPr/>
      </w:pPr>
      <w:r>
        <w:rPr/>
        <w:t>    </w:t>
      </w:r>
      <w:r>
        <w:rPr>
          <w:rFonts w:ascii="Times New Roman" w:hAnsi="Times New Roman"/>
          <w:b/>
          <w:sz w:val="20"/>
        </w:rPr>
        <w:t xml:space="preserve">,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an estimate of the expenses (all of which are to be paid by the registrant) that we may incur in connection with the securities being registered 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7"/>
        <w:gridCol w:w="443"/>
        <w:gridCol w:w="155"/>
        <w:gridCol w:w="1140"/>
        <w:gridCol w:w="204"/>
      </w:tblGrid>
      <w:tr>
        <w:trPr/>
        <w:tc>
          <w:tcPr>
            <w:tcW w:w="4997"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997"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right"/>
              <w:rPr>
                <w:b/>
              </w:rPr>
            </w:pPr>
            <w:r>
              <w:rPr>
                <w:b/>
              </w:rPr>
              <w:t>Amount</w:t>
            </w:r>
          </w:p>
        </w:tc>
        <w:tc>
          <w:tcPr>
            <w:tcW w:w="204" w:type="dxa"/>
            <w:tcBorders/>
            <w:vAlign w:val="bottom"/>
          </w:tcPr>
          <w:p>
            <w:pPr>
              <w:pStyle w:val="TableContents"/>
              <w:bidi w:val="0"/>
              <w:spacing w:before="0" w:after="283"/>
              <w:jc w:val="left"/>
              <w:rPr/>
            </w:pPr>
            <w:r>
              <w:rPr/>
              <w:t> </w:t>
            </w:r>
          </w:p>
        </w:tc>
      </w:tr>
      <w:tr>
        <w:trPr/>
        <w:tc>
          <w:tcPr>
            <w:tcW w:w="4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4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7,350.47</w:t>
            </w:r>
          </w:p>
        </w:tc>
        <w:tc>
          <w:tcPr>
            <w:tcW w:w="204" w:type="dxa"/>
            <w:tcBorders/>
            <w:shd w:fill="CCEEFF" w:val="clear"/>
            <w:vAlign w:val="bottom"/>
          </w:tcPr>
          <w:p>
            <w:pPr>
              <w:pStyle w:val="TableContents"/>
              <w:bidi w:val="0"/>
              <w:spacing w:before="0" w:after="283"/>
              <w:jc w:val="left"/>
              <w:rPr/>
            </w:pPr>
            <w:r>
              <w:rPr/>
              <w:t>* </w:t>
            </w:r>
          </w:p>
        </w:tc>
      </w:tr>
      <w:tr>
        <w:trPr/>
        <w:tc>
          <w:tcPr>
            <w:tcW w:w="4997"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4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5,000.00</w:t>
            </w:r>
          </w:p>
        </w:tc>
        <w:tc>
          <w:tcPr>
            <w:tcW w:w="204" w:type="dxa"/>
            <w:tcBorders/>
            <w:vAlign w:val="bottom"/>
          </w:tcPr>
          <w:p>
            <w:pPr>
              <w:pStyle w:val="TableContents"/>
              <w:bidi w:val="0"/>
              <w:spacing w:before="0" w:after="283"/>
              <w:jc w:val="left"/>
              <w:rPr/>
            </w:pPr>
            <w:r>
              <w:rPr/>
              <w:t> </w:t>
            </w:r>
          </w:p>
        </w:tc>
      </w:tr>
      <w:tr>
        <w:trPr/>
        <w:tc>
          <w:tcPr>
            <w:tcW w:w="4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4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5,000.00</w:t>
            </w:r>
          </w:p>
        </w:tc>
        <w:tc>
          <w:tcPr>
            <w:tcW w:w="204" w:type="dxa"/>
            <w:tcBorders/>
            <w:shd w:fill="CCEEFF" w:val="clear"/>
            <w:vAlign w:val="bottom"/>
          </w:tcPr>
          <w:p>
            <w:pPr>
              <w:pStyle w:val="TableContents"/>
              <w:bidi w:val="0"/>
              <w:spacing w:before="0" w:after="283"/>
              <w:jc w:val="left"/>
              <w:rPr/>
            </w:pPr>
            <w:r>
              <w:rPr/>
              <w:t> </w:t>
            </w:r>
          </w:p>
        </w:tc>
      </w:tr>
      <w:tr>
        <w:trPr/>
        <w:tc>
          <w:tcPr>
            <w:tcW w:w="4997"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4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10,000.00</w:t>
            </w:r>
          </w:p>
        </w:tc>
        <w:tc>
          <w:tcPr>
            <w:tcW w:w="204" w:type="dxa"/>
            <w:tcBorders/>
            <w:vAlign w:val="bottom"/>
          </w:tcPr>
          <w:p>
            <w:pPr>
              <w:pStyle w:val="TableContents"/>
              <w:bidi w:val="0"/>
              <w:spacing w:before="0" w:after="283"/>
              <w:jc w:val="left"/>
              <w:rPr/>
            </w:pPr>
            <w:r>
              <w:rPr/>
              <w:t> </w:t>
            </w:r>
          </w:p>
        </w:tc>
      </w:tr>
      <w:tr>
        <w:trPr/>
        <w:tc>
          <w:tcPr>
            <w:tcW w:w="4997"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4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4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27,350.47</w:t>
            </w:r>
          </w:p>
        </w:tc>
        <w:tc>
          <w:tcPr>
            <w:tcW w:w="204" w:type="dxa"/>
            <w:tcBorders/>
            <w:shd w:fill="CCEEFF" w:val="clear"/>
            <w:vAlign w:val="bottom"/>
          </w:tcPr>
          <w:p>
            <w:pPr>
              <w:pStyle w:val="TableContents"/>
              <w:bidi w:val="0"/>
              <w:spacing w:before="0" w:after="283"/>
              <w:jc w:val="left"/>
              <w:rPr/>
            </w:pPr>
            <w:r>
              <w:rPr/>
              <w:t> </w:t>
            </w:r>
          </w:p>
        </w:tc>
      </w:tr>
      <w:tr>
        <w:trPr/>
        <w:tc>
          <w:tcPr>
            <w:tcW w:w="4997"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paid.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corporations certificate of incorporation may contain a provision eliminating or limiting the personal liability of a director or officer to the corporation or its stockholders for monetary damages for breach of fiduciary duty, provided that such provision shall not eliminate or limit the liability (i) for any breach of the duty of loyalty to the corporation or its stockholders, (ii) for acts or omissions not in good faith or that involve intentional misconduct or a knowing violation of law, (iii) under Section 174 of the DGCL, or (iv) for any transaction from which an improper personal benefit was derived. The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The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general liability insurance that covers certain liabilities of our directors and officers arising out of claims based on acts or omissions in their capacities as directors or officers,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from the effective time of the Merger through the sixth anniversary of the date of the effective time, we agreed to indemnify and hold harmless each person who was, as of January 30, 2024, the signing date of the Merger Agreement, or had been at any time prior, or who becomes prior to the effective time of the Merger, a director or officer of our company or Legacy Tectonic, against all claims, losses, liabilities, damages, judgments, fines and reasonable fees, costs and expenses, including attorneys fees and disbursements, pertaining to claims arising out of the fact that such person was a director or officer of our company or Legacy Tectonic, at or prior to the effective time of the merger, to the fullest extent permitted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we agreed not to amend, modify or repeal provisions in the Fourth Amended and Restated Certificate of Incorporation and the Amended and Restated Bylaws that were in effect as of January 30, 2024, the date of the Merger Agreement, with respect to indemnification, advancement of expenses and exculpation of our present and former directors and officers for a period of six years from the effective time of the Merger in a manner that would adversely affect the rights of such individuals who at the effective time of the Merger were our officers or directors.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we purchased an insurance policy in effect for six years from the effective time of the Merger, providing no less favorable coverage as the current directors and officers liability insurance policies maintained by us with respect to any actual or alleged error, misstatement, misleading statement, act, omission, neglect, breach of duty or any matter claimed against our current and former officers and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7"/>
        <w:gridCol w:w="286"/>
        <w:gridCol w:w="3856"/>
        <w:gridCol w:w="190"/>
        <w:gridCol w:w="89"/>
        <w:gridCol w:w="537"/>
        <w:gridCol w:w="60"/>
        <w:gridCol w:w="190"/>
        <w:gridCol w:w="60"/>
        <w:gridCol w:w="916"/>
        <w:gridCol w:w="60"/>
        <w:gridCol w:w="190"/>
        <w:gridCol w:w="92"/>
        <w:gridCol w:w="724"/>
        <w:gridCol w:w="59"/>
        <w:gridCol w:w="190"/>
        <w:gridCol w:w="60"/>
        <w:gridCol w:w="715"/>
        <w:gridCol w:w="60"/>
        <w:gridCol w:w="190"/>
        <w:gridCol w:w="222"/>
        <w:gridCol w:w="775"/>
        <w:gridCol w:w="67"/>
      </w:tblGrid>
      <w:tr>
        <w:trPr/>
        <w:tc>
          <w:tcPr>
            <w:tcW w:w="617"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8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518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c>
          <w:tcPr>
            <w:tcW w:w="67" w:type="dxa"/>
            <w:tcBorders/>
            <w:vAlign w:val="bottom"/>
          </w:tcPr>
          <w:p>
            <w:pPr>
              <w:pStyle w:val="TableContents"/>
              <w:bidi w:val="0"/>
              <w:spacing w:before="0" w:after="283"/>
              <w:jc w:val="left"/>
              <w:rPr/>
            </w:pPr>
            <w:r>
              <w:rPr/>
              <w:t> </w:t>
            </w:r>
          </w:p>
        </w:tc>
      </w:tr>
      <w:tr>
        <w:trPr/>
        <w:tc>
          <w:tcPr>
            <w:tcW w:w="6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286" w:type="dxa"/>
            <w:tcBorders/>
            <w:vAlign w:val="bottom"/>
          </w:tcPr>
          <w:p>
            <w:pPr>
              <w:pStyle w:val="TableContents"/>
              <w:bidi w:val="0"/>
              <w:spacing w:before="0" w:after="283"/>
              <w:jc w:val="left"/>
              <w:rPr/>
            </w:pPr>
            <w:r>
              <w:rPr/>
              <w:t>  </w:t>
            </w:r>
          </w:p>
        </w:tc>
        <w:tc>
          <w:tcPr>
            <w:tcW w:w="385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c>
          <w:tcPr>
            <w:tcW w:w="190" w:type="dxa"/>
            <w:tcBorders/>
            <w:vAlign w:val="bottom"/>
          </w:tcPr>
          <w:p>
            <w:pPr>
              <w:pStyle w:val="TableContents"/>
              <w:bidi w:val="0"/>
              <w:spacing w:before="0" w:after="283"/>
              <w:jc w:val="left"/>
              <w:rPr/>
            </w:pPr>
            <w:r>
              <w:rPr/>
              <w:t>  </w:t>
            </w:r>
          </w:p>
        </w:tc>
        <w:tc>
          <w:tcPr>
            <w:tcW w:w="6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5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67"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4142"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2.1</w:t>
            </w:r>
          </w:p>
        </w:tc>
        <w:tc>
          <w:tcPr>
            <w:tcW w:w="286" w:type="dxa"/>
            <w:tcBorders/>
            <w:vAlign w:val="bottom"/>
          </w:tcPr>
          <w:p>
            <w:pPr>
              <w:pStyle w:val="TableContents"/>
              <w:bidi w:val="0"/>
              <w:spacing w:before="0" w:after="283"/>
              <w:jc w:val="left"/>
              <w:rPr/>
            </w:pPr>
            <w:r>
              <w:rPr/>
              <w:t>  </w:t>
            </w:r>
          </w:p>
        </w:tc>
        <w:tc>
          <w:tcPr>
            <w:tcW w:w="3856" w:type="dxa"/>
            <w:tcBorders/>
          </w:tcPr>
          <w:p>
            <w:pPr>
              <w:pStyle w:val="TableContents"/>
              <w:bidi w:val="0"/>
              <w:spacing w:before="0" w:after="283"/>
              <w:jc w:val="left"/>
              <w:rPr/>
            </w:pPr>
            <w:hyperlink r:id="rId12">
              <w:r>
                <w:rPr>
                  <w:rStyle w:val="InternetLink"/>
                </w:rPr>
                <w:t xml:space="preserve">Agreement and Plan of Merger and Reorganization, dated as of January  30, 2024, by and among AVROBIO, Inc., Alpine Merger Subsidiary, Inc. and Tectonic Therapeutic, Inc. </w:t>
              </w:r>
            </w:hyperlink>
          </w:p>
        </w:tc>
        <w:tc>
          <w:tcPr>
            <w:tcW w:w="190"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37"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16" w:type="dxa"/>
            <w:tcBorders/>
          </w:tcPr>
          <w:p>
            <w:pPr>
              <w:pStyle w:val="TableContents"/>
              <w:bidi w:val="0"/>
              <w:spacing w:before="0" w:after="283"/>
              <w:jc w:val="right"/>
              <w:rPr/>
            </w:pPr>
            <w:r>
              <w:rPr/>
              <w:t>001-38537</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24" w:type="dxa"/>
            <w:tcBorders/>
          </w:tcPr>
          <w:p>
            <w:pPr>
              <w:pStyle w:val="TableContents"/>
              <w:bidi w:val="0"/>
              <w:spacing w:before="0" w:after="283"/>
              <w:jc w:val="right"/>
              <w:rPr/>
            </w:pPr>
            <w:r>
              <w:rPr/>
              <w:t>2.1</w:t>
            </w:r>
          </w:p>
        </w:tc>
        <w:tc>
          <w:tcPr>
            <w:tcW w:w="59"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15" w:type="dxa"/>
            <w:tcBorders/>
          </w:tcPr>
          <w:p>
            <w:pPr>
              <w:pStyle w:val="TableContents"/>
              <w:bidi w:val="0"/>
              <w:spacing w:before="0" w:after="283"/>
              <w:jc w:val="right"/>
              <w:rPr/>
            </w:pPr>
            <w:r>
              <w:rPr/>
              <w:t>1/30/2024</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5"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4142"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3.2</w:t>
            </w:r>
          </w:p>
        </w:tc>
        <w:tc>
          <w:tcPr>
            <w:tcW w:w="286" w:type="dxa"/>
            <w:tcBorders/>
            <w:vAlign w:val="bottom"/>
          </w:tcPr>
          <w:p>
            <w:pPr>
              <w:pStyle w:val="TableContents"/>
              <w:bidi w:val="0"/>
              <w:spacing w:before="0" w:after="283"/>
              <w:jc w:val="left"/>
              <w:rPr/>
            </w:pPr>
            <w:r>
              <w:rPr/>
              <w:t>  </w:t>
            </w:r>
          </w:p>
        </w:tc>
        <w:tc>
          <w:tcPr>
            <w:tcW w:w="3856" w:type="dxa"/>
            <w:tcBorders/>
          </w:tcPr>
          <w:p>
            <w:pPr>
              <w:pStyle w:val="TableContents"/>
              <w:bidi w:val="0"/>
              <w:spacing w:before="0" w:after="283"/>
              <w:jc w:val="left"/>
              <w:rPr/>
            </w:pPr>
            <w:hyperlink r:id="rId13">
              <w:r>
                <w:rPr>
                  <w:rStyle w:val="InternetLink"/>
                </w:rPr>
                <w:t xml:space="preserve">Fourth Amended and Restated Certificate of Incorporation of the Company, as amended through June 20, 2024. </w:t>
              </w:r>
            </w:hyperlink>
          </w:p>
        </w:tc>
        <w:tc>
          <w:tcPr>
            <w:tcW w:w="190"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37" w:type="dxa"/>
            <w:tcBorders/>
          </w:tcPr>
          <w:p>
            <w:pPr>
              <w:pStyle w:val="TableContents"/>
              <w:bidi w:val="0"/>
              <w:spacing w:before="0" w:after="283"/>
              <w:jc w:val="right"/>
              <w:rPr/>
            </w:pPr>
            <w:r>
              <w:rPr/>
              <w:t>10-Q</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16" w:type="dxa"/>
            <w:tcBorders/>
          </w:tcPr>
          <w:p>
            <w:pPr>
              <w:pStyle w:val="TableContents"/>
              <w:bidi w:val="0"/>
              <w:spacing w:before="0" w:after="283"/>
              <w:jc w:val="right"/>
              <w:rPr/>
            </w:pPr>
            <w:r>
              <w:rPr/>
              <w:t>001-38537</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24" w:type="dxa"/>
            <w:tcBorders/>
          </w:tcPr>
          <w:p>
            <w:pPr>
              <w:pStyle w:val="TableContents"/>
              <w:bidi w:val="0"/>
              <w:spacing w:before="0" w:after="283"/>
              <w:jc w:val="right"/>
              <w:rPr/>
            </w:pPr>
            <w:r>
              <w:rPr/>
              <w:t>3.1</w:t>
            </w:r>
          </w:p>
        </w:tc>
        <w:tc>
          <w:tcPr>
            <w:tcW w:w="59"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15" w:type="dxa"/>
            <w:tcBorders/>
          </w:tcPr>
          <w:p>
            <w:pPr>
              <w:pStyle w:val="TableContents"/>
              <w:bidi w:val="0"/>
              <w:spacing w:before="0" w:after="283"/>
              <w:jc w:val="right"/>
              <w:rPr/>
            </w:pPr>
            <w:r>
              <w:rPr/>
              <w:t>8/14/2024</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5"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4142"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3.3</w:t>
            </w:r>
          </w:p>
        </w:tc>
        <w:tc>
          <w:tcPr>
            <w:tcW w:w="286" w:type="dxa"/>
            <w:tcBorders/>
            <w:vAlign w:val="bottom"/>
          </w:tcPr>
          <w:p>
            <w:pPr>
              <w:pStyle w:val="TableContents"/>
              <w:bidi w:val="0"/>
              <w:spacing w:before="0" w:after="283"/>
              <w:jc w:val="left"/>
              <w:rPr/>
            </w:pPr>
            <w:r>
              <w:rPr/>
              <w:t>  </w:t>
            </w:r>
          </w:p>
        </w:tc>
        <w:tc>
          <w:tcPr>
            <w:tcW w:w="3856" w:type="dxa"/>
            <w:tcBorders/>
          </w:tcPr>
          <w:p>
            <w:pPr>
              <w:pStyle w:val="TableContents"/>
              <w:bidi w:val="0"/>
              <w:spacing w:before="0" w:after="283"/>
              <w:jc w:val="left"/>
              <w:rPr/>
            </w:pPr>
            <w:hyperlink r:id="rId14">
              <w:r>
                <w:rPr>
                  <w:rStyle w:val="InternetLink"/>
                </w:rPr>
                <w:t>Amended and Restated Bylaws, as currently in effect.</w:t>
              </w:r>
            </w:hyperlink>
          </w:p>
        </w:tc>
        <w:tc>
          <w:tcPr>
            <w:tcW w:w="190"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37"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16" w:type="dxa"/>
            <w:tcBorders/>
          </w:tcPr>
          <w:p>
            <w:pPr>
              <w:pStyle w:val="TableContents"/>
              <w:bidi w:val="0"/>
              <w:spacing w:before="0" w:after="283"/>
              <w:jc w:val="right"/>
              <w:rPr/>
            </w:pPr>
            <w:r>
              <w:rPr/>
              <w:t>001-38537</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24" w:type="dxa"/>
            <w:tcBorders/>
          </w:tcPr>
          <w:p>
            <w:pPr>
              <w:pStyle w:val="TableContents"/>
              <w:bidi w:val="0"/>
              <w:spacing w:before="0" w:after="283"/>
              <w:jc w:val="right"/>
              <w:rPr/>
            </w:pPr>
            <w:r>
              <w:rPr/>
              <w:t>3.2</w:t>
            </w:r>
          </w:p>
        </w:tc>
        <w:tc>
          <w:tcPr>
            <w:tcW w:w="59"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15" w:type="dxa"/>
            <w:tcBorders/>
          </w:tcPr>
          <w:p>
            <w:pPr>
              <w:pStyle w:val="TableContents"/>
              <w:bidi w:val="0"/>
              <w:spacing w:before="0" w:after="283"/>
              <w:jc w:val="right"/>
              <w:rPr/>
            </w:pPr>
            <w:r>
              <w:rPr/>
              <w:t>6/25/2018</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5"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4142"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4.1</w:t>
            </w:r>
          </w:p>
        </w:tc>
        <w:tc>
          <w:tcPr>
            <w:tcW w:w="286" w:type="dxa"/>
            <w:tcBorders/>
            <w:vAlign w:val="bottom"/>
          </w:tcPr>
          <w:p>
            <w:pPr>
              <w:pStyle w:val="TableContents"/>
              <w:bidi w:val="0"/>
              <w:spacing w:before="0" w:after="283"/>
              <w:jc w:val="left"/>
              <w:rPr/>
            </w:pPr>
            <w:r>
              <w:rPr/>
              <w:t>  </w:t>
            </w:r>
          </w:p>
        </w:tc>
        <w:tc>
          <w:tcPr>
            <w:tcW w:w="3856" w:type="dxa"/>
            <w:tcBorders/>
          </w:tcPr>
          <w:p>
            <w:pPr>
              <w:pStyle w:val="TableContents"/>
              <w:bidi w:val="0"/>
              <w:spacing w:before="0" w:after="283"/>
              <w:jc w:val="left"/>
              <w:rPr/>
            </w:pPr>
            <w:hyperlink r:id="rId15">
              <w:r>
                <w:rPr>
                  <w:rStyle w:val="InternetLink"/>
                </w:rPr>
                <w:t xml:space="preserve">Description of Capital Stock. </w:t>
              </w:r>
            </w:hyperlink>
          </w:p>
        </w:tc>
        <w:tc>
          <w:tcPr>
            <w:tcW w:w="190"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37" w:type="dxa"/>
            <w:tcBorders/>
          </w:tcPr>
          <w:p>
            <w:pPr>
              <w:pStyle w:val="TableContents"/>
              <w:bidi w:val="0"/>
              <w:spacing w:before="0" w:after="283"/>
              <w:jc w:val="right"/>
              <w:rPr/>
            </w:pPr>
            <w:r>
              <w:rPr/>
              <w:t>10-K</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16" w:type="dxa"/>
            <w:tcBorders/>
          </w:tcPr>
          <w:p>
            <w:pPr>
              <w:pStyle w:val="TableContents"/>
              <w:bidi w:val="0"/>
              <w:spacing w:before="0" w:after="283"/>
              <w:jc w:val="right"/>
              <w:rPr/>
            </w:pPr>
            <w:r>
              <w:rPr/>
              <w:t>001-38537</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24" w:type="dxa"/>
            <w:tcBorders/>
          </w:tcPr>
          <w:p>
            <w:pPr>
              <w:pStyle w:val="TableContents"/>
              <w:bidi w:val="0"/>
              <w:spacing w:before="0" w:after="283"/>
              <w:jc w:val="right"/>
              <w:rPr/>
            </w:pPr>
            <w:r>
              <w:rPr/>
              <w:t>4.1</w:t>
            </w:r>
          </w:p>
        </w:tc>
        <w:tc>
          <w:tcPr>
            <w:tcW w:w="59"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15" w:type="dxa"/>
            <w:tcBorders/>
          </w:tcPr>
          <w:p>
            <w:pPr>
              <w:pStyle w:val="TableContents"/>
              <w:bidi w:val="0"/>
              <w:spacing w:before="0" w:after="283"/>
              <w:jc w:val="right"/>
              <w:rPr/>
            </w:pPr>
            <w:r>
              <w:rPr/>
              <w:t>3/20/2025</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5"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4142"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5.1</w:t>
            </w:r>
          </w:p>
        </w:tc>
        <w:tc>
          <w:tcPr>
            <w:tcW w:w="286" w:type="dxa"/>
            <w:tcBorders/>
            <w:vAlign w:val="bottom"/>
          </w:tcPr>
          <w:p>
            <w:pPr>
              <w:pStyle w:val="TableContents"/>
              <w:bidi w:val="0"/>
              <w:spacing w:before="0" w:after="283"/>
              <w:jc w:val="left"/>
              <w:rPr/>
            </w:pPr>
            <w:r>
              <w:rPr/>
              <w:t>  </w:t>
            </w:r>
          </w:p>
        </w:tc>
        <w:tc>
          <w:tcPr>
            <w:tcW w:w="3856" w:type="dxa"/>
            <w:tcBorders/>
          </w:tcPr>
          <w:p>
            <w:pPr>
              <w:pStyle w:val="TableContents"/>
              <w:bidi w:val="0"/>
              <w:spacing w:before="0" w:after="283"/>
              <w:jc w:val="left"/>
              <w:rPr/>
            </w:pPr>
            <w:hyperlink r:id="rId16">
              <w:r>
                <w:rPr>
                  <w:rStyle w:val="InternetLink"/>
                </w:rPr>
                <w:t xml:space="preserve">Opinion of Cooley LLP </w:t>
              </w:r>
            </w:hyperlink>
          </w:p>
        </w:tc>
        <w:tc>
          <w:tcPr>
            <w:tcW w:w="190"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37" w:type="dxa"/>
            <w:tcBorders/>
          </w:tcPr>
          <w:p>
            <w:pPr>
              <w:pStyle w:val="TableContents"/>
              <w:bidi w:val="0"/>
              <w:spacing w:before="0" w:after="283"/>
              <w:jc w:val="right"/>
              <w:rPr/>
            </w:pPr>
            <w:r>
              <w:rPr/>
              <w:t>S-1</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16" w:type="dxa"/>
            <w:tcBorders/>
          </w:tcPr>
          <w:p>
            <w:pPr>
              <w:pStyle w:val="TableContents"/>
              <w:bidi w:val="0"/>
              <w:spacing w:before="0" w:after="283"/>
              <w:jc w:val="right"/>
              <w:rPr/>
            </w:pPr>
            <w:r>
              <w:rPr/>
              <w:t>333-280909</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24" w:type="dxa"/>
            <w:tcBorders/>
          </w:tcPr>
          <w:p>
            <w:pPr>
              <w:pStyle w:val="TableContents"/>
              <w:bidi w:val="0"/>
              <w:spacing w:before="0" w:after="283"/>
              <w:jc w:val="right"/>
              <w:rPr/>
            </w:pPr>
            <w:r>
              <w:rPr/>
              <w:t>5.1</w:t>
            </w:r>
          </w:p>
        </w:tc>
        <w:tc>
          <w:tcPr>
            <w:tcW w:w="59"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15" w:type="dxa"/>
            <w:tcBorders/>
          </w:tcPr>
          <w:p>
            <w:pPr>
              <w:pStyle w:val="TableContents"/>
              <w:bidi w:val="0"/>
              <w:spacing w:before="0" w:after="283"/>
              <w:jc w:val="right"/>
              <w:rPr/>
            </w:pPr>
            <w:r>
              <w:rPr/>
              <w:t>7/19/2024</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5"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4142"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10.1</w:t>
            </w:r>
          </w:p>
        </w:tc>
        <w:tc>
          <w:tcPr>
            <w:tcW w:w="286" w:type="dxa"/>
            <w:tcBorders/>
            <w:vAlign w:val="bottom"/>
          </w:tcPr>
          <w:p>
            <w:pPr>
              <w:pStyle w:val="TableContents"/>
              <w:bidi w:val="0"/>
              <w:spacing w:before="0" w:after="283"/>
              <w:jc w:val="left"/>
              <w:rPr/>
            </w:pPr>
            <w:r>
              <w:rPr/>
              <w:t>  </w:t>
            </w:r>
          </w:p>
        </w:tc>
        <w:tc>
          <w:tcPr>
            <w:tcW w:w="3856" w:type="dxa"/>
            <w:tcBorders/>
          </w:tcPr>
          <w:p>
            <w:pPr>
              <w:pStyle w:val="TableContents"/>
              <w:bidi w:val="0"/>
              <w:spacing w:before="0" w:after="283"/>
              <w:jc w:val="left"/>
              <w:rPr/>
            </w:pPr>
            <w:hyperlink r:id="rId17">
              <w:r>
                <w:rPr>
                  <w:rStyle w:val="InternetLink"/>
                </w:rPr>
                <w:t xml:space="preserve">Subscription Agreement, dated as of January 29, 2024, by and among Tectonic Therapeutic, Inc. and the purchasers thereunder </w:t>
              </w:r>
            </w:hyperlink>
          </w:p>
        </w:tc>
        <w:tc>
          <w:tcPr>
            <w:tcW w:w="190"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37"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16" w:type="dxa"/>
            <w:tcBorders/>
          </w:tcPr>
          <w:p>
            <w:pPr>
              <w:pStyle w:val="TableContents"/>
              <w:bidi w:val="0"/>
              <w:spacing w:before="0" w:after="283"/>
              <w:jc w:val="right"/>
              <w:rPr/>
            </w:pPr>
            <w:r>
              <w:rPr/>
              <w:t>001-38537</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24" w:type="dxa"/>
            <w:tcBorders/>
          </w:tcPr>
          <w:p>
            <w:pPr>
              <w:pStyle w:val="TableContents"/>
              <w:bidi w:val="0"/>
              <w:spacing w:before="0" w:after="283"/>
              <w:jc w:val="right"/>
              <w:rPr/>
            </w:pPr>
            <w:r>
              <w:rPr/>
              <w:t>10.3</w:t>
            </w:r>
          </w:p>
        </w:tc>
        <w:tc>
          <w:tcPr>
            <w:tcW w:w="59"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15" w:type="dxa"/>
            <w:tcBorders/>
          </w:tcPr>
          <w:p>
            <w:pPr>
              <w:pStyle w:val="TableContents"/>
              <w:bidi w:val="0"/>
              <w:spacing w:before="0" w:after="283"/>
              <w:jc w:val="right"/>
              <w:rPr/>
            </w:pPr>
            <w:r>
              <w:rPr/>
              <w:t>6/20/2024</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5"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4142"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23.1</w:t>
            </w:r>
          </w:p>
        </w:tc>
        <w:tc>
          <w:tcPr>
            <w:tcW w:w="286" w:type="dxa"/>
            <w:tcBorders/>
            <w:vAlign w:val="bottom"/>
          </w:tcPr>
          <w:p>
            <w:pPr>
              <w:pStyle w:val="TableContents"/>
              <w:bidi w:val="0"/>
              <w:spacing w:before="0" w:after="283"/>
              <w:jc w:val="left"/>
              <w:rPr/>
            </w:pPr>
            <w:r>
              <w:rPr/>
              <w:t>  </w:t>
            </w:r>
          </w:p>
        </w:tc>
        <w:tc>
          <w:tcPr>
            <w:tcW w:w="3856" w:type="dxa"/>
            <w:tcBorders/>
          </w:tcPr>
          <w:p>
            <w:pPr>
              <w:pStyle w:val="TableContents"/>
              <w:bidi w:val="0"/>
              <w:spacing w:before="0" w:after="283"/>
              <w:jc w:val="left"/>
              <w:rPr/>
            </w:pPr>
            <w:hyperlink w:anchor="d948669dex231.htm">
              <w:r>
                <w:rPr>
                  <w:rStyle w:val="InternetLink"/>
                </w:rPr>
                <w:t xml:space="preserve">Consent of Deloitte &amp; Touche LLP, independent registered public accounting firm of Tectonic Therapeutic, Inc. </w:t>
              </w:r>
            </w:hyperlink>
          </w:p>
        </w:tc>
        <w:tc>
          <w:tcPr>
            <w:tcW w:w="190"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sz w:val="4"/>
                <w:szCs w:val="4"/>
              </w:rPr>
            </w:pPr>
            <w:r>
              <w:rPr>
                <w:sz w:val="4"/>
                <w:szCs w:val="4"/>
              </w:rPr>
            </w:r>
          </w:p>
        </w:tc>
        <w:tc>
          <w:tcPr>
            <w:tcW w:w="53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1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724"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1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pPr>
            <w:r>
              <w:rPr/>
              <w:t> </w:t>
            </w:r>
          </w:p>
        </w:tc>
        <w:tc>
          <w:tcPr>
            <w:tcW w:w="775" w:type="dxa"/>
            <w:tcBorders/>
          </w:tcPr>
          <w:p>
            <w:pPr>
              <w:pStyle w:val="TableContents"/>
              <w:bidi w:val="0"/>
              <w:spacing w:before="0" w:after="283"/>
              <w:jc w:val="right"/>
              <w:rPr/>
            </w:pPr>
            <w:r>
              <w:rPr/>
              <w:t>X</w:t>
            </w:r>
          </w:p>
        </w:tc>
        <w:tc>
          <w:tcPr>
            <w:tcW w:w="67" w:type="dxa"/>
            <w:tcBorders/>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4142"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23.2</w:t>
            </w:r>
          </w:p>
        </w:tc>
        <w:tc>
          <w:tcPr>
            <w:tcW w:w="286" w:type="dxa"/>
            <w:tcBorders/>
            <w:vAlign w:val="bottom"/>
          </w:tcPr>
          <w:p>
            <w:pPr>
              <w:pStyle w:val="TableContents"/>
              <w:bidi w:val="0"/>
              <w:spacing w:before="0" w:after="283"/>
              <w:jc w:val="left"/>
              <w:rPr/>
            </w:pPr>
            <w:r>
              <w:rPr/>
              <w:t>  </w:t>
            </w:r>
          </w:p>
        </w:tc>
        <w:tc>
          <w:tcPr>
            <w:tcW w:w="3856" w:type="dxa"/>
            <w:tcBorders/>
          </w:tcPr>
          <w:p>
            <w:pPr>
              <w:pStyle w:val="TableContents"/>
              <w:bidi w:val="0"/>
              <w:spacing w:before="0" w:after="283"/>
              <w:jc w:val="left"/>
              <w:rPr/>
            </w:pPr>
            <w:hyperlink r:id="rId18">
              <w:r>
                <w:rPr>
                  <w:rStyle w:val="InternetLink"/>
                </w:rPr>
                <w:t xml:space="preserve">Consent of Cooley LLP (included in Exhibit 5.1). </w:t>
              </w:r>
            </w:hyperlink>
          </w:p>
        </w:tc>
        <w:tc>
          <w:tcPr>
            <w:tcW w:w="190"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37" w:type="dxa"/>
            <w:tcBorders/>
          </w:tcPr>
          <w:p>
            <w:pPr>
              <w:pStyle w:val="TableContents"/>
              <w:bidi w:val="0"/>
              <w:spacing w:before="0" w:after="283"/>
              <w:jc w:val="right"/>
              <w:rPr/>
            </w:pPr>
            <w:r>
              <w:rPr/>
              <w:t>S-1</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16" w:type="dxa"/>
            <w:tcBorders/>
          </w:tcPr>
          <w:p>
            <w:pPr>
              <w:pStyle w:val="TableContents"/>
              <w:bidi w:val="0"/>
              <w:spacing w:before="0" w:after="283"/>
              <w:jc w:val="right"/>
              <w:rPr/>
            </w:pPr>
            <w:r>
              <w:rPr/>
              <w:t>333-280909</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24" w:type="dxa"/>
            <w:tcBorders/>
          </w:tcPr>
          <w:p>
            <w:pPr>
              <w:pStyle w:val="TableContents"/>
              <w:bidi w:val="0"/>
              <w:spacing w:before="0" w:after="283"/>
              <w:jc w:val="right"/>
              <w:rPr/>
            </w:pPr>
            <w:r>
              <w:rPr/>
              <w:t>5.1</w:t>
            </w:r>
          </w:p>
        </w:tc>
        <w:tc>
          <w:tcPr>
            <w:tcW w:w="59"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15" w:type="dxa"/>
            <w:tcBorders/>
          </w:tcPr>
          <w:p>
            <w:pPr>
              <w:pStyle w:val="TableContents"/>
              <w:bidi w:val="0"/>
              <w:spacing w:before="0" w:after="283"/>
              <w:jc w:val="right"/>
              <w:rPr/>
            </w:pPr>
            <w:r>
              <w:rPr/>
              <w:t>7/19/2024</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5"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4142"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24.1</w:t>
            </w:r>
          </w:p>
        </w:tc>
        <w:tc>
          <w:tcPr>
            <w:tcW w:w="286" w:type="dxa"/>
            <w:tcBorders/>
            <w:vAlign w:val="bottom"/>
          </w:tcPr>
          <w:p>
            <w:pPr>
              <w:pStyle w:val="TableContents"/>
              <w:bidi w:val="0"/>
              <w:spacing w:before="0" w:after="283"/>
              <w:jc w:val="left"/>
              <w:rPr/>
            </w:pPr>
            <w:r>
              <w:rPr/>
              <w:t>  </w:t>
            </w:r>
          </w:p>
        </w:tc>
        <w:tc>
          <w:tcPr>
            <w:tcW w:w="3856" w:type="dxa"/>
            <w:tcBorders/>
          </w:tcPr>
          <w:p>
            <w:pPr>
              <w:pStyle w:val="TableContents"/>
              <w:bidi w:val="0"/>
              <w:spacing w:before="0" w:after="283"/>
              <w:jc w:val="left"/>
              <w:rPr/>
            </w:pPr>
            <w:r>
              <w:fldChar w:fldCharType="begin"/>
            </w:r>
            <w:r>
              <w:rPr>
                <w:rStyle w:val="InternetLink"/>
              </w:rPr>
              <w:instrText xml:space="preserve"> HYPERLINK "http://www.sec.gov/Archives/edgar/data/1681087/000119312524181624/d214571ds1.htm" \l "sig"</w:instrText>
            </w:r>
            <w:r>
              <w:rPr>
                <w:rStyle w:val="InternetLink"/>
              </w:rPr>
              <w:fldChar w:fldCharType="separate"/>
            </w:r>
            <w:r>
              <w:rPr>
                <w:rStyle w:val="InternetLink"/>
              </w:rPr>
              <w:t xml:space="preserve">Power of Attorney (included on signature page). </w:t>
            </w:r>
            <w:r>
              <w:rPr>
                <w:rStyle w:val="InternetLink"/>
              </w:rPr>
              <w:fldChar w:fldCharType="end"/>
            </w:r>
          </w:p>
        </w:tc>
        <w:tc>
          <w:tcPr>
            <w:tcW w:w="190"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37" w:type="dxa"/>
            <w:tcBorders/>
          </w:tcPr>
          <w:p>
            <w:pPr>
              <w:pStyle w:val="TableContents"/>
              <w:bidi w:val="0"/>
              <w:spacing w:before="0" w:after="283"/>
              <w:jc w:val="right"/>
              <w:rPr/>
            </w:pPr>
            <w:r>
              <w:rPr/>
              <w:t>S-1</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16" w:type="dxa"/>
            <w:tcBorders/>
          </w:tcPr>
          <w:p>
            <w:pPr>
              <w:pStyle w:val="TableContents"/>
              <w:bidi w:val="0"/>
              <w:spacing w:before="0" w:after="283"/>
              <w:jc w:val="right"/>
              <w:rPr/>
            </w:pPr>
            <w:r>
              <w:rPr/>
              <w:t>333-280909</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24" w:type="dxa"/>
            <w:tcBorders/>
          </w:tcPr>
          <w:p>
            <w:pPr>
              <w:pStyle w:val="TableContents"/>
              <w:bidi w:val="0"/>
              <w:spacing w:before="0" w:after="283"/>
              <w:jc w:val="right"/>
              <w:rPr/>
            </w:pPr>
            <w:r>
              <w:rPr/>
              <w:t>24.1</w:t>
            </w:r>
          </w:p>
        </w:tc>
        <w:tc>
          <w:tcPr>
            <w:tcW w:w="59"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15" w:type="dxa"/>
            <w:tcBorders/>
          </w:tcPr>
          <w:p>
            <w:pPr>
              <w:pStyle w:val="TableContents"/>
              <w:bidi w:val="0"/>
              <w:spacing w:before="0" w:after="283"/>
              <w:jc w:val="right"/>
              <w:rPr/>
            </w:pPr>
            <w:r>
              <w:rPr/>
              <w:t>7/19/2024</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5"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4142" w:type="dxa"/>
            <w:gridSpan w:val="2"/>
            <w:tcBorders/>
            <w:vAlign w:val="center"/>
          </w:tcPr>
          <w:p>
            <w:pPr>
              <w:pStyle w:val="TableContents"/>
              <w:bidi w:val="0"/>
              <w:spacing w:before="0" w:after="283"/>
              <w:jc w:val="left"/>
              <w:rPr>
                <w:sz w:val="4"/>
                <w:szCs w:val="4"/>
              </w:rPr>
            </w:pPr>
            <w:r>
              <w:rPr>
                <w:sz w:val="4"/>
                <w:szCs w:val="4"/>
              </w:rPr>
            </w:r>
          </w:p>
        </w:tc>
        <w:tc>
          <w:tcPr>
            <w:tcW w:w="87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c>
          <w:tcPr>
            <w:tcW w:w="1065"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107</w:t>
            </w:r>
          </w:p>
        </w:tc>
        <w:tc>
          <w:tcPr>
            <w:tcW w:w="286" w:type="dxa"/>
            <w:tcBorders/>
            <w:vAlign w:val="bottom"/>
          </w:tcPr>
          <w:p>
            <w:pPr>
              <w:pStyle w:val="TableContents"/>
              <w:bidi w:val="0"/>
              <w:spacing w:before="0" w:after="283"/>
              <w:jc w:val="left"/>
              <w:rPr/>
            </w:pPr>
            <w:r>
              <w:rPr/>
              <w:t>  </w:t>
            </w:r>
          </w:p>
        </w:tc>
        <w:tc>
          <w:tcPr>
            <w:tcW w:w="3856" w:type="dxa"/>
            <w:tcBorders/>
          </w:tcPr>
          <w:p>
            <w:pPr>
              <w:pStyle w:val="TableContents"/>
              <w:bidi w:val="0"/>
              <w:spacing w:before="0" w:after="283"/>
              <w:jc w:val="left"/>
              <w:rPr/>
            </w:pPr>
            <w:hyperlink r:id="rId19">
              <w:r>
                <w:rPr>
                  <w:rStyle w:val="InternetLink"/>
                </w:rPr>
                <w:t xml:space="preserve">Filing Fee Table </w:t>
              </w:r>
            </w:hyperlink>
          </w:p>
        </w:tc>
        <w:tc>
          <w:tcPr>
            <w:tcW w:w="190" w:type="dxa"/>
            <w:tcBorders/>
            <w:vAlign w:val="bottom"/>
          </w:tcPr>
          <w:p>
            <w:pPr>
              <w:pStyle w:val="TableContents"/>
              <w:bidi w:val="0"/>
              <w:spacing w:before="0" w:after="283"/>
              <w:jc w:val="left"/>
              <w:rPr/>
            </w:pPr>
            <w:r>
              <w:rPr/>
              <w:t>  </w:t>
            </w:r>
          </w:p>
        </w:tc>
        <w:tc>
          <w:tcPr>
            <w:tcW w:w="89" w:type="dxa"/>
            <w:tcBorders/>
          </w:tcPr>
          <w:p>
            <w:pPr>
              <w:pStyle w:val="TableContents"/>
              <w:bidi w:val="0"/>
              <w:spacing w:before="0" w:after="283"/>
              <w:jc w:val="left"/>
              <w:rPr/>
            </w:pPr>
            <w:r>
              <w:rPr/>
              <w:t> </w:t>
            </w:r>
          </w:p>
        </w:tc>
        <w:tc>
          <w:tcPr>
            <w:tcW w:w="537" w:type="dxa"/>
            <w:tcBorders/>
          </w:tcPr>
          <w:p>
            <w:pPr>
              <w:pStyle w:val="TableContents"/>
              <w:bidi w:val="0"/>
              <w:spacing w:before="0" w:after="283"/>
              <w:jc w:val="right"/>
              <w:rPr/>
            </w:pPr>
            <w:r>
              <w:rPr/>
              <w:t>S-1</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16" w:type="dxa"/>
            <w:tcBorders/>
          </w:tcPr>
          <w:p>
            <w:pPr>
              <w:pStyle w:val="TableContents"/>
              <w:bidi w:val="0"/>
              <w:spacing w:before="0" w:after="283"/>
              <w:jc w:val="right"/>
              <w:rPr/>
            </w:pPr>
            <w:r>
              <w:rPr/>
              <w:t>333-280909</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24" w:type="dxa"/>
            <w:tcBorders/>
          </w:tcPr>
          <w:p>
            <w:pPr>
              <w:pStyle w:val="TableContents"/>
              <w:bidi w:val="0"/>
              <w:spacing w:before="0" w:after="283"/>
              <w:jc w:val="right"/>
              <w:rPr/>
            </w:pPr>
            <w:r>
              <w:rPr/>
              <w:t>107</w:t>
            </w:r>
          </w:p>
        </w:tc>
        <w:tc>
          <w:tcPr>
            <w:tcW w:w="59"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15" w:type="dxa"/>
            <w:tcBorders/>
          </w:tcPr>
          <w:p>
            <w:pPr>
              <w:pStyle w:val="TableContents"/>
              <w:bidi w:val="0"/>
              <w:spacing w:before="0" w:after="283"/>
              <w:jc w:val="right"/>
              <w:rPr/>
            </w:pPr>
            <w:r>
              <w:rPr/>
              <w:t>7/19/2024</w:t>
            </w:r>
          </w:p>
        </w:tc>
        <w:tc>
          <w:tcPr>
            <w:tcW w:w="60" w:type="dxa"/>
            <w:tcBorders/>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2" w:type="dxa"/>
            <w:tcBorders/>
          </w:tcPr>
          <w:p>
            <w:pPr>
              <w:pStyle w:val="TableContents"/>
              <w:bidi w:val="0"/>
              <w:spacing w:before="0" w:after="283"/>
              <w:jc w:val="left"/>
              <w:rPr>
                <w:sz w:val="4"/>
                <w:szCs w:val="4"/>
              </w:rPr>
            </w:pPr>
            <w:r>
              <w:rPr>
                <w:sz w:val="4"/>
                <w:szCs w:val="4"/>
              </w:rPr>
            </w:r>
          </w:p>
        </w:tc>
        <w:tc>
          <w:tcPr>
            <w:tcW w:w="775"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18"/>
        <w:gridCol w:w="8370"/>
      </w:tblGrid>
      <w:tr>
        <w:trPr/>
        <w:tc>
          <w:tcPr>
            <w:tcW w:w="917"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i/>
              </w:rPr>
              <w:t>provided</w:t>
            </w: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i/>
                <w:sz w:val="20"/>
              </w:rPr>
              <w:t>however</w:t>
            </w:r>
            <w:r>
              <w:rPr>
                <w:rFonts w:ascii="Times New Roman" w:hAnsi="Times New Roman"/>
                <w:sz w:val="20"/>
              </w:rPr>
              <w:t xml:space="preserve">,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Watertown, Commonwealth of Massachusetts, on July 7,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TECTONIC THERAPEUTIC,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Alise Reicin</w:t>
            </w:r>
          </w:p>
        </w:tc>
      </w:tr>
      <w:tr>
        <w:trPr/>
        <w:tc>
          <w:tcPr>
            <w:tcW w:w="4082" w:type="dxa"/>
            <w:tcBorders/>
            <w:vAlign w:val="bottom"/>
          </w:tcPr>
          <w:p>
            <w:pPr>
              <w:pStyle w:val="TableContents"/>
              <w:bidi w:val="0"/>
              <w:spacing w:before="0" w:after="283"/>
              <w:jc w:val="left"/>
              <w:rPr/>
            </w:pPr>
            <w:r>
              <w:rPr/>
              <w:t>Name: Alise Reicin</w:t>
            </w:r>
          </w:p>
        </w:tc>
      </w:tr>
      <w:tr>
        <w:trPr/>
        <w:tc>
          <w:tcPr>
            <w:tcW w:w="4082" w:type="dxa"/>
            <w:tcBorders/>
            <w:vAlign w:val="bottom"/>
          </w:tcPr>
          <w:p>
            <w:pPr>
              <w:pStyle w:val="TableContents"/>
              <w:bidi w:val="0"/>
              <w:spacing w:before="0" w:after="283"/>
              <w:jc w:val="left"/>
              <w:rPr/>
            </w:pPr>
            <w:r>
              <w:rPr/>
              <w:t>Title: Chief Executive Officer, President and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2"/>
        <w:gridCol w:w="122"/>
        <w:gridCol w:w="3522"/>
        <w:gridCol w:w="201"/>
        <w:gridCol w:w="1888"/>
      </w:tblGrid>
      <w:tr>
        <w:trPr/>
        <w:tc>
          <w:tcPr>
            <w:tcW w:w="447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4472" w:type="dxa"/>
            <w:tcBorders/>
            <w:vAlign w:val="bottom"/>
          </w:tcPr>
          <w:p>
            <w:pPr>
              <w:pStyle w:val="TableContents"/>
              <w:bidi w:val="0"/>
              <w:spacing w:before="0" w:after="283"/>
              <w:jc w:val="center"/>
              <w:rPr>
                <w:b/>
              </w:rPr>
            </w:pPr>
            <w:r>
              <w:rPr>
                <w:b/>
              </w:rPr>
              <w:t>Signature</w:t>
            </w:r>
          </w:p>
        </w:tc>
        <w:tc>
          <w:tcPr>
            <w:tcW w:w="122"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center"/>
              <w:rPr>
                <w:b/>
              </w:rPr>
            </w:pPr>
            <w:r>
              <w:rPr>
                <w:b/>
              </w:rPr>
              <w:t>Title</w:t>
            </w:r>
          </w:p>
        </w:tc>
        <w:tc>
          <w:tcPr>
            <w:tcW w:w="201" w:type="dxa"/>
            <w:tcBorders/>
            <w:vAlign w:val="bottom"/>
          </w:tcPr>
          <w:p>
            <w:pPr>
              <w:pStyle w:val="TableContents"/>
              <w:bidi w:val="0"/>
              <w:spacing w:before="0" w:after="283"/>
              <w:jc w:val="left"/>
              <w:rPr/>
            </w:pPr>
            <w:r>
              <w:rPr/>
              <w:t> </w:t>
            </w:r>
          </w:p>
        </w:tc>
        <w:tc>
          <w:tcPr>
            <w:tcW w:w="1888" w:type="dxa"/>
            <w:tcBorders/>
            <w:vAlign w:val="bottom"/>
          </w:tcPr>
          <w:p>
            <w:pPr>
              <w:pStyle w:val="TableContents"/>
              <w:bidi w:val="0"/>
              <w:spacing w:before="0" w:after="283"/>
              <w:jc w:val="center"/>
              <w:rPr>
                <w:b/>
              </w:rPr>
            </w:pPr>
            <w:r>
              <w:rPr>
                <w:b/>
              </w:rPr>
              <w:t>Date</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Alise Reicin</w:t>
            </w:r>
          </w:p>
          <w:p>
            <w:pPr>
              <w:pStyle w:val="TableContents"/>
              <w:bidi w:val="0"/>
              <w:spacing w:before="0" w:after="20"/>
              <w:jc w:val="left"/>
              <w:rPr>
                <w:rFonts w:ascii="Times New Roman" w:hAnsi="Times New Roman"/>
                <w:sz w:val="20"/>
              </w:rPr>
            </w:pPr>
            <w:r>
              <w:rPr>
                <w:rFonts w:ascii="Times New Roman" w:hAnsi="Times New Roman"/>
                <w:sz w:val="20"/>
              </w:rPr>
              <w:t>Alise Reicin</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President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Daniel Lochner</w:t>
            </w:r>
          </w:p>
          <w:p>
            <w:pPr>
              <w:pStyle w:val="TableContents"/>
              <w:bidi w:val="0"/>
              <w:spacing w:before="0" w:after="20"/>
              <w:jc w:val="left"/>
              <w:rPr>
                <w:rFonts w:ascii="Times New Roman" w:hAnsi="Times New Roman"/>
                <w:sz w:val="20"/>
              </w:rPr>
            </w:pPr>
            <w:r>
              <w:rPr>
                <w:rFonts w:ascii="Times New Roman" w:hAnsi="Times New Roman"/>
                <w:sz w:val="20"/>
              </w:rPr>
              <w:t>Daniel Lochner</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Chief Financial Officer </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 and Principal Accounting Officer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Terrance McGuire</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Stefan Vitorovic</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Timothy A. Springer</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Praveen Tipirneni</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r>
        <w:trPr>
          <w:trHeight w:val="240" w:hRule="atLeast"/>
        </w:trPr>
        <w:tc>
          <w:tcPr>
            <w:tcW w:w="4472"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447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Phillip B. Donenberg</w:t>
            </w:r>
          </w:p>
        </w:tc>
        <w:tc>
          <w:tcPr>
            <w:tcW w:w="122" w:type="dxa"/>
            <w:tcBorders/>
            <w:vAlign w:val="bottom"/>
          </w:tcPr>
          <w:p>
            <w:pPr>
              <w:pStyle w:val="TableContents"/>
              <w:bidi w:val="0"/>
              <w:spacing w:before="0" w:after="283"/>
              <w:jc w:val="left"/>
              <w:rPr/>
            </w:pPr>
            <w:r>
              <w:rPr/>
              <w:t>  </w:t>
            </w:r>
          </w:p>
        </w:tc>
        <w:tc>
          <w:tcPr>
            <w:tcW w:w="3522"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left"/>
              <w:rPr/>
            </w:pPr>
            <w:r>
              <w:rPr/>
              <w:t>July 7, 2025</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6"/>
        <w:gridCol w:w="60"/>
        <w:gridCol w:w="3506"/>
      </w:tblGrid>
      <w:tr>
        <w:trPr/>
        <w:tc>
          <w:tcPr>
            <w:tcW w:w="5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16" w:type="dxa"/>
            <w:tcBorders/>
            <w:vAlign w:val="center"/>
          </w:tcPr>
          <w:p>
            <w:pPr>
              <w:pStyle w:val="TableContents"/>
              <w:bidi w:val="0"/>
              <w:spacing w:before="0" w:after="283"/>
              <w:jc w:val="left"/>
              <w:rPr>
                <w:sz w:val="4"/>
                <w:szCs w:val="4"/>
              </w:rPr>
            </w:pPr>
            <w:r>
              <w:rPr>
                <w:sz w:val="4"/>
                <w:szCs w:val="4"/>
              </w:rPr>
            </w:r>
          </w:p>
        </w:tc>
        <w:tc>
          <w:tcPr>
            <w:tcW w:w="3566" w:type="dxa"/>
            <w:gridSpan w:val="2"/>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5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6" w:type="dxa"/>
            <w:tcBorders/>
            <w:vAlign w:val="bottom"/>
          </w:tcPr>
          <w:p>
            <w:pPr>
              <w:pStyle w:val="TableContents"/>
              <w:bidi w:val="0"/>
              <w:spacing w:before="0" w:after="283"/>
              <w:jc w:val="left"/>
              <w:rPr/>
            </w:pPr>
            <w:r>
              <w:rPr/>
              <w:t>Daniel Lochner</w:t>
            </w:r>
          </w:p>
        </w:tc>
      </w:tr>
      <w:tr>
        <w:trPr/>
        <w:tc>
          <w:tcPr>
            <w:tcW w:w="5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6" w:type="dxa"/>
            <w:tcBorders/>
            <w:vAlign w:val="bottom"/>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7" w:name="d948669dex231.htm"/>
      <w:bookmarkStart w:id="18" w:name="ksd948669dex231"/>
      <w:bookmarkEnd w:id="17"/>
      <w:bookmarkEnd w:id="18"/>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20, 2025, relating to the financial statements of Tectonic Therapeutic, Inc., appearing in the Annual Report on Form 10-K of Tectonic Therapeutic, Inc. for the year ended December 31, 2024.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Deloitte &amp; Touche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Boston, Massachusetts</w:t>
            </w:r>
          </w:p>
        </w:tc>
      </w:tr>
      <w:tr>
        <w:trPr/>
        <w:tc>
          <w:tcPr>
            <w:tcW w:w="4082" w:type="dxa"/>
            <w:tcBorders/>
          </w:tcPr>
          <w:p>
            <w:pPr>
              <w:pStyle w:val="TableContents"/>
              <w:bidi w:val="0"/>
              <w:spacing w:before="0" w:after="283"/>
              <w:jc w:val="left"/>
              <w:rPr/>
            </w:pPr>
            <w:r>
              <w:rPr/>
              <w:t>July 7, 2025</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81087/000095017025042648/tecx-20241231.htm" TargetMode="External"/><Relationship Id="rId4" Type="http://schemas.openxmlformats.org/officeDocument/2006/relationships/hyperlink" Target="http://www.sec.gov/Archives/edgar/data/../../../ix?doc=/Archives/edgar/data/1681087/000119312525096764/d949345ddef14a.htm" TargetMode="External"/><Relationship Id="rId5" Type="http://schemas.openxmlformats.org/officeDocument/2006/relationships/hyperlink" Target="http://www.sec.gov/Archives/edgar/data/../../../ix?doc=/Archives/edgar/data/1681087/000095017025067037/tecx-20250331.htm" TargetMode="External"/><Relationship Id="rId6" Type="http://schemas.openxmlformats.org/officeDocument/2006/relationships/hyperlink" Target="http://www.sec.gov/Archives/edgar/data/../../../ix?doc=/Archives/edgar/data/1681087/000119312525016224/d817477d8k.htm" TargetMode="External"/><Relationship Id="rId7" Type="http://schemas.openxmlformats.org/officeDocument/2006/relationships/hyperlink" Target="http://www.sec.gov/Archives/edgar/data/../../../ix?doc=/Archives/edgar/data/1681087/000119312525018840/d843684d8k.htm" TargetMode="External"/><Relationship Id="rId8" Type="http://schemas.openxmlformats.org/officeDocument/2006/relationships/hyperlink" Target="http://www.sec.gov/Archives/edgar/data/../../../ix?doc=/Archives/edgar/data/1681087/000119312525122511/d939029d8k.htm" TargetMode="External"/><Relationship Id="rId9" Type="http://schemas.openxmlformats.org/officeDocument/2006/relationships/hyperlink" Target="http://www.sec.gov/Archives/edgar/data/../../../ix?doc=/Archives/edgar/data/1681087/000119312525137149/d31142d8k.htm" TargetMode="External"/><Relationship Id="rId10" Type="http://schemas.openxmlformats.org/officeDocument/2006/relationships/hyperlink" Target="http://www.sec.gov/Archives/edgar/data/1681087/000095017025042648/tecx-ex4_1.htm" TargetMode="External"/><Relationship Id="rId11" Type="http://schemas.openxmlformats.org/officeDocument/2006/relationships/image" Target="media/image2.jpeg"/><Relationship Id="rId12" Type="http://schemas.openxmlformats.org/officeDocument/2006/relationships/hyperlink" Target="http://www.sec.gov/Archives/edgar/data/1681087/000119312524018812/d221662dex21.htm" TargetMode="External"/><Relationship Id="rId13" Type="http://schemas.openxmlformats.org/officeDocument/2006/relationships/hyperlink" Target="http://www.sec.gov/Archives/edgar/data/1681087/000119312524200609/d878693dex31.htm" TargetMode="External"/><Relationship Id="rId14" Type="http://schemas.openxmlformats.org/officeDocument/2006/relationships/hyperlink" Target="http://www.sec.gov/Archives/edgar/data/1681087/000119312518202460/d153924dex32.htm" TargetMode="External"/><Relationship Id="rId15" Type="http://schemas.openxmlformats.org/officeDocument/2006/relationships/hyperlink" Target="http://www.sec.gov/Archives/edgar/data/1681087/000095017025042648/tecx-ex4_1.htm" TargetMode="External"/><Relationship Id="rId16" Type="http://schemas.openxmlformats.org/officeDocument/2006/relationships/hyperlink" Target="http://www.sec.gov/Archives/edgar/data/1681087/000119312524181624/d214571dex51.htm" TargetMode="External"/><Relationship Id="rId17" Type="http://schemas.openxmlformats.org/officeDocument/2006/relationships/hyperlink" Target="http://www.sec.gov/Archives/edgar/data/1681087/000119312524164480/d852858dex103.htm" TargetMode="External"/><Relationship Id="rId18" Type="http://schemas.openxmlformats.org/officeDocument/2006/relationships/hyperlink" Target="http://www.sec.gov/Archives/edgar/data/1681087/000119312524181624/d214571dex51.htm" TargetMode="External"/><Relationship Id="rId19" Type="http://schemas.openxmlformats.org/officeDocument/2006/relationships/hyperlink" Target="http://www.sec.gov/Archives/edgar/data/1681087/000119312524181624/d214571dexfilingfees.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15849</Words>
  <Characters>82558</Characters>
  <CharactersWithSpaces>98536</CharactersWithSpaces>
  <Paragraphs>1354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