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2"/>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6200" w:type="dxa"/>
            <w:vAlign w:val="bottom"/>
            <w:gridSpan w:val="19"/>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8"/>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4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980" w:type="dxa"/>
            <w:vAlign w:val="bottom"/>
          </w:tcPr>
          <w:p>
            <w:pPr>
              <w:spacing w:after="0"/>
              <w:rPr>
                <w:sz w:val="6"/>
                <w:szCs w:val="6"/>
                <w:color w:val="auto"/>
              </w:rPr>
            </w:pPr>
          </w:p>
        </w:tc>
        <w:tc>
          <w:tcPr>
            <w:tcW w:w="5600" w:type="dxa"/>
            <w:vAlign w:val="bottom"/>
            <w:gridSpan w:val="18"/>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0" w:type="dxa"/>
            <w:vAlign w:val="bottom"/>
            <w:gridSpan w:val="1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vMerge w:val="restart"/>
          </w:tcPr>
          <w:p>
            <w:pPr>
              <w:ind w:left="20"/>
              <w:spacing w:after="0"/>
              <w:rPr>
                <w:rFonts w:ascii="Arial" w:cs="Arial" w:eastAsia="Arial" w:hAnsi="Arial"/>
                <w:sz w:val="21"/>
                <w:szCs w:val="21"/>
                <w:color w:val="0000EE"/>
                <w:w w:val="88"/>
              </w:rPr>
            </w:pPr>
            <w:hyperlink r:id="rId8">
              <w:r>
                <w:rPr>
                  <w:rFonts w:ascii="Arial" w:cs="Arial" w:eastAsia="Arial" w:hAnsi="Arial"/>
                  <w:sz w:val="21"/>
                  <w:szCs w:val="21"/>
                  <w:color w:val="0000EE"/>
                  <w:w w:val="88"/>
                </w:rPr>
                <w:t>Jenkins Annalisa</w:t>
              </w:r>
            </w:hyperlink>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06/06/2023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AVROBIO,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4"/>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100 TECHNOLOGY SQUARE, 6TH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1"/>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0"/>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8"/>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1.09</w:t>
            </w:r>
          </w:p>
        </w:tc>
        <w:tc>
          <w:tcPr>
            <w:tcW w:w="980" w:type="dxa"/>
            <w:vAlign w:val="bottom"/>
          </w:tcPr>
          <w:p>
            <w:pPr>
              <w:jc w:val="right"/>
              <w:ind w:right="111"/>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17,643</w:t>
            </w:r>
          </w:p>
        </w:tc>
        <w:tc>
          <w:tcPr>
            <w:tcW w:w="7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06/05/2033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17,643</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17,643</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60" w:firstLine="4"/>
        <w:spacing w:after="0" w:line="251"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6, 2024 or the date of the Issuer's 2024 Annual Meeting of Stockholders, subject to the reporting person's continued service as a director through such vesting date.</w:t>
      </w:r>
    </w:p>
    <w:p>
      <w:pPr>
        <w:ind w:left="6580"/>
        <w:spacing w:after="0" w:line="180" w:lineRule="auto"/>
        <w:rPr>
          <w:sz w:val="20"/>
          <w:szCs w:val="20"/>
          <w:color w:val="auto"/>
        </w:rPr>
      </w:pPr>
      <w:r>
        <w:rPr>
          <w:rFonts w:ascii="Arial" w:cs="Arial" w:eastAsia="Arial" w:hAnsi="Arial"/>
          <w:sz w:val="17"/>
          <w:szCs w:val="17"/>
          <w:color w:val="0000FF"/>
        </w:rPr>
        <w:t xml:space="preserve">/s/ Steven N. Avruch, Attorney- </w:t>
      </w:r>
      <w:r>
        <w:rPr>
          <w:rFonts w:ascii="Arial" w:cs="Arial" w:eastAsia="Arial" w:hAnsi="Arial"/>
          <w:sz w:val="32"/>
          <w:szCs w:val="32"/>
          <w:color w:val="0000FF"/>
          <w:vertAlign w:val="subscript"/>
        </w:rPr>
        <w:t>06/08/2023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7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1212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1285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39481" TargetMode="External"/><Relationship Id="rId9"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2023-06-08T15:30:26Z</dcterms:created>
  <dcterms:modified xsi:type="dcterms:W3CDTF">2023-06-08T15:30:26Z</dcterms:modified>
</cp:coreProperties>
</file>