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299085</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SCHEDULE 13D</w:t>
      </w:r>
    </w:p>
    <w:p>
      <w:pPr>
        <w:spacing w:after="0" w:line="221" w:lineRule="exact"/>
        <w:rPr>
          <w:sz w:val="24"/>
          <w:szCs w:val="24"/>
          <w:color w:val="auto"/>
        </w:rPr>
      </w:pPr>
    </w:p>
    <w:p>
      <w:pPr>
        <w:jc w:val="center"/>
        <w:ind w:right="-65"/>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21"/>
          <w:szCs w:val="2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307975</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65"/>
        <w:spacing w:after="0"/>
        <w:rPr>
          <w:sz w:val="20"/>
          <w:szCs w:val="20"/>
          <w:color w:val="auto"/>
        </w:rPr>
      </w:pPr>
      <w:r>
        <w:rPr>
          <w:rFonts w:ascii="Arial" w:cs="Arial" w:eastAsia="Arial" w:hAnsi="Arial"/>
          <w:sz w:val="39"/>
          <w:szCs w:val="39"/>
          <w:b w:val="1"/>
          <w:bCs w:val="1"/>
          <w:color w:val="auto"/>
        </w:rPr>
        <w:t>Avrobio, Inc.</w:t>
      </w:r>
    </w:p>
    <w:p>
      <w:pPr>
        <w:spacing w:after="0" w:line="41"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15"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05455M100</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(CUSIP Number)</w:t>
      </w:r>
    </w:p>
    <w:p>
      <w:pPr>
        <w:spacing w:after="0" w:line="189"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Robert Liptak</w:t>
      </w:r>
    </w:p>
    <w:p>
      <w:pPr>
        <w:spacing w:after="0" w:line="24"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Clarus Ventures, LLC</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101 Main Street, Suite 1210</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Cambridge, MA 02142</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(617) 949-2200</w:t>
      </w:r>
    </w:p>
    <w:p>
      <w:pPr>
        <w:spacing w:after="0" w:line="2"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January 4, 2019</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292735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6" w:right="120"/>
        <w:spacing w:after="0" w:line="231"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6934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251" w:lineRule="exact"/>
        <w:rPr>
          <w:sz w:val="24"/>
          <w:szCs w:val="24"/>
          <w:color w:val="auto"/>
        </w:rPr>
      </w:pPr>
    </w:p>
    <w:p>
      <w:pPr>
        <w:ind w:left="6" w:right="240"/>
        <w:spacing w:after="0" w:line="27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34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311" w:lineRule="exact"/>
        <w:rPr>
          <w:sz w:val="24"/>
          <w:szCs w:val="24"/>
          <w:color w:val="auto"/>
        </w:rPr>
      </w:pPr>
    </w:p>
    <w:p>
      <w:pPr>
        <w:ind w:left="426" w:hanging="426"/>
        <w:spacing w:after="0" w:line="301" w:lineRule="auto"/>
        <w:tabs>
          <w:tab w:leader="none" w:pos="42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ind w:left="6"/>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846"/>
          </w:cols>
          <w:pgMar w:left="654" w:top="266" w:right="740" w:bottom="1440" w:gutter="0" w:footer="0" w:header="0"/>
        </w:sectPr>
      </w:pPr>
    </w:p>
    <w:bookmarkStart w:id="1" w:name="page2"/>
    <w:bookmarkEnd w:id="1"/>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2 of 24 Pages</w:t>
      </w:r>
    </w:p>
    <w:p>
      <w:pPr>
        <w:spacing w:after="0" w:line="145" w:lineRule="exact"/>
        <w:rPr>
          <w:sz w:val="20"/>
          <w:szCs w:val="20"/>
          <w:color w:val="auto"/>
        </w:rPr>
      </w:pPr>
    </w:p>
    <w:p>
      <w:pPr>
        <w:ind w:left="480" w:hanging="241"/>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Clarus Lifesciences III, L.P.</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WC</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PN</w:t>
      </w:r>
    </w:p>
    <w:p>
      <w:pPr>
        <w:sectPr>
          <w:pgSz w:w="12240" w:h="15840" w:orient="portrait"/>
          <w:cols w:equalWidth="0" w:num="1">
            <w:col w:w="10920"/>
          </w:cols>
          <w:pgMar w:left="660" w:top="128" w:right="660" w:bottom="1440" w:gutter="0" w:footer="0" w:header="0"/>
        </w:sectPr>
      </w:pPr>
    </w:p>
    <w:bookmarkStart w:id="2" w:name="page3"/>
    <w:bookmarkEnd w:id="2"/>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3 of 24 Pages</w:t>
      </w:r>
    </w:p>
    <w:p>
      <w:pPr>
        <w:spacing w:after="0" w:line="145" w:lineRule="exact"/>
        <w:rPr>
          <w:sz w:val="20"/>
          <w:szCs w:val="20"/>
          <w:color w:val="auto"/>
        </w:rPr>
      </w:pPr>
    </w:p>
    <w:p>
      <w:pPr>
        <w:ind w:left="480" w:hanging="241"/>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Clarus Ventures III GP, L.P.</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PN</w:t>
      </w:r>
    </w:p>
    <w:p>
      <w:pPr>
        <w:sectPr>
          <w:pgSz w:w="12240" w:h="15840" w:orient="portrait"/>
          <w:cols w:equalWidth="0" w:num="1">
            <w:col w:w="10920"/>
          </w:cols>
          <w:pgMar w:left="660" w:top="128" w:right="660" w:bottom="1440" w:gutter="0" w:footer="0" w:header="0"/>
        </w:sectPr>
      </w:pPr>
    </w:p>
    <w:bookmarkStart w:id="3" w:name="page4"/>
    <w:bookmarkEnd w:id="3"/>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4 of 24 Pages</w:t>
      </w:r>
    </w:p>
    <w:p>
      <w:pPr>
        <w:spacing w:after="0" w:line="145" w:lineRule="exact"/>
        <w:rPr>
          <w:sz w:val="20"/>
          <w:szCs w:val="20"/>
          <w:color w:val="auto"/>
        </w:rPr>
      </w:pPr>
    </w:p>
    <w:p>
      <w:pPr>
        <w:ind w:left="480" w:hanging="241"/>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Clarus Ventures III, LLC</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OO</w:t>
      </w:r>
    </w:p>
    <w:p>
      <w:pPr>
        <w:sectPr>
          <w:pgSz w:w="12240" w:h="15840" w:orient="portrait"/>
          <w:cols w:equalWidth="0" w:num="1">
            <w:col w:w="10920"/>
          </w:cols>
          <w:pgMar w:left="660" w:top="128" w:right="660" w:bottom="1440" w:gutter="0" w:footer="0" w:header="0"/>
        </w:sectPr>
      </w:pPr>
    </w:p>
    <w:bookmarkStart w:id="4" w:name="page5"/>
    <w:bookmarkEnd w:id="4"/>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5 of 24 Pages</w:t>
      </w:r>
    </w:p>
    <w:p>
      <w:pPr>
        <w:spacing w:after="0" w:line="145" w:lineRule="exact"/>
        <w:rPr>
          <w:sz w:val="20"/>
          <w:szCs w:val="20"/>
          <w:color w:val="auto"/>
        </w:rPr>
      </w:pPr>
    </w:p>
    <w:p>
      <w:pPr>
        <w:ind w:left="480" w:hanging="241"/>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Blackstone Clarus III L.L.C.</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OO</w:t>
      </w:r>
    </w:p>
    <w:p>
      <w:pPr>
        <w:sectPr>
          <w:pgSz w:w="12240" w:h="15840" w:orient="portrait"/>
          <w:cols w:equalWidth="0" w:num="1">
            <w:col w:w="10920"/>
          </w:cols>
          <w:pgMar w:left="660" w:top="128" w:right="660" w:bottom="1440" w:gutter="0" w:footer="0" w:header="0"/>
        </w:sectPr>
      </w:pPr>
    </w:p>
    <w:bookmarkStart w:id="5" w:name="page6"/>
    <w:bookmarkEnd w:id="5"/>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6 of 24 Pages</w:t>
      </w:r>
    </w:p>
    <w:p>
      <w:pPr>
        <w:spacing w:after="0" w:line="145" w:lineRule="exact"/>
        <w:rPr>
          <w:sz w:val="20"/>
          <w:szCs w:val="20"/>
          <w:color w:val="auto"/>
        </w:rPr>
      </w:pPr>
    </w:p>
    <w:p>
      <w:pPr>
        <w:ind w:left="480" w:hanging="241"/>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Blackstone Holdings II L.P.</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PN</w:t>
      </w:r>
    </w:p>
    <w:p>
      <w:pPr>
        <w:sectPr>
          <w:pgSz w:w="12240" w:h="15840" w:orient="portrait"/>
          <w:cols w:equalWidth="0" w:num="1">
            <w:col w:w="10920"/>
          </w:cols>
          <w:pgMar w:left="660" w:top="128" w:right="660" w:bottom="1440" w:gutter="0" w:footer="0" w:header="0"/>
        </w:sectPr>
      </w:pPr>
    </w:p>
    <w:bookmarkStart w:id="6" w:name="page7"/>
    <w:bookmarkEnd w:id="6"/>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7 of 24 Pages</w:t>
      </w:r>
    </w:p>
    <w:p>
      <w:pPr>
        <w:spacing w:after="0" w:line="145" w:lineRule="exact"/>
        <w:rPr>
          <w:sz w:val="20"/>
          <w:szCs w:val="20"/>
          <w:color w:val="auto"/>
        </w:rPr>
      </w:pPr>
    </w:p>
    <w:p>
      <w:pPr>
        <w:ind w:left="480" w:hanging="241"/>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Blackstone Holdings I/II GP Inc.</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CO</w:t>
      </w:r>
    </w:p>
    <w:p>
      <w:pPr>
        <w:sectPr>
          <w:pgSz w:w="12240" w:h="15840" w:orient="portrait"/>
          <w:cols w:equalWidth="0" w:num="1">
            <w:col w:w="10920"/>
          </w:cols>
          <w:pgMar w:left="660" w:top="128" w:right="660" w:bottom="1440" w:gutter="0" w:footer="0" w:header="0"/>
        </w:sectPr>
      </w:pPr>
    </w:p>
    <w:bookmarkStart w:id="7" w:name="page8"/>
    <w:bookmarkEnd w:id="7"/>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8 of 24 Pages</w:t>
      </w:r>
    </w:p>
    <w:p>
      <w:pPr>
        <w:spacing w:after="0" w:line="145" w:lineRule="exact"/>
        <w:rPr>
          <w:sz w:val="20"/>
          <w:szCs w:val="20"/>
          <w:color w:val="auto"/>
        </w:rPr>
      </w:pPr>
    </w:p>
    <w:p>
      <w:pPr>
        <w:ind w:left="480" w:hanging="241"/>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The Blackstone Group L.P.</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PN</w:t>
      </w:r>
    </w:p>
    <w:p>
      <w:pPr>
        <w:sectPr>
          <w:pgSz w:w="12240" w:h="15840" w:orient="portrait"/>
          <w:cols w:equalWidth="0" w:num="1">
            <w:col w:w="10920"/>
          </w:cols>
          <w:pgMar w:left="660" w:top="128" w:right="660" w:bottom="1440" w:gutter="0" w:footer="0" w:header="0"/>
        </w:sectPr>
      </w:pPr>
    </w:p>
    <w:bookmarkStart w:id="8" w:name="page9"/>
    <w:bookmarkEnd w:id="8"/>
    <w:p>
      <w:pPr>
        <w:spacing w:after="0"/>
        <w:tabs>
          <w:tab w:leader="none" w:pos="5340" w:val="left"/>
          <w:tab w:leader="none" w:pos="9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9 of 24 Pages</w:t>
      </w:r>
    </w:p>
    <w:p>
      <w:pPr>
        <w:spacing w:after="0" w:line="145" w:lineRule="exact"/>
        <w:rPr>
          <w:sz w:val="20"/>
          <w:szCs w:val="20"/>
          <w:color w:val="auto"/>
        </w:rPr>
      </w:pPr>
    </w:p>
    <w:p>
      <w:pPr>
        <w:ind w:left="480" w:hanging="241"/>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Blackstone Group Management L.L.C.</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OO</w:t>
      </w:r>
    </w:p>
    <w:p>
      <w:pPr>
        <w:sectPr>
          <w:pgSz w:w="12240" w:h="15840" w:orient="portrait"/>
          <w:cols w:equalWidth="0" w:num="1">
            <w:col w:w="10920"/>
          </w:cols>
          <w:pgMar w:left="660" w:top="128" w:right="660" w:bottom="1440" w:gutter="0" w:footer="0" w:header="0"/>
        </w:sectPr>
      </w:pPr>
    </w:p>
    <w:bookmarkStart w:id="9" w:name="page10"/>
    <w:bookmarkEnd w:id="9"/>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10 of 24 Pages</w:t>
      </w:r>
    </w:p>
    <w:p>
      <w:pPr>
        <w:spacing w:after="0" w:line="145" w:lineRule="exact"/>
        <w:rPr>
          <w:sz w:val="20"/>
          <w:szCs w:val="20"/>
          <w:color w:val="auto"/>
        </w:rPr>
      </w:pPr>
    </w:p>
    <w:p>
      <w:pPr>
        <w:ind w:left="480" w:hanging="241"/>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Stephen A. Schwarzman</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Delaware</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2,962,325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2,962,325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2,962,325 shares</w:t>
      </w:r>
    </w:p>
    <w:p>
      <w:pPr>
        <w:spacing w:after="0" w:line="31" w:lineRule="exact"/>
        <w:rPr>
          <w:sz w:val="20"/>
          <w:szCs w:val="20"/>
          <w:color w:val="auto"/>
        </w:rPr>
      </w:pPr>
    </w:p>
    <w:p>
      <w:pPr>
        <w:ind w:left="460" w:hanging="310"/>
        <w:spacing w:after="0" w:line="207" w:lineRule="exact"/>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12.4%</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0" w:name="page11"/>
    <w:bookmarkEnd w:id="10"/>
    <w:p>
      <w:pPr>
        <w:spacing w:after="0"/>
        <w:tabs>
          <w:tab w:leader="none" w:pos="5340" w:val="left"/>
          <w:tab w:leader="none" w:pos="9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11 of 24 Pages</w:t>
      </w:r>
    </w:p>
    <w:p>
      <w:pPr>
        <w:spacing w:after="0" w:line="145" w:lineRule="exact"/>
        <w:rPr>
          <w:sz w:val="20"/>
          <w:szCs w:val="20"/>
          <w:color w:val="auto"/>
        </w:rPr>
      </w:pPr>
    </w:p>
    <w:p>
      <w:pPr>
        <w:ind w:left="480" w:hanging="241"/>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21"/>
                <w:szCs w:val="21"/>
                <w:color w:val="auto"/>
              </w:rPr>
              <w:t>Robert Liptak</w:t>
            </w:r>
          </w:p>
        </w:tc>
        <w:tc>
          <w:tcPr>
            <w:tcW w:w="9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United States citizen</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1" w:name="page12"/>
    <w:bookmarkEnd w:id="11"/>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12 of 24 Pages</w:t>
      </w:r>
    </w:p>
    <w:p>
      <w:pPr>
        <w:spacing w:after="0" w:line="145" w:lineRule="exact"/>
        <w:rPr>
          <w:sz w:val="20"/>
          <w:szCs w:val="20"/>
          <w:color w:val="auto"/>
        </w:rPr>
      </w:pPr>
    </w:p>
    <w:p>
      <w:pPr>
        <w:ind w:left="480" w:hanging="241"/>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21"/>
                <w:szCs w:val="21"/>
                <w:color w:val="auto"/>
                <w:w w:val="95"/>
              </w:rPr>
              <w:t>Nicholas Simon</w:t>
            </w:r>
          </w:p>
        </w:tc>
        <w:tc>
          <w:tcPr>
            <w:tcW w:w="9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60" w:type="dxa"/>
            <w:vAlign w:val="bottom"/>
          </w:tcPr>
          <w:p>
            <w:pPr>
              <w:jc w:val="right"/>
              <w:ind w:right="72"/>
              <w:spacing w:after="0" w:line="181" w:lineRule="exact"/>
              <w:rPr>
                <w:sz w:val="20"/>
                <w:szCs w:val="20"/>
                <w:color w:val="auto"/>
              </w:rPr>
            </w:pPr>
            <w:r>
              <w:rPr>
                <w:rFonts w:ascii="MS PGothic" w:cs="MS PGothic" w:eastAsia="MS PGothic" w:hAnsi="MS PGothic"/>
                <w:sz w:val="18"/>
                <w:szCs w:val="18"/>
                <w:color w:val="auto"/>
                <w:w w:val="99"/>
              </w:rPr>
              <w:t>☒</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6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United States citizen</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90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60" w:type="dxa"/>
            <w:vAlign w:val="bottom"/>
          </w:tcPr>
          <w:p>
            <w:pPr>
              <w:spacing w:after="0"/>
              <w:rPr>
                <w:sz w:val="24"/>
                <w:szCs w:val="24"/>
                <w:color w:val="auto"/>
              </w:rPr>
            </w:pPr>
          </w:p>
        </w:tc>
        <w:tc>
          <w:tcPr>
            <w:tcW w:w="9020" w:type="dxa"/>
            <w:vAlign w:val="bottom"/>
          </w:tcPr>
          <w:p>
            <w:pPr>
              <w:ind w:left="4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ind w:right="32"/>
              <w:spacing w:after="0" w:line="154" w:lineRule="exact"/>
              <w:rPr>
                <w:sz w:val="20"/>
                <w:szCs w:val="20"/>
                <w:color w:val="auto"/>
              </w:rPr>
            </w:pPr>
            <w:r>
              <w:rPr>
                <w:rFonts w:ascii="Arial" w:cs="Arial" w:eastAsia="Arial" w:hAnsi="Arial"/>
                <w:sz w:val="17"/>
                <w:szCs w:val="17"/>
                <w:color w:val="auto"/>
              </w:rPr>
              <w:t>8</w:t>
            </w:r>
          </w:p>
        </w:tc>
        <w:tc>
          <w:tcPr>
            <w:tcW w:w="9020" w:type="dxa"/>
            <w:vAlign w:val="bottom"/>
          </w:tcPr>
          <w:p>
            <w:pPr>
              <w:ind w:left="4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60" w:type="dxa"/>
            <w:vAlign w:val="bottom"/>
          </w:tcPr>
          <w:p>
            <w:pPr>
              <w:spacing w:after="0"/>
              <w:rPr>
                <w:sz w:val="18"/>
                <w:szCs w:val="18"/>
                <w:color w:val="auto"/>
              </w:rPr>
            </w:pPr>
          </w:p>
        </w:tc>
        <w:tc>
          <w:tcPr>
            <w:tcW w:w="9020" w:type="dxa"/>
            <w:vAlign w:val="bottom"/>
            <w:vMerge w:val="restart"/>
          </w:tcPr>
          <w:p>
            <w:pPr>
              <w:ind w:left="4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restart"/>
          </w:tcPr>
          <w:p>
            <w:pPr>
              <w:jc w:val="right"/>
              <w:ind w:right="32"/>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60" w:type="dxa"/>
            <w:vAlign w:val="bottom"/>
          </w:tcPr>
          <w:p>
            <w:pPr>
              <w:spacing w:after="0"/>
              <w:rPr>
                <w:sz w:val="18"/>
                <w:szCs w:val="18"/>
                <w:color w:val="auto"/>
              </w:rPr>
            </w:pPr>
          </w:p>
        </w:tc>
        <w:tc>
          <w:tcPr>
            <w:tcW w:w="9020" w:type="dxa"/>
            <w:vAlign w:val="bottom"/>
            <w:vMerge w:val="restart"/>
          </w:tcPr>
          <w:p>
            <w:pPr>
              <w:ind w:left="4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60" w:type="dxa"/>
            <w:vAlign w:val="bottom"/>
          </w:tcPr>
          <w:p>
            <w:pPr>
              <w:spacing w:after="0"/>
              <w:rPr>
                <w:sz w:val="17"/>
                <w:szCs w:val="17"/>
                <w:color w:val="auto"/>
              </w:rPr>
            </w:pPr>
          </w:p>
        </w:tc>
        <w:tc>
          <w:tcPr>
            <w:tcW w:w="9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2" w:name="page13"/>
    <w:bookmarkEnd w:id="12"/>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13 of 24 Pages</w:t>
      </w:r>
    </w:p>
    <w:p>
      <w:pPr>
        <w:spacing w:after="0" w:line="145" w:lineRule="exact"/>
        <w:rPr>
          <w:sz w:val="20"/>
          <w:szCs w:val="20"/>
          <w:color w:val="auto"/>
        </w:rPr>
      </w:pPr>
    </w:p>
    <w:p>
      <w:pPr>
        <w:ind w:left="480" w:hanging="241"/>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Nicholas Galakatos</w:t>
            </w: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United States citizen</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3" w:name="page14"/>
    <w:bookmarkEnd w:id="13"/>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14 of 24 Pages</w:t>
      </w:r>
    </w:p>
    <w:p>
      <w:pPr>
        <w:spacing w:after="0" w:line="145" w:lineRule="exact"/>
        <w:rPr>
          <w:sz w:val="20"/>
          <w:szCs w:val="20"/>
          <w:color w:val="auto"/>
        </w:rPr>
      </w:pPr>
    </w:p>
    <w:p>
      <w:pPr>
        <w:ind w:left="480" w:hanging="241"/>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21"/>
                <w:szCs w:val="21"/>
                <w:color w:val="auto"/>
                <w:w w:val="97"/>
              </w:rPr>
              <w:t>Dennis Henner</w:t>
            </w:r>
          </w:p>
        </w:tc>
        <w:tc>
          <w:tcPr>
            <w:tcW w:w="9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United States citizen</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4" w:name="page15"/>
    <w:bookmarkEnd w:id="14"/>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15 of 24 Pages</w:t>
      </w:r>
    </w:p>
    <w:p>
      <w:pPr>
        <w:spacing w:after="0" w:line="145" w:lineRule="exact"/>
        <w:rPr>
          <w:sz w:val="20"/>
          <w:szCs w:val="20"/>
          <w:color w:val="auto"/>
        </w:rPr>
      </w:pPr>
    </w:p>
    <w:p>
      <w:pPr>
        <w:ind w:left="480" w:hanging="241"/>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21"/>
                <w:szCs w:val="21"/>
                <w:color w:val="auto"/>
              </w:rPr>
              <w:t>Kurt Wheeler</w:t>
            </w:r>
          </w:p>
        </w:tc>
        <w:tc>
          <w:tcPr>
            <w:tcW w:w="9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United States citizen</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5" w:name="page16"/>
    <w:bookmarkEnd w:id="15"/>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16 of 24 Pages</w:t>
      </w:r>
    </w:p>
    <w:p>
      <w:pPr>
        <w:spacing w:after="0" w:line="145" w:lineRule="exact"/>
        <w:rPr>
          <w:sz w:val="20"/>
          <w:szCs w:val="20"/>
          <w:color w:val="auto"/>
        </w:rPr>
      </w:pPr>
    </w:p>
    <w:p>
      <w:pPr>
        <w:ind w:left="480" w:hanging="241"/>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6942455" cy="6092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2455" cy="60928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21"/>
                <w:szCs w:val="21"/>
                <w:color w:val="auto"/>
              </w:rPr>
              <w:t>Scott Requadt</w:t>
            </w:r>
          </w:p>
        </w:tc>
        <w:tc>
          <w:tcPr>
            <w:tcW w:w="9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10520" w:type="dxa"/>
            <w:vAlign w:val="bottom"/>
            <w:gridSpan w:val="4"/>
          </w:tcPr>
          <w:p>
            <w:pPr>
              <w:ind w:left="8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4"/>
                <w:szCs w:val="24"/>
                <w:color w:val="auto"/>
              </w:rPr>
            </w:pPr>
          </w:p>
        </w:tc>
        <w:tc>
          <w:tcPr>
            <w:tcW w:w="11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20" w:type="dxa"/>
            <w:vAlign w:val="bottom"/>
          </w:tcPr>
          <w:p>
            <w:pPr>
              <w:jc w:val="right"/>
              <w:ind w:right="32"/>
              <w:spacing w:after="0" w:line="181" w:lineRule="exact"/>
              <w:rPr>
                <w:sz w:val="20"/>
                <w:szCs w:val="20"/>
                <w:color w:val="auto"/>
              </w:rPr>
            </w:pPr>
            <w:r>
              <w:rPr>
                <w:rFonts w:ascii="MS PGothic" w:cs="MS PGothic" w:eastAsia="MS PGothic" w:hAnsi="MS PGothic"/>
                <w:sz w:val="18"/>
                <w:szCs w:val="18"/>
                <w:color w:val="auto"/>
                <w:w w:val="99"/>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21"/>
                <w:szCs w:val="21"/>
                <w:color w:val="auto"/>
              </w:rPr>
              <w:t>AF</w:t>
            </w:r>
          </w:p>
        </w:tc>
        <w:tc>
          <w:tcPr>
            <w:tcW w:w="3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52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4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5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gridSpan w:val="4"/>
          </w:tcPr>
          <w:p>
            <w:pPr>
              <w:ind w:left="80"/>
              <w:spacing w:after="0"/>
              <w:rPr>
                <w:sz w:val="20"/>
                <w:szCs w:val="20"/>
                <w:color w:val="auto"/>
              </w:rPr>
            </w:pPr>
            <w:r>
              <w:rPr>
                <w:rFonts w:ascii="Arial" w:cs="Arial" w:eastAsia="Arial" w:hAnsi="Arial"/>
                <w:sz w:val="21"/>
                <w:szCs w:val="21"/>
                <w:color w:val="auto"/>
              </w:rPr>
              <w:t>United States citizen</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7"/>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9"/>
              </w:rPr>
              <w:t>NUMBER OF</w:t>
            </w:r>
          </w:p>
        </w:tc>
        <w:tc>
          <w:tcPr>
            <w:tcW w:w="320" w:type="dxa"/>
            <w:vAlign w:val="bottom"/>
          </w:tcPr>
          <w:p>
            <w:pPr>
              <w:spacing w:after="0"/>
              <w:rPr>
                <w:sz w:val="24"/>
                <w:szCs w:val="24"/>
                <w:color w:val="auto"/>
              </w:rPr>
            </w:pPr>
          </w:p>
        </w:tc>
        <w:tc>
          <w:tcPr>
            <w:tcW w:w="9060" w:type="dxa"/>
            <w:vAlign w:val="bottom"/>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7"/>
                <w:szCs w:val="17"/>
                <w:color w:val="auto"/>
              </w:rPr>
              <w:t>8</w:t>
            </w:r>
          </w:p>
        </w:tc>
        <w:tc>
          <w:tcPr>
            <w:tcW w:w="9060" w:type="dxa"/>
            <w:vAlign w:val="bottom"/>
          </w:tcPr>
          <w:p>
            <w:pPr>
              <w:ind w:left="80"/>
              <w:spacing w:after="0" w:line="154" w:lineRule="exact"/>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209"/>
        </w:trPr>
        <w:tc>
          <w:tcPr>
            <w:tcW w:w="154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rPr>
              <w:t>BENEFICIALLY</w:t>
            </w:r>
          </w:p>
        </w:tc>
        <w:tc>
          <w:tcPr>
            <w:tcW w:w="32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1540" w:type="dxa"/>
            <w:vAlign w:val="bottom"/>
            <w:gridSpan w:val="3"/>
            <w:vMerge w:val="restart"/>
          </w:tcPr>
          <w:p>
            <w:pPr>
              <w:jc w:val="center"/>
              <w:ind w:left="11"/>
              <w:spacing w:after="0"/>
              <w:rPr>
                <w:sz w:val="20"/>
                <w:szCs w:val="20"/>
                <w:color w:val="auto"/>
              </w:rPr>
            </w:pPr>
            <w:r>
              <w:rPr>
                <w:rFonts w:ascii="Arial" w:cs="Arial" w:eastAsia="Arial" w:hAnsi="Arial"/>
                <w:sz w:val="18"/>
                <w:szCs w:val="18"/>
                <w:b w:val="1"/>
                <w:bCs w:val="1"/>
                <w:color w:val="auto"/>
              </w:rPr>
              <w:t>REPORTING</w:t>
            </w:r>
          </w:p>
        </w:tc>
        <w:tc>
          <w:tcPr>
            <w:tcW w:w="3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PERSON</w:t>
            </w:r>
          </w:p>
        </w:tc>
        <w:tc>
          <w:tcPr>
            <w:tcW w:w="320" w:type="dxa"/>
            <w:vAlign w:val="bottom"/>
          </w:tcPr>
          <w:p>
            <w:pPr>
              <w:spacing w:after="0"/>
              <w:rPr>
                <w:sz w:val="18"/>
                <w:szCs w:val="18"/>
                <w:color w:val="auto"/>
              </w:rPr>
            </w:pPr>
          </w:p>
        </w:tc>
        <w:tc>
          <w:tcPr>
            <w:tcW w:w="9060" w:type="dxa"/>
            <w:vAlign w:val="bottom"/>
            <w:vMerge w:val="restart"/>
          </w:tcPr>
          <w:p>
            <w:pPr>
              <w:ind w:left="80"/>
              <w:spacing w:after="0"/>
              <w:rPr>
                <w:sz w:val="20"/>
                <w:szCs w:val="20"/>
                <w:color w:val="auto"/>
              </w:rPr>
            </w:pPr>
            <w:r>
              <w:rPr>
                <w:rFonts w:ascii="Arial" w:cs="Arial" w:eastAsia="Arial" w:hAnsi="Arial"/>
                <w:sz w:val="21"/>
                <w:szCs w:val="21"/>
                <w:color w:val="auto"/>
              </w:rPr>
              <w:t>0 shares</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140" w:type="dxa"/>
            <w:vAlign w:val="bottom"/>
            <w:gridSpan w:val="2"/>
          </w:tcPr>
          <w:p>
            <w:pPr>
              <w:jc w:val="center"/>
              <w:ind w:right="320"/>
              <w:spacing w:after="0" w:line="206" w:lineRule="exact"/>
              <w:rPr>
                <w:sz w:val="20"/>
                <w:szCs w:val="20"/>
                <w:color w:val="auto"/>
              </w:rPr>
            </w:pPr>
            <w:r>
              <w:rPr>
                <w:rFonts w:ascii="Arial" w:cs="Arial" w:eastAsia="Arial" w:hAnsi="Arial"/>
                <w:sz w:val="18"/>
                <w:szCs w:val="18"/>
                <w:b w:val="1"/>
                <w:bCs w:val="1"/>
                <w:color w:val="auto"/>
              </w:rPr>
              <w:t>WITH</w:t>
            </w:r>
          </w:p>
        </w:tc>
        <w:tc>
          <w:tcPr>
            <w:tcW w:w="320" w:type="dxa"/>
            <w:vAlign w:val="bottom"/>
          </w:tcPr>
          <w:p>
            <w:pPr>
              <w:spacing w:after="0"/>
              <w:rPr>
                <w:sz w:val="17"/>
                <w:szCs w:val="17"/>
                <w:color w:val="auto"/>
              </w:rPr>
            </w:pPr>
          </w:p>
        </w:tc>
        <w:tc>
          <w:tcPr>
            <w:tcW w:w="9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0 shares</w:t>
      </w:r>
    </w:p>
    <w:p>
      <w:pPr>
        <w:spacing w:after="0" w:line="33"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 shares</w:t>
      </w:r>
    </w:p>
    <w:p>
      <w:pPr>
        <w:spacing w:after="0" w:line="31" w:lineRule="exact"/>
        <w:rPr>
          <w:sz w:val="20"/>
          <w:szCs w:val="20"/>
          <w:color w:val="auto"/>
        </w:rPr>
      </w:pPr>
    </w:p>
    <w:p>
      <w:pPr>
        <w:ind w:left="460" w:hanging="310"/>
        <w:spacing w:after="0" w:line="207" w:lineRule="exact"/>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6" w:lineRule="exact"/>
        <w:rPr>
          <w:rFonts w:ascii="Arial" w:cs="Arial" w:eastAsia="Arial" w:hAnsi="Arial"/>
          <w:sz w:val="18"/>
          <w:szCs w:val="18"/>
          <w:color w:val="auto"/>
        </w:rPr>
      </w:pPr>
    </w:p>
    <w:p>
      <w:pPr>
        <w:ind w:left="460" w:hanging="31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0.0%</w:t>
      </w:r>
    </w:p>
    <w:p>
      <w:pPr>
        <w:spacing w:after="0" w:line="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14  TYPE OF REPORTING PERSON (SEE INSTRUCTIONS)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IN</w:t>
      </w:r>
    </w:p>
    <w:p>
      <w:pPr>
        <w:sectPr>
          <w:pgSz w:w="12240" w:h="15840" w:orient="portrait"/>
          <w:cols w:equalWidth="0" w:num="1">
            <w:col w:w="10920"/>
          </w:cols>
          <w:pgMar w:left="660" w:top="128" w:right="660" w:bottom="1440" w:gutter="0" w:footer="0" w:header="0"/>
        </w:sectPr>
      </w:pPr>
    </w:p>
    <w:bookmarkStart w:id="16" w:name="page17"/>
    <w:bookmarkEnd w:id="16"/>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17 of 24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Security and Issuer</w:t>
      </w:r>
      <w:r>
        <w:rPr>
          <w:rFonts w:ascii="Arial" w:cs="Arial" w:eastAsia="Arial" w:hAnsi="Arial"/>
          <w:sz w:val="18"/>
          <w:szCs w:val="18"/>
          <w:color w:val="auto"/>
        </w:rPr>
        <w:t>.</w:t>
      </w:r>
    </w:p>
    <w:p>
      <w:pPr>
        <w:spacing w:after="0" w:line="114" w:lineRule="exact"/>
        <w:rPr>
          <w:sz w:val="20"/>
          <w:szCs w:val="20"/>
          <w:color w:val="auto"/>
        </w:rPr>
      </w:pPr>
    </w:p>
    <w:p>
      <w:pPr>
        <w:ind w:right="140" w:firstLine="437"/>
        <w:spacing w:after="0" w:line="307" w:lineRule="auto"/>
        <w:rPr>
          <w:sz w:val="20"/>
          <w:szCs w:val="20"/>
          <w:color w:val="auto"/>
        </w:rPr>
      </w:pPr>
      <w:r>
        <w:rPr>
          <w:rFonts w:ascii="Arial" w:cs="Arial" w:eastAsia="Arial" w:hAnsi="Arial"/>
          <w:sz w:val="16"/>
          <w:szCs w:val="16"/>
          <w:color w:val="auto"/>
        </w:rPr>
        <w:t>This Amendment No. 1 (“Amendment No. 1”) to the statement on Schedule 13D amends and supplements the statement on Schedule 13D originally filed on July 5, 2018 (the “Original 13D”) relating to the Common Stock, par value $0.0001 per share (the “Common Stock”), of Avrobio, Inc. (the “Issuer”). The address of the principal executive offices of the Issuer is One Kendall Square, Building 300, Suite 201, Cambridge, MA 02139.</w:t>
      </w:r>
    </w:p>
    <w:p>
      <w:pPr>
        <w:spacing w:after="0" w:line="150" w:lineRule="exact"/>
        <w:rPr>
          <w:sz w:val="20"/>
          <w:szCs w:val="20"/>
          <w:color w:val="auto"/>
        </w:rPr>
      </w:pPr>
    </w:p>
    <w:p>
      <w:pPr>
        <w:ind w:right="140" w:firstLine="437"/>
        <w:spacing w:after="0" w:line="255" w:lineRule="auto"/>
        <w:rPr>
          <w:sz w:val="20"/>
          <w:szCs w:val="20"/>
          <w:color w:val="auto"/>
        </w:rPr>
      </w:pPr>
      <w:r>
        <w:rPr>
          <w:rFonts w:ascii="Arial" w:cs="Arial" w:eastAsia="Arial" w:hAnsi="Arial"/>
          <w:sz w:val="18"/>
          <w:szCs w:val="18"/>
          <w:color w:val="auto"/>
        </w:rPr>
        <w:t>This Amendment No. 1 is being filed in connection with the acquisition by The Blackstone Group L.P. and certain of its affiliates (“Blackstone”) of Clarus Ventures, LLC and certain of its affiliates (collectively, “Clarus”). On January 4, 2019, Blackstone integrated the Clarus business into Blackstone (the “Clarus Integration”). As a result of such integration, Blackstone may be deemed to have become the beneficial owner of the securities beneficially owned by Clarus, including the securities of the Issuer.</w:t>
      </w:r>
    </w:p>
    <w:p>
      <w:pPr>
        <w:spacing w:after="0" w:line="191" w:lineRule="exact"/>
        <w:rPr>
          <w:sz w:val="20"/>
          <w:szCs w:val="20"/>
          <w:color w:val="auto"/>
        </w:rPr>
      </w:pPr>
    </w:p>
    <w:p>
      <w:pPr>
        <w:ind w:right="520" w:firstLine="437"/>
        <w:spacing w:after="0" w:line="301" w:lineRule="auto"/>
        <w:rPr>
          <w:sz w:val="20"/>
          <w:szCs w:val="20"/>
          <w:color w:val="auto"/>
        </w:rPr>
      </w:pPr>
      <w:r>
        <w:rPr>
          <w:rFonts w:ascii="Arial" w:cs="Arial" w:eastAsia="Arial" w:hAnsi="Arial"/>
          <w:sz w:val="17"/>
          <w:szCs w:val="17"/>
          <w:color w:val="auto"/>
        </w:rPr>
        <w:t>Certain terms used but not defined in this Amendment No. 1 have the meanings assigned thereto in the Original 13D. Except as specifically provided herein, this Amendment No. 1 does not modify any of the information previously reported on the Original 13D.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Identity and Background</w:t>
      </w:r>
      <w:r>
        <w:rPr>
          <w:rFonts w:ascii="Arial" w:cs="Arial" w:eastAsia="Arial" w:hAnsi="Arial"/>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statement is being filed by:</w:t>
      </w:r>
    </w:p>
    <w:p>
      <w:pPr>
        <w:spacing w:after="0" w:line="114" w:lineRule="exact"/>
        <w:rPr>
          <w:sz w:val="20"/>
          <w:szCs w:val="20"/>
          <w:color w:val="auto"/>
        </w:rPr>
      </w:pPr>
    </w:p>
    <w:p>
      <w:pPr>
        <w:ind w:left="680" w:hanging="25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Clarus Lifesciences III, L.P. (the “Fund”);</w:t>
      </w:r>
    </w:p>
    <w:p>
      <w:pPr>
        <w:spacing w:after="0" w:line="221" w:lineRule="exact"/>
        <w:rPr>
          <w:rFonts w:ascii="Arial" w:cs="Arial" w:eastAsia="Arial" w:hAnsi="Arial"/>
          <w:sz w:val="18"/>
          <w:szCs w:val="18"/>
          <w:color w:val="auto"/>
        </w:rPr>
      </w:pPr>
    </w:p>
    <w:p>
      <w:pPr>
        <w:ind w:left="680" w:hanging="25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Clarus Ventures III GP, L.P. (“Clarus GP”), which is the sole general partner of the Fund;</w:t>
      </w:r>
    </w:p>
    <w:p>
      <w:pPr>
        <w:spacing w:after="0" w:line="221" w:lineRule="exact"/>
        <w:rPr>
          <w:rFonts w:ascii="Arial" w:cs="Arial" w:eastAsia="Arial" w:hAnsi="Arial"/>
          <w:sz w:val="18"/>
          <w:szCs w:val="18"/>
          <w:color w:val="auto"/>
        </w:rPr>
      </w:pPr>
    </w:p>
    <w:p>
      <w:pPr>
        <w:ind w:right="60" w:firstLine="430"/>
        <w:spacing w:after="0" w:line="252" w:lineRule="auto"/>
        <w:tabs>
          <w:tab w:leader="none" w:pos="6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Blackstone Clarus III L.L.C., which is the sole general partner of Clarus GP, Blackstone Holdings II L.P., which is the sole member of Blackstone Clarus III L.L.C., Blackstone Holdings I/II GP Inc., which is the sole general partner of Blackstone Holdings II L.P., The Blackstone Group L.P., which is the controlling shareholder of Blackstone Holdings I/II GP Inc., and Blackstone Group Management L.L.C. (collectively, with Blackstone Clarus III L.L.C., Blackstone Holdings II L.P., Blackstone Holdings I/II GP Inc. and The Blackstone Group L.P., the “Control Entities”), which is the sole general partner of The Blackstone Group L.P. and which is wholly-owned by Blackstone’s senior managing directors and controlled by its founder, Stephen A. Schwarzman; and</w:t>
      </w:r>
    </w:p>
    <w:p>
      <w:pPr>
        <w:spacing w:after="0" w:line="194" w:lineRule="exact"/>
        <w:rPr>
          <w:rFonts w:ascii="Arial" w:cs="Arial" w:eastAsia="Arial" w:hAnsi="Arial"/>
          <w:sz w:val="18"/>
          <w:szCs w:val="18"/>
          <w:color w:val="auto"/>
        </w:rPr>
      </w:pPr>
    </w:p>
    <w:p>
      <w:pPr>
        <w:jc w:val="both"/>
        <w:ind w:right="20" w:firstLine="430"/>
        <w:spacing w:after="0" w:line="259" w:lineRule="auto"/>
        <w:tabs>
          <w:tab w:leader="none" w:pos="6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Clarus Ventures III, LLC (“Clarus GP LLC”) and Robert Liptak, Nicholas Simon, Nicholas Galakatos, Dennis Henner, Kurt Wheeler and Scott Requadt (together, the “Managing Directors”, and collectively with Clarus GP LLC, the “Clarus Persons”). The Managing Directors are the members of Clarus GP LLC. Clarus GP LLC is the former general partner of Clarus GP.</w:t>
      </w:r>
    </w:p>
    <w:p>
      <w:pPr>
        <w:spacing w:after="0" w:line="186" w:lineRule="exact"/>
        <w:rPr>
          <w:sz w:val="20"/>
          <w:szCs w:val="20"/>
          <w:color w:val="auto"/>
        </w:rPr>
      </w:pPr>
    </w:p>
    <w:p>
      <w:pPr>
        <w:ind w:right="200" w:firstLine="437"/>
        <w:spacing w:after="0" w:line="255" w:lineRule="auto"/>
        <w:rPr>
          <w:sz w:val="20"/>
          <w:szCs w:val="20"/>
          <w:color w:val="auto"/>
        </w:rPr>
      </w:pPr>
      <w:r>
        <w:rPr>
          <w:rFonts w:ascii="Arial" w:cs="Arial" w:eastAsia="Arial" w:hAnsi="Arial"/>
          <w:sz w:val="18"/>
          <w:szCs w:val="18"/>
          <w:color w:val="auto"/>
        </w:rPr>
        <w:t xml:space="preserve">The persons named in this Item 2 are referred to individually herein as a “Reporting Person” and collectively as the “Reporting Persons.” The Reporting Persons have entered into a Joint Filing Agreement, dated as of the date hereof, a copy of which is filed with this Schedule 13D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99.1</w:t>
      </w:r>
      <w:r>
        <w:rPr>
          <w:rFonts w:ascii="Arial" w:cs="Arial" w:eastAsia="Arial" w:hAnsi="Arial"/>
          <w:sz w:val="18"/>
          <w:szCs w:val="18"/>
          <w:color w:val="auto"/>
        </w:rPr>
        <w:t xml:space="preserve"> (which is incorporated herein by reference), pursuant to which the Reporting Persons have agreed to file this statement jointly in accordance with the provisions of Rule 13d-1(k) under the Act.</w:t>
      </w:r>
    </w:p>
    <w:p>
      <w:pPr>
        <w:spacing w:after="0" w:line="191" w:lineRule="exact"/>
        <w:rPr>
          <w:sz w:val="20"/>
          <w:szCs w:val="20"/>
          <w:color w:val="auto"/>
        </w:rPr>
      </w:pPr>
    </w:p>
    <w:p>
      <w:pPr>
        <w:ind w:right="60" w:firstLine="437"/>
        <w:spacing w:after="0" w:line="255" w:lineRule="auto"/>
        <w:rPr>
          <w:sz w:val="20"/>
          <w:szCs w:val="20"/>
          <w:color w:val="auto"/>
        </w:rPr>
      </w:pPr>
      <w:r>
        <w:rPr>
          <w:rFonts w:ascii="Arial" w:cs="Arial" w:eastAsia="Arial" w:hAnsi="Arial"/>
          <w:sz w:val="18"/>
          <w:szCs w:val="18"/>
          <w:color w:val="auto"/>
        </w:rPr>
        <w:t>The address of the principal business office of the Fund, Clarus GP and each of the Clarus Persons other than Mr. Requadt is Clarus Ventures, 101 Main Street, Suite 1210, Cambridge, MA 02142. The address of the principal business office of Mr. Requadt is 15 Lewis Path, Wayland, MA 01778. The address of the principal business office of each of the Control Entities and Mr. Schwarzman is c/o The Blackstone Group L.P., 345 Park Avenue, New York, NY 10154.</w:t>
      </w:r>
    </w:p>
    <w:p>
      <w:pPr>
        <w:sectPr>
          <w:pgSz w:w="12240" w:h="15840" w:orient="portrait"/>
          <w:cols w:equalWidth="0" w:num="1">
            <w:col w:w="10920"/>
          </w:cols>
          <w:pgMar w:left="660" w:top="128" w:right="660" w:bottom="1440" w:gutter="0" w:footer="0" w:header="0"/>
        </w:sectPr>
      </w:pPr>
    </w:p>
    <w:bookmarkStart w:id="17" w:name="page18"/>
    <w:bookmarkEnd w:id="17"/>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18 of 24 Pages</w:t>
      </w:r>
    </w:p>
    <w:p>
      <w:pPr>
        <w:spacing w:after="0" w:line="158" w:lineRule="exact"/>
        <w:rPr>
          <w:sz w:val="20"/>
          <w:szCs w:val="20"/>
          <w:color w:val="auto"/>
        </w:rPr>
      </w:pPr>
    </w:p>
    <w:p>
      <w:pPr>
        <w:ind w:right="20" w:firstLine="437"/>
        <w:spacing w:after="0" w:line="297" w:lineRule="auto"/>
        <w:rPr>
          <w:sz w:val="20"/>
          <w:szCs w:val="20"/>
          <w:color w:val="auto"/>
        </w:rPr>
      </w:pPr>
      <w:r>
        <w:rPr>
          <w:rFonts w:ascii="Arial" w:cs="Arial" w:eastAsia="Arial" w:hAnsi="Arial"/>
          <w:sz w:val="16"/>
          <w:szCs w:val="16"/>
          <w:color w:val="auto"/>
        </w:rPr>
        <w:t>The principal business of the Fund is to invest in and assist early-stage and/or growth-oriented businesses in healthcare and life sciences. The principal business of Clarus GP is to act as the sole general partner of the Fund. The principal business of Clarus GP LLC is to act as a general partner of investment vehicles. The principal business of each of the Managing Directors other than Mr. Requadt is serving as an employee of Blackstone or one of its affiliates with similar businesses. The principal business of Mr. Requadt is serving as an executive of life sciences companies.</w:t>
      </w:r>
    </w:p>
    <w:p>
      <w:pPr>
        <w:spacing w:after="0" w:line="160" w:lineRule="exact"/>
        <w:rPr>
          <w:sz w:val="20"/>
          <w:szCs w:val="20"/>
          <w:color w:val="auto"/>
        </w:rPr>
      </w:pPr>
    </w:p>
    <w:p>
      <w:pPr>
        <w:ind w:right="20" w:firstLine="437"/>
        <w:spacing w:after="0" w:line="268" w:lineRule="auto"/>
        <w:rPr>
          <w:sz w:val="20"/>
          <w:szCs w:val="20"/>
          <w:color w:val="auto"/>
        </w:rPr>
      </w:pPr>
      <w:r>
        <w:rPr>
          <w:rFonts w:ascii="Arial" w:cs="Arial" w:eastAsia="Arial" w:hAnsi="Arial"/>
          <w:sz w:val="17"/>
          <w:szCs w:val="17"/>
          <w:color w:val="auto"/>
        </w:rPr>
        <w:t>The principal business of Blackstone Clarus III L.L.C. is performing the functions of, and serving as, the general partner of Clarus GP. The principal business of Blackstone Holdings II L.P. is performing the functions of, and serving as, a managing member (or similar position) of and member or equity holder in Blackstone Clarus III L.L.C. and other affiliated Blackstone entities. The principal business of Blackstone Holdings I/II GP Inc. is performing the functions of, and serving as, the general partner (or similar position) of Blackstone Holdings II L.P. and other affiliated Blackstone entities. The principal business of The Blackstone Group L.P. is performing the functions of, and serving as, the controlling shareholder of Blackstone Holdings I/II GP, Inc., and in a similar capacity for other affiliated Blackstone entities. The principal business of Blackstone Group Management L.L.C. is performing the functions of, and serving as, the general partner of The Blackstone Group L.P. The principal occupation of Mr. Schwarzman is serving as an executive of Blackstone Group Management L.L.C.</w:t>
      </w:r>
    </w:p>
    <w:p>
      <w:pPr>
        <w:spacing w:after="0" w:line="181" w:lineRule="exact"/>
        <w:rPr>
          <w:sz w:val="20"/>
          <w:szCs w:val="20"/>
          <w:color w:val="auto"/>
        </w:rPr>
      </w:pPr>
    </w:p>
    <w:p>
      <w:pPr>
        <w:ind w:right="160" w:firstLine="437"/>
        <w:spacing w:after="0" w:line="259"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6" w:lineRule="exact"/>
        <w:rPr>
          <w:sz w:val="20"/>
          <w:szCs w:val="20"/>
          <w:color w:val="auto"/>
        </w:rPr>
      </w:pPr>
    </w:p>
    <w:p>
      <w:pPr>
        <w:ind w:right="40" w:firstLine="437"/>
        <w:spacing w:after="0" w:line="255" w:lineRule="auto"/>
        <w:rPr>
          <w:sz w:val="20"/>
          <w:szCs w:val="20"/>
          <w:color w:val="auto"/>
        </w:rPr>
      </w:pPr>
      <w:r>
        <w:rPr>
          <w:rFonts w:ascii="Arial" w:cs="Arial" w:eastAsia="Arial" w:hAnsi="Arial"/>
          <w:sz w:val="18"/>
          <w:szCs w:val="18"/>
          <w:color w:val="auto"/>
        </w:rPr>
        <w:t>The Fund, Clarus GP, Blackstone Holdings II L.P. and The Blackstone Group L.P. are limited partnerships organized under the laws of the State of Delaware. Blackstone Clarus III L.L.C., Blackstone Group Management L.L.C. and Clarus GP LLC are limited liability companies organized under the laws of the State of Delaware. Blackstone Holdings I/II GP Inc. is a corporation organized under the laws of the State of Delaware. Each of Mr. Schwarzman and the Managing Directors is a United States citizen.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Source and Amount of Funds or Other Consideration</w:t>
      </w:r>
      <w:r>
        <w:rPr>
          <w:rFonts w:ascii="Arial" w:cs="Arial" w:eastAsia="Arial" w:hAnsi="Arial"/>
          <w:sz w:val="18"/>
          <w:szCs w:val="18"/>
          <w:color w:val="auto"/>
        </w:rPr>
        <w:t>.</w:t>
      </w:r>
    </w:p>
    <w:p>
      <w:pPr>
        <w:spacing w:after="0" w:line="114" w:lineRule="exact"/>
        <w:rPr>
          <w:sz w:val="20"/>
          <w:szCs w:val="20"/>
          <w:color w:val="auto"/>
        </w:rPr>
      </w:pPr>
    </w:p>
    <w:p>
      <w:pPr>
        <w:ind w:right="440" w:firstLine="437"/>
        <w:spacing w:after="0" w:line="259" w:lineRule="auto"/>
        <w:rPr>
          <w:sz w:val="20"/>
          <w:szCs w:val="20"/>
          <w:color w:val="auto"/>
        </w:rPr>
      </w:pPr>
      <w:r>
        <w:rPr>
          <w:rFonts w:ascii="Arial" w:cs="Arial" w:eastAsia="Arial" w:hAnsi="Arial"/>
          <w:sz w:val="18"/>
          <w:szCs w:val="18"/>
          <w:color w:val="auto"/>
        </w:rPr>
        <w:t>On January 4, 2019, Blackstone integrated the Clarus business into Blackstone. As a result of the Clarus Integration, the Control Entities and Mr. Schwarzman may be deemed to have become indirect beneficial owners of the shares of Common Stock beneficially owned by the Fund (the “Clarus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128" w:lineRule="exact"/>
        <w:rPr>
          <w:sz w:val="20"/>
          <w:szCs w:val="20"/>
          <w:color w:val="auto"/>
        </w:rPr>
      </w:pPr>
    </w:p>
    <w:p>
      <w:pPr>
        <w:ind w:left="860" w:hanging="43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Fund is the record owner of the Clarus Shares.</w:t>
      </w:r>
    </w:p>
    <w:p>
      <w:pPr>
        <w:spacing w:after="0" w:line="114" w:lineRule="exact"/>
        <w:rPr>
          <w:rFonts w:ascii="Arial" w:cs="Arial" w:eastAsia="Arial" w:hAnsi="Arial"/>
          <w:sz w:val="18"/>
          <w:szCs w:val="18"/>
          <w:color w:val="auto"/>
        </w:rPr>
      </w:pPr>
    </w:p>
    <w:p>
      <w:pPr>
        <w:jc w:val="both"/>
        <w:ind w:left="860" w:right="80"/>
        <w:spacing w:after="0" w:line="272" w:lineRule="auto"/>
        <w:rPr>
          <w:rFonts w:ascii="Arial" w:cs="Arial" w:eastAsia="Arial" w:hAnsi="Arial"/>
          <w:sz w:val="18"/>
          <w:szCs w:val="18"/>
          <w:color w:val="auto"/>
        </w:rPr>
      </w:pPr>
      <w:r>
        <w:rPr>
          <w:rFonts w:ascii="Arial" w:cs="Arial" w:eastAsia="Arial" w:hAnsi="Arial"/>
          <w:sz w:val="17"/>
          <w:szCs w:val="17"/>
          <w:color w:val="auto"/>
        </w:rPr>
        <w:t>Clarus GP is the sole general partner of the Fund. Blackstone Clarus III L.L.C. is the sole general partner of Clarus GP. The sole member of Blackstone Clarus III L.L.C. is Blackstone Holdings II L.P. The sole general partner of Blackstone Holdings II L.P. is Blackstone Holdings I/II GP Inc. The controlling shareholder of Blackstone Holdings I/II GP Inc. is The Blackstone Group L.P. The sole general partner of The Blackstone Group L.P. is Blackstone Group Management L.L.C. Blackstone Group Management L.L.C. is wholly-owned by Blackstone’s senior managing directors and controlled by its founder, Stephen A. Schwarzman.</w:t>
      </w:r>
    </w:p>
    <w:p>
      <w:pPr>
        <w:sectPr>
          <w:pgSz w:w="12240" w:h="15840" w:orient="portrait"/>
          <w:cols w:equalWidth="0" w:num="1">
            <w:col w:w="10920"/>
          </w:cols>
          <w:pgMar w:left="660" w:top="128" w:right="660" w:bottom="1440" w:gutter="0" w:footer="0" w:header="0"/>
        </w:sectPr>
      </w:pPr>
    </w:p>
    <w:bookmarkStart w:id="18" w:name="page19"/>
    <w:bookmarkEnd w:id="18"/>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19 of 24 Pages</w:t>
      </w:r>
    </w:p>
    <w:p>
      <w:pPr>
        <w:spacing w:after="0" w:line="158" w:lineRule="exact"/>
        <w:rPr>
          <w:sz w:val="20"/>
          <w:szCs w:val="20"/>
          <w:color w:val="auto"/>
        </w:rPr>
      </w:pPr>
    </w:p>
    <w:p>
      <w:pPr>
        <w:ind w:left="860" w:right="180"/>
        <w:spacing w:after="0" w:line="254" w:lineRule="auto"/>
        <w:rPr>
          <w:sz w:val="20"/>
          <w:szCs w:val="20"/>
          <w:color w:val="auto"/>
        </w:rPr>
      </w:pPr>
      <w:r>
        <w:rPr>
          <w:rFonts w:ascii="Arial" w:cs="Arial" w:eastAsia="Arial" w:hAnsi="Arial"/>
          <w:sz w:val="18"/>
          <w:szCs w:val="18"/>
          <w:color w:val="auto"/>
        </w:rPr>
        <w:t>Each such Reporting Person may be deemed to beneficially own the Common Stock beneficially owned by the Fund, but neither the filing of this Schedule 13D nor any of its contents shall be deemed to constitute an admission that any Reporting Person (other than the Fund) is the beneficial owner of the Common Stock referred to herein for purposes of Section 13(d) of the Securities Exchange Act of 1934, as amended (the “Exchange Act”), or for any other purpose, and each of the Reporting Persons expressly disclaims beneficial ownership of such Common Stock.</w:t>
      </w:r>
    </w:p>
    <w:p>
      <w:pPr>
        <w:spacing w:after="0" w:line="82" w:lineRule="exact"/>
        <w:rPr>
          <w:sz w:val="20"/>
          <w:szCs w:val="20"/>
          <w:color w:val="auto"/>
        </w:rPr>
      </w:pPr>
    </w:p>
    <w:p>
      <w:pPr>
        <w:jc w:val="both"/>
        <w:ind w:left="860" w:right="20"/>
        <w:spacing w:after="0" w:line="368" w:lineRule="auto"/>
        <w:rPr>
          <w:sz w:val="20"/>
          <w:szCs w:val="20"/>
          <w:color w:val="auto"/>
        </w:rPr>
      </w:pPr>
      <w:r>
        <w:rPr>
          <w:rFonts w:ascii="Arial" w:cs="Arial" w:eastAsia="Arial" w:hAnsi="Arial"/>
          <w:sz w:val="14"/>
          <w:szCs w:val="14"/>
          <w:color w:val="auto"/>
        </w:rPr>
        <w:t>The percentage of outstanding Common Stock of the Issuer which may be deemed to be beneficially owned by each Reporting Person is set forth on Line 13 of such Reporting Person’s cover sheet and was calculated based on the 23,955,870 shares of Common Stock reported to be outstanding as of November 8, 2018 in the Issuer’s Form 10-Q filed with the Securities and Exchange Commission on November 13, 2018.</w:t>
      </w:r>
    </w:p>
    <w:p>
      <w:pPr>
        <w:spacing w:after="0" w:line="22" w:lineRule="exact"/>
        <w:rPr>
          <w:sz w:val="20"/>
          <w:szCs w:val="20"/>
          <w:color w:val="auto"/>
        </w:rPr>
      </w:pPr>
    </w:p>
    <w:p>
      <w:pPr>
        <w:ind w:left="860" w:hanging="43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127" w:lineRule="exact"/>
        <w:rPr>
          <w:rFonts w:ascii="Arial" w:cs="Arial" w:eastAsia="Arial" w:hAnsi="Arial"/>
          <w:sz w:val="18"/>
          <w:szCs w:val="18"/>
          <w:color w:val="auto"/>
        </w:rPr>
      </w:pPr>
    </w:p>
    <w:p>
      <w:pPr>
        <w:ind w:left="1400" w:hanging="536"/>
        <w:spacing w:after="0"/>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127" w:lineRule="exact"/>
        <w:rPr>
          <w:rFonts w:ascii="Arial" w:cs="Arial" w:eastAsia="Arial" w:hAnsi="Arial"/>
          <w:sz w:val="18"/>
          <w:szCs w:val="18"/>
          <w:color w:val="auto"/>
        </w:rPr>
      </w:pPr>
    </w:p>
    <w:p>
      <w:pPr>
        <w:ind w:left="1400" w:hanging="536"/>
        <w:spacing w:after="0"/>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127" w:lineRule="exact"/>
        <w:rPr>
          <w:rFonts w:ascii="Arial" w:cs="Arial" w:eastAsia="Arial" w:hAnsi="Arial"/>
          <w:sz w:val="18"/>
          <w:szCs w:val="18"/>
          <w:color w:val="auto"/>
        </w:rPr>
      </w:pPr>
    </w:p>
    <w:p>
      <w:pPr>
        <w:ind w:left="1400" w:hanging="536"/>
        <w:spacing w:after="0"/>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127" w:lineRule="exact"/>
        <w:rPr>
          <w:rFonts w:ascii="Arial" w:cs="Arial" w:eastAsia="Arial" w:hAnsi="Arial"/>
          <w:sz w:val="18"/>
          <w:szCs w:val="18"/>
          <w:color w:val="auto"/>
        </w:rPr>
      </w:pPr>
    </w:p>
    <w:p>
      <w:pPr>
        <w:ind w:left="1400" w:hanging="536"/>
        <w:spacing w:after="0"/>
        <w:tabs>
          <w:tab w:leader="none" w:pos="1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127" w:lineRule="exact"/>
        <w:rPr>
          <w:rFonts w:ascii="Arial" w:cs="Arial" w:eastAsia="Arial" w:hAnsi="Arial"/>
          <w:sz w:val="18"/>
          <w:szCs w:val="18"/>
          <w:color w:val="auto"/>
        </w:rPr>
      </w:pPr>
    </w:p>
    <w:p>
      <w:pPr>
        <w:ind w:left="860" w:right="240" w:hanging="438"/>
        <w:spacing w:after="0" w:line="271"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set forth in this Amendment No. 1, none of the Reporting Persons has effected any transaction in the Common Stock during the last 60 days.</w:t>
      </w:r>
    </w:p>
    <w:p>
      <w:pPr>
        <w:spacing w:after="0" w:line="81" w:lineRule="exact"/>
        <w:rPr>
          <w:rFonts w:ascii="Arial" w:cs="Arial" w:eastAsia="Arial" w:hAnsi="Arial"/>
          <w:sz w:val="18"/>
          <w:szCs w:val="18"/>
          <w:color w:val="auto"/>
        </w:rPr>
      </w:pPr>
    </w:p>
    <w:p>
      <w:pPr>
        <w:ind w:left="860" w:right="120" w:hanging="438"/>
        <w:spacing w:after="0" w:line="259"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person other than the Reporting Persons, or the partners, members, affiliates or shareholders of the Reporting Persons, has the right to receive or the power to direct the receipt of dividends from, or the proceeds from the sale of, the securities beneficially owned by the Reporting Persons identified in this Item 5.</w:t>
      </w:r>
    </w:p>
    <w:p>
      <w:pPr>
        <w:spacing w:after="0" w:line="92" w:lineRule="exact"/>
        <w:rPr>
          <w:rFonts w:ascii="Arial" w:cs="Arial" w:eastAsia="Arial" w:hAnsi="Arial"/>
          <w:sz w:val="18"/>
          <w:szCs w:val="18"/>
          <w:color w:val="auto"/>
        </w:rPr>
      </w:pPr>
    </w:p>
    <w:p>
      <w:pPr>
        <w:ind w:left="860" w:right="460" w:hanging="438"/>
        <w:spacing w:after="0" w:line="271"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the date of the Clarus Integration, the Clarus Persons were not the beneficial owners of more than five percent of the outstanding shares of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Contracts, Arrangements, Undertakings or Relationships with Respect to Securities of the Issuer</w:t>
      </w:r>
      <w:r>
        <w:rPr>
          <w:rFonts w:ascii="Arial" w:cs="Arial" w:eastAsia="Arial" w:hAnsi="Arial"/>
          <w:sz w:val="18"/>
          <w:szCs w:val="18"/>
          <w:color w:val="auto"/>
        </w:rPr>
        <w:t>.</w:t>
      </w:r>
    </w:p>
    <w:p>
      <w:pPr>
        <w:spacing w:after="0" w:line="114" w:lineRule="exact"/>
        <w:rPr>
          <w:sz w:val="20"/>
          <w:szCs w:val="20"/>
          <w:color w:val="auto"/>
        </w:rPr>
      </w:pPr>
    </w:p>
    <w:p>
      <w:pPr>
        <w:ind w:left="440" w:right="500"/>
        <w:spacing w:after="0" w:line="271" w:lineRule="auto"/>
        <w:rPr>
          <w:sz w:val="20"/>
          <w:szCs w:val="20"/>
          <w:color w:val="auto"/>
        </w:rPr>
      </w:pPr>
      <w:r>
        <w:rPr>
          <w:rFonts w:ascii="Arial" w:cs="Arial" w:eastAsia="Arial" w:hAnsi="Arial"/>
          <w:sz w:val="18"/>
          <w:szCs w:val="18"/>
          <w:color w:val="auto"/>
        </w:rPr>
        <w:t>Pursuant to Rule 13d-1(k) promulgated under the Securities Exchange Act of 1934, as amended, the Reporting Persons have entered into an agreement with respect to the joint filing of this statement, and any amendment or amendments thereto.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Material to be Filed as Exhibits</w:t>
      </w:r>
      <w:r>
        <w:rPr>
          <w:rFonts w:ascii="Arial" w:cs="Arial" w:eastAsia="Arial" w:hAnsi="Arial"/>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99.1 – Agreement regarding filing of joint Schedule 13D.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99.2 – Power of Attorney regarding filings under the Act.</w:t>
      </w:r>
    </w:p>
    <w:p>
      <w:pPr>
        <w:sectPr>
          <w:pgSz w:w="12240" w:h="15840" w:orient="portrait"/>
          <w:cols w:equalWidth="0" w:num="1">
            <w:col w:w="10920"/>
          </w:cols>
          <w:pgMar w:left="660" w:top="128" w:right="660" w:bottom="1440" w:gutter="0" w:footer="0" w:header="0"/>
        </w:sectPr>
      </w:pPr>
    </w:p>
    <w:bookmarkStart w:id="19" w:name="page20"/>
    <w:bookmarkEnd w:id="19"/>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20 of 24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right="120" w:firstLine="437"/>
        <w:spacing w:after="0" w:line="27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GP, L.P.,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 Blackstone Clarus III L.L.C., its general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GP,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Clarus III L.L.C.,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CLARUS III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HOLDINGS 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HOLDINGS I/II GP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 - Schedule 13D/A]</w:t>
      </w:r>
    </w:p>
    <w:p>
      <w:pPr>
        <w:sectPr>
          <w:pgSz w:w="12240" w:h="15840" w:orient="portrait"/>
          <w:cols w:equalWidth="0" w:num="1">
            <w:col w:w="10920"/>
          </w:cols>
          <w:pgMar w:left="660" w:top="128" w:right="660" w:bottom="1440" w:gutter="0" w:footer="0" w:header="0"/>
        </w:sectPr>
      </w:pPr>
    </w:p>
    <w:bookmarkStart w:id="20" w:name="page21"/>
    <w:bookmarkEnd w:id="20"/>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21 of 24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BLACKSTONE GROUP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Group Management L.L.C., its general</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GROUP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Schwarzman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Manager</w:t>
      </w:r>
    </w:p>
    <w:p>
      <w:pPr>
        <w:spacing w:after="0" w:line="23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Nicholas Galakatos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Dennis Henner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Robert Liptak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Nicholas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Kurt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Scott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Liptak</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Robert Liptak,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-130175</wp:posOffset>
            </wp:positionV>
            <wp:extent cx="25152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20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 xml:space="preserve">This Amendment No. 1 to Schedule 13D was executed by Robert Liptak on behalf of the individuals listed above pursuant to a Power of Attorney a copy of which is attached as </w:t>
      </w:r>
      <w:r>
        <w:rPr>
          <w:rFonts w:ascii="Arial" w:cs="Arial" w:eastAsia="Arial" w:hAnsi="Arial"/>
          <w:sz w:val="18"/>
          <w:szCs w:val="18"/>
          <w:u w:val="single" w:color="auto"/>
          <w:color w:val="auto"/>
        </w:rPr>
        <w:t>Exhibit 99.2</w:t>
      </w:r>
      <w:r>
        <w:rPr>
          <w:rFonts w:ascii="Arial" w:cs="Arial" w:eastAsia="Arial" w:hAnsi="Arial"/>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 - Schedule 13D/A]</w:t>
      </w:r>
    </w:p>
    <w:p>
      <w:pPr>
        <w:sectPr>
          <w:pgSz w:w="12240" w:h="15840" w:orient="portrait"/>
          <w:cols w:equalWidth="0" w:num="1">
            <w:col w:w="10920"/>
          </w:cols>
          <w:pgMar w:left="660" w:top="128" w:right="660" w:bottom="1440" w:gutter="0" w:footer="0" w:header="0"/>
        </w:sectPr>
      </w:pPr>
    </w:p>
    <w:bookmarkStart w:id="21" w:name="page22"/>
    <w:bookmarkEnd w:id="21"/>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22 of 24 Pages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0" w:firstLine="437"/>
        <w:spacing w:after="0" w:line="259"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Common Stock of Avrobio,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CLARUS LIFESCIENCES III,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Clarus Ventures III GP, L.P.,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 Blackstone Clarus III L.L.C., its general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GP,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Clarus III L.L.C.,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CLARUS III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 L.P., its managing member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HOLDINGS II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Holdings I/II GP Inc., its general partner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HOLDINGS I/II GP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 - Joint Filing Agreement]</w:t>
      </w:r>
    </w:p>
    <w:p>
      <w:pPr>
        <w:sectPr>
          <w:pgSz w:w="12240" w:h="15840" w:orient="portrait"/>
          <w:cols w:equalWidth="0" w:num="1">
            <w:col w:w="10920"/>
          </w:cols>
          <w:pgMar w:left="660" w:top="0" w:right="660" w:bottom="1440" w:gutter="0" w:footer="0" w:header="0"/>
        </w:sectPr>
      </w:pPr>
    </w:p>
    <w:bookmarkStart w:id="22" w:name="page23"/>
    <w:bookmarkEnd w:id="22"/>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23 of 24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BLACKSTONE GROUP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Blackstone Group Management L.L.C., its general</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BLACKSTONE GROUP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G. Finley</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G.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Chief Legal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Schwarzman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CLARUS VENTURES III,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Robert Liptak</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-130175</wp:posOffset>
            </wp:positionV>
            <wp:extent cx="25749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8"/>
          <w:szCs w:val="18"/>
          <w:color w:val="auto"/>
        </w:rPr>
        <w:t>Title:</w:t>
        <w:tab/>
        <w:t>Manager</w:t>
      </w:r>
    </w:p>
    <w:p>
      <w:pPr>
        <w:spacing w:after="0" w:line="235"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Nicholas Galakatos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Dennis Henner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Robert Liptak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Robert Liptak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Nicholas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Kurt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Scott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7705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Liptak</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Robert Liptak,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-130175</wp:posOffset>
            </wp:positionV>
            <wp:extent cx="25152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201" w:lineRule="exact"/>
        <w:rPr>
          <w:sz w:val="20"/>
          <w:szCs w:val="20"/>
          <w:color w:val="auto"/>
        </w:rPr>
      </w:pPr>
    </w:p>
    <w:p>
      <w:pPr>
        <w:ind w:right="480" w:firstLine="437"/>
        <w:spacing w:after="0" w:line="271" w:lineRule="auto"/>
        <w:rPr>
          <w:sz w:val="20"/>
          <w:szCs w:val="20"/>
          <w:color w:val="auto"/>
        </w:rPr>
      </w:pPr>
      <w:r>
        <w:rPr>
          <w:rFonts w:ascii="Arial" w:cs="Arial" w:eastAsia="Arial" w:hAnsi="Arial"/>
          <w:sz w:val="18"/>
          <w:szCs w:val="18"/>
          <w:color w:val="auto"/>
        </w:rPr>
        <w:t xml:space="preserve">This Agreement was executed by Robert Liptak on behalf of the individuals listed above pursuant to a Power of Attorney a copy of which is attached as </w:t>
      </w:r>
      <w:r>
        <w:rPr>
          <w:rFonts w:ascii="Arial" w:cs="Arial" w:eastAsia="Arial" w:hAnsi="Arial"/>
          <w:sz w:val="18"/>
          <w:szCs w:val="18"/>
          <w:u w:val="single" w:color="auto"/>
          <w:color w:val="auto"/>
        </w:rPr>
        <w:t>Exhibit 99.2</w:t>
      </w:r>
      <w:r>
        <w:rPr>
          <w:rFonts w:ascii="Arial" w:cs="Arial" w:eastAsia="Arial" w:hAnsi="Arial"/>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 - Joint Filing Agreement]</w:t>
      </w:r>
    </w:p>
    <w:p>
      <w:pPr>
        <w:sectPr>
          <w:pgSz w:w="12240" w:h="15840" w:orient="portrait"/>
          <w:cols w:equalWidth="0" w:num="1">
            <w:col w:w="10920"/>
          </w:cols>
          <w:pgMar w:left="660" w:top="128" w:right="660" w:bottom="1440" w:gutter="0" w:footer="0" w:header="0"/>
        </w:sectPr>
      </w:pPr>
    </w:p>
    <w:bookmarkStart w:id="23" w:name="page24"/>
    <w:bookmarkEnd w:id="23"/>
    <w:p>
      <w:pPr>
        <w:spacing w:after="0"/>
        <w:tabs>
          <w:tab w:leader="none" w:pos="5340" w:val="left"/>
          <w:tab w:leader="none" w:pos="9400" w:val="left"/>
        </w:tabs>
        <w:rPr>
          <w:sz w:val="20"/>
          <w:szCs w:val="20"/>
          <w:color w:val="auto"/>
        </w:rPr>
      </w:pPr>
      <w:r>
        <w:rPr>
          <w:rFonts w:ascii="Arial" w:cs="Arial" w:eastAsia="Arial" w:hAnsi="Arial"/>
          <w:sz w:val="18"/>
          <w:szCs w:val="18"/>
          <w:b w:val="1"/>
          <w:bCs w:val="1"/>
          <w:color w:val="auto"/>
        </w:rPr>
        <w:t>CUSIP No. 05455M100</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4"/>
          <w:szCs w:val="14"/>
          <w:b w:val="1"/>
          <w:bCs w:val="1"/>
          <w:color w:val="auto"/>
        </w:rPr>
        <w:t>Page 24 of 24 Pages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Robert Liptak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granting unto said attorney-in-fact full power and authority to do and perform each and every act and thing necessary, desirable or appropriate.</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9th day of February, 2017.</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Nicholas Galakatos</w:t>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Nicholas Galakatos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-130175</wp:posOffset>
            </wp:positionV>
            <wp:extent cx="27705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Dennis Henner</w:t>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Dennis Henner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-130175</wp:posOffset>
            </wp:positionV>
            <wp:extent cx="27705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Nicholas Simon</w:t>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Nicholas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-130175</wp:posOffset>
            </wp:positionV>
            <wp:extent cx="27705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Scott Requadt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13335</wp:posOffset>
            </wp:positionV>
            <wp:extent cx="27705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Scott Requadt</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Kurt Wheeler</w:t>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Kurt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-130175</wp:posOffset>
            </wp:positionV>
            <wp:extent cx="27705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70505" cy="8255"/>
                    </a:xfrm>
                    <a:prstGeom prst="rect">
                      <a:avLst/>
                    </a:prstGeom>
                    <a:noFill/>
                  </pic:spPr>
                </pic:pic>
              </a:graphicData>
            </a:graphic>
          </wp:anchor>
        </w:drawing>
      </w:r>
    </w:p>
    <w:sectPr>
      <w:pgSz w:w="12240" w:h="15840" w:orient="portrait"/>
      <w:cols w:equalWidth="0" w:num="1">
        <w:col w:w="10920"/>
      </w:cols>
      <w:pgMar w:left="660" w:top="0"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1"/>
      <w:numFmt w:val="decimal"/>
      <w:start w:val="12"/>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1"/>
      <w:numFmt w:val="decimal"/>
      <w:start w:val="12"/>
    </w:lvl>
  </w:abstractNum>
  <w:abstractNum w:abstractNumId="5">
    <w:nsid w:val="62BBD95A"/>
    <w:multiLevelType w:val="hybridMultilevel"/>
    <w:lvl w:ilvl="0">
      <w:lvlJc w:val="left"/>
      <w:lvlText w:val="1"/>
      <w:numFmt w:val="bullet"/>
      <w:start w:val="1"/>
    </w:lvl>
  </w:abstractNum>
  <w:abstractNum w:abstractNumId="6">
    <w:nsid w:val="436C6125"/>
    <w:multiLevelType w:val="hybridMultilevel"/>
    <w:lvl w:ilvl="0">
      <w:lvlJc w:val="left"/>
      <w:lvlText w:val="%1"/>
      <w:numFmt w:val="decimal"/>
      <w:start w:val="12"/>
    </w:lvl>
  </w:abstractNum>
  <w:abstractNum w:abstractNumId="7">
    <w:nsid w:val="628C895D"/>
    <w:multiLevelType w:val="hybridMultilevel"/>
    <w:lvl w:ilvl="0">
      <w:lvlJc w:val="left"/>
      <w:lvlText w:val="1"/>
      <w:numFmt w:val="bullet"/>
      <w:start w:val="1"/>
    </w:lvl>
  </w:abstractNum>
  <w:abstractNum w:abstractNumId="8">
    <w:nsid w:val="333AB105"/>
    <w:multiLevelType w:val="hybridMultilevel"/>
    <w:lvl w:ilvl="0">
      <w:lvlJc w:val="left"/>
      <w:lvlText w:val="%1"/>
      <w:numFmt w:val="decimal"/>
      <w:start w:val="12"/>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1"/>
      <w:numFmt w:val="decimal"/>
      <w:start w:val="12"/>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1"/>
      <w:numFmt w:val="decimal"/>
      <w:start w:val="12"/>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bullet"/>
      <w:start w:val="1"/>
    </w:lvl>
  </w:abstractNum>
  <w:abstractNum w:abstractNumId="20">
    <w:nsid w:val="71F32454"/>
    <w:multiLevelType w:val="hybridMultilevel"/>
    <w:lvl w:ilvl="0">
      <w:lvlJc w:val="left"/>
      <w:lvlText w:val="%1"/>
      <w:numFmt w:val="decimal"/>
      <w:start w:val="12"/>
    </w:lvl>
  </w:abstractNum>
  <w:abstractNum w:abstractNumId="21">
    <w:nsid w:val="2CA88611"/>
    <w:multiLevelType w:val="hybridMultilevel"/>
    <w:lvl w:ilvl="0">
      <w:lvlJc w:val="left"/>
      <w:lvlText w:val="1"/>
      <w:numFmt w:val="bullet"/>
      <w:start w:val="1"/>
    </w:lvl>
  </w:abstractNum>
  <w:abstractNum w:abstractNumId="22">
    <w:nsid w:val="836C40E"/>
    <w:multiLevelType w:val="hybridMultilevel"/>
    <w:lvl w:ilvl="0">
      <w:lvlJc w:val="left"/>
      <w:lvlText w:val="%1"/>
      <w:numFmt w:val="decimal"/>
      <w:start w:val="12"/>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1"/>
      <w:numFmt w:val="decimal"/>
      <w:start w:val="12"/>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1"/>
      <w:numFmt w:val="decimal"/>
      <w:start w:val="12"/>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1"/>
      <w:numFmt w:val="decimal"/>
      <w:start w:val="12"/>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1"/>
      <w:numFmt w:val="decimal"/>
      <w:start w:val="12"/>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2019-12-15T19:56:35Z</dcterms:created>
  <dcterms:modified xsi:type="dcterms:W3CDTF">2019-12-15T19:56:35Z</dcterms:modified>
</cp:coreProperties>
</file>