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2"/>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8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CLARK IAN T</w:t>
              </w:r>
            </w:hyperlink>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AVROBIO,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100 TECHNOLOGY SQUARE, 6TH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1"/>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0"/>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8"/>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Conversion</w:t>
            </w:r>
          </w:p>
        </w:tc>
        <w:tc>
          <w:tcPr>
            <w:tcW w:w="10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Exercise</w:t>
            </w:r>
          </w:p>
        </w:tc>
        <w:tc>
          <w:tcPr>
            <w:tcW w:w="10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1.09</w:t>
            </w:r>
          </w:p>
        </w:tc>
        <w:tc>
          <w:tcPr>
            <w:tcW w:w="108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17,643</w:t>
            </w:r>
          </w:p>
        </w:tc>
        <w:tc>
          <w:tcPr>
            <w:tcW w:w="7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06/05/2033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17,643</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17,643</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4"/>
        <w:spacing w:after="0" w:line="251"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6, 2024 or the date of the Issuer's 2024 Annual Meeting of Stockholders, subject to the reporting person's continued service as a director through such vesting date.</w:t>
      </w:r>
    </w:p>
    <w:p>
      <w:pPr>
        <w:ind w:left="6580"/>
        <w:spacing w:after="0" w:line="180" w:lineRule="auto"/>
        <w:rPr>
          <w:sz w:val="20"/>
          <w:szCs w:val="20"/>
          <w:color w:val="auto"/>
        </w:rPr>
      </w:pPr>
      <w:r>
        <w:rPr>
          <w:rFonts w:ascii="Arial" w:cs="Arial" w:eastAsia="Arial" w:hAnsi="Arial"/>
          <w:sz w:val="17"/>
          <w:szCs w:val="17"/>
          <w:color w:val="0000FF"/>
        </w:rPr>
        <w:t xml:space="preserve">/s/ Steven N. Avruch, Attorney- </w:t>
      </w:r>
      <w:r>
        <w:rPr>
          <w:rFonts w:ascii="Arial" w:cs="Arial" w:eastAsia="Arial" w:hAnsi="Arial"/>
          <w:sz w:val="32"/>
          <w:szCs w:val="32"/>
          <w:color w:val="0000FF"/>
          <w:vertAlign w:val="subscript"/>
        </w:rPr>
        <w:t>06/08/2023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7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Ian 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998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988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36504" TargetMode="External"/><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2023-06-08T15:29:34Z</dcterms:created>
  <dcterms:modified xsi:type="dcterms:W3CDTF">2023-06-08T15:29:34Z</dcterms:modified>
</cp:coreProperties>
</file>