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November 19, 2020, AVROBIO,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Morgan Stanley &amp; Co. LLC and Cowen and Company, LLC, as representatives of the several underwriters listed therein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related to an underwritten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5,000,000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public offering price of $15.00 per Share, before underwriting discounts and commissions.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terms of the Underwriting Agreement, the Company granted the Underwriters an option, exercisable for 30 days, to purchase up to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 750,000 shares of Common Stock. The gross proceeds to the Company, before deducting the underwriting discounts and commissions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estimated expenses associated with the Offering payable by the Company, are expected to be approximately $75 million (assuming the Underwriters do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exercise their option to purchase additional shares). The closing of the Offering is expected to occur on or about November 24, 2020, subject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satisfaction of customary closing conditions.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Shares are being offered and sold pursuant to a prospectus dated January 14, 2020 and a prospectus supplement dated November 19, 2020 (the</w:t>
      </w:r>
    </w:p>
    <w:p>
      <w:pPr>
        <w:spacing w:after="0" w:line="27"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in connection with a takedown from the Company’s shelf registration statement on Form S-3 (Registration No. 333-235641)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which the U.S. Securities and Exchange Commission declared effective on January 14, 2020.</w:t>
      </w:r>
    </w:p>
    <w:p>
      <w:pPr>
        <w:spacing w:after="0" w:line="181"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conditions to closing, indemnification and other obligations of the parties and termination provisions.</w:t>
      </w:r>
    </w:p>
    <w:p>
      <w:pPr>
        <w:spacing w:after="0" w:line="162"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 copy of the legal opinion of Goodwin Procter LLP, relating to the validity of the Shares issued in the Offering, is filed as Exhibit 5.1 to this Current Report on Form 8-K and is filed with reference to, and is hereby incorporated by reference into, the Registration Statement.</w:t>
      </w:r>
    </w:p>
    <w:p>
      <w:pPr>
        <w:spacing w:after="0" w:line="16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text of the Underwriting Agreement, which is included as Exhibit 1.1 to this Current Report on Form 8-K and incorporated by reference herein.</w:t>
      </w:r>
    </w:p>
    <w:p>
      <w:pPr>
        <w:spacing w:after="0" w:line="162" w:lineRule="exact"/>
        <w:rPr>
          <w:sz w:val="20"/>
          <w:szCs w:val="20"/>
          <w:color w:val="auto"/>
        </w:rPr>
      </w:pPr>
    </w:p>
    <w:p>
      <w:pPr>
        <w:jc w:val="both"/>
        <w:ind w:left="4" w:right="40"/>
        <w:spacing w:after="0" w:line="261" w:lineRule="auto"/>
        <w:rPr>
          <w:sz w:val="20"/>
          <w:szCs w:val="20"/>
          <w:color w:val="auto"/>
        </w:rPr>
      </w:pPr>
      <w:r>
        <w:rPr>
          <w:rFonts w:ascii="Times New Roman" w:cs="Times New Roman" w:eastAsia="Times New Roman" w:hAnsi="Times New Roman"/>
          <w:sz w:val="18"/>
          <w:szCs w:val="18"/>
          <w:color w:val="auto"/>
        </w:rPr>
        <w:t>The Underwriting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Underwriting Agreement were made only for purposes of such agreement and as of specific dates, and were solely for the benefit of the parties to such agreement.</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On November 19, 2020, the Company issued a press release announcing the commencement of the Offering. A copy of the press release is attached hereto as Exhibit 99.1 and is incorporated herein by reference.</w:t>
      </w:r>
    </w:p>
    <w:p>
      <w:pPr>
        <w:spacing w:after="0" w:line="16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On November 19, 2020, the Company issued a press release announcing its entry into the Underwriting Agreement. A copy of the press release is attached hereto as Exhibit 99.2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664" w:hanging="570"/>
        <w:spacing w:after="0" w:line="282" w:lineRule="auto"/>
        <w:tabs>
          <w:tab w:leader="none" w:pos="64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w:anchor="page5">
        <w:r>
          <w:rPr>
            <w:rFonts w:ascii="Times New Roman" w:cs="Times New Roman" w:eastAsia="Times New Roman" w:hAnsi="Times New Roman"/>
            <w:sz w:val="18"/>
            <w:szCs w:val="18"/>
            <w:u w:val="single" w:color="auto"/>
            <w:color w:val="0000EE"/>
          </w:rPr>
          <w:t>Underwriting Agreement, dated November 19, 2020, between AVROBIO, Inc. Morgan Stanley &amp; Co. LLC and Cowen and Company, LLC, as</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representatives of the several underwriters named therein.</w:t>
        </w:r>
      </w:hyperlink>
    </w:p>
    <w:p>
      <w:pPr>
        <w:spacing w:after="0" w:line="54" w:lineRule="exact"/>
        <w:rPr>
          <w:sz w:val="20"/>
          <w:szCs w:val="20"/>
          <w:color w:val="auto"/>
        </w:rPr>
      </w:pPr>
    </w:p>
    <w:p>
      <w:pPr>
        <w:ind w:left="8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47">
        <w:r>
          <w:rPr>
            <w:rFonts w:ascii="Times New Roman" w:cs="Times New Roman" w:eastAsia="Times New Roman" w:hAnsi="Times New Roman"/>
            <w:sz w:val="17"/>
            <w:szCs w:val="17"/>
            <w:u w:val="single" w:color="auto"/>
            <w:color w:val="0000EE"/>
          </w:rPr>
          <w:t>Opinion of Goodwin Procter LLP.</w:t>
        </w:r>
      </w:hyperlink>
    </w:p>
    <w:p>
      <w:pPr>
        <w:spacing w:after="0" w:line="11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47">
        <w:r>
          <w:rPr>
            <w:rFonts w:ascii="Times New Roman" w:cs="Times New Roman" w:eastAsia="Times New Roman" w:hAnsi="Times New Roman"/>
            <w:sz w:val="17"/>
            <w:szCs w:val="17"/>
            <w:u w:val="single" w:color="auto"/>
            <w:color w:val="0000EE"/>
          </w:rPr>
          <w:t>Consent of Goodwin Procter LLP (included in its opinion filed as Exhibit 5.1).</w:t>
        </w:r>
      </w:hyperlink>
    </w:p>
    <w:p>
      <w:pPr>
        <w:spacing w:after="0" w:line="11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9">
        <w:r>
          <w:rPr>
            <w:rFonts w:ascii="Times New Roman" w:cs="Times New Roman" w:eastAsia="Times New Roman" w:hAnsi="Times New Roman"/>
            <w:sz w:val="17"/>
            <w:szCs w:val="17"/>
            <w:u w:val="single" w:color="auto"/>
            <w:color w:val="0000EE"/>
          </w:rPr>
          <w:t>Press release dated November 19, 2020.</w:t>
        </w:r>
      </w:hyperlink>
    </w:p>
    <w:p>
      <w:pPr>
        <w:spacing w:after="0" w:line="11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w:anchor="page51">
        <w:r>
          <w:rPr>
            <w:rFonts w:ascii="Times New Roman" w:cs="Times New Roman" w:eastAsia="Times New Roman" w:hAnsi="Times New Roman"/>
            <w:sz w:val="17"/>
            <w:szCs w:val="17"/>
            <w:u w:val="single" w:color="auto"/>
            <w:color w:val="0000EE"/>
          </w:rPr>
          <w:t>Press release dated November 19, 2020.</w:t>
        </w:r>
      </w:hyperlink>
    </w:p>
    <w:p>
      <w:pPr>
        <w:spacing w:after="0" w:line="117" w:lineRule="exact"/>
        <w:rPr>
          <w:sz w:val="20"/>
          <w:szCs w:val="20"/>
          <w:color w:val="auto"/>
        </w:rPr>
      </w:pPr>
    </w:p>
    <w:p>
      <w:pPr>
        <w:ind w:left="5464" w:right="4380" w:hanging="5464"/>
        <w:spacing w:after="0" w:line="454" w:lineRule="auto"/>
        <w:tabs>
          <w:tab w:leader="none" w:pos="6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2</w:t>
      </w:r>
    </w:p>
    <w:p>
      <w:pPr>
        <w:sectPr>
          <w:pgSz w:w="11900" w:h="16838" w:orient="portrait"/>
          <w:cols w:equalWidth="0" w:num="1">
            <w:col w:w="10964"/>
          </w:cols>
          <w:pgMar w:left="436" w:top="29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Forward Looking Statements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furnished or filed herewith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the completion, timing and anticipated size of the proposed offering and the anticipated use of proceeds therefrom. Any such statements that are not statements of historical fact may be deemed to be forward-looking statements.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forward-looking statements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2019 and our subsequent periodic reports on Form 10-Q, as well as discussions of potential risks, uncertainties, and other important factors in our other filings with the SEC, including those contained or incorporated by reference in the Prospectus Supplement relating to the Offering filed with the SEC. AVROBIO explicitly disclaims any obligation to update any forward-looking statements except to the extent required by law.</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3"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ind w:left="36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Geoff MacKay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2020</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November 19,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1585 Broadway New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Cowen and Company,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599 Lexington Avenue, 25th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AVROBIO,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Morgan Stanley &amp; Co. LLC and Cowen and Company, LLC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5,000,000 shares of its common stock, par value $0.0001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The Company also proposes to issue and sell to the Underwriters not more than an additional 750,000 shares of its common stock, par value $0.0001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(File No. 333-235641), including a prospectus, relating to certain securities of the Company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issued from time to time by the Company. The registration statement as amended at the time of effectiveness, including the information (if any) deemed to be part of the registration statement pursuant to Rule 430A or Rule 430B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preliminary prospectus covering the Shelf Securities is hereinafter referred to as the “</w:t>
      </w:r>
      <w:r>
        <w:rPr>
          <w:rFonts w:ascii="Times New Roman" w:cs="Times New Roman" w:eastAsia="Times New Roman" w:hAnsi="Times New Roman"/>
          <w:sz w:val="18"/>
          <w:szCs w:val="18"/>
          <w:b w:val="1"/>
          <w:bCs w:val="1"/>
          <w:color w:val="auto"/>
        </w:rPr>
        <w:t>Basic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Basic Prospectus, as supplemented by the prospectus supplement specifically related to the Shares in the form first used to confirm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w:t>
      </w:r>
    </w:p>
    <w:p>
      <w:pPr>
        <w:sectPr>
          <w:pgSz w:w="11900" w:h="16838" w:orient="portrait"/>
          <w:cols w:equalWidth="0" w:num="1">
            <w:col w:w="11020"/>
          </w:cols>
          <w:pgMar w:left="440" w:top="270" w:right="439" w:bottom="1440" w:gutter="0" w:footer="0" w:header="0"/>
        </w:sectPr>
      </w:pPr>
    </w:p>
    <w:bookmarkStart w:id="6" w:name="page7"/>
    <w:bookmarkEnd w:id="6"/>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Company has filed an abbreviated registration statement to register additional shares of Common Stock pursuant to Rule 462(b) under the Securities Act (a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 Registration Statement.</w:t>
      </w:r>
    </w:p>
    <w:p>
      <w:pPr>
        <w:spacing w:after="0" w:line="172"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b w:val="1"/>
          <w:bCs w:val="1"/>
          <w:color w:val="auto"/>
        </w:rPr>
        <w:t>free writing prospectus</w:t>
      </w:r>
      <w:r>
        <w:rPr>
          <w:rFonts w:ascii="Times New Roman" w:cs="Times New Roman" w:eastAsia="Times New Roman" w:hAnsi="Times New Roman"/>
          <w:sz w:val="17"/>
          <w:szCs w:val="17"/>
          <w:color w:val="auto"/>
        </w:rPr>
        <w:t>” has the meaning set forth in Rule 405 under the Securities Act, “</w:t>
      </w:r>
      <w:r>
        <w:rPr>
          <w:rFonts w:ascii="Times New Roman" w:cs="Times New Roman" w:eastAsia="Times New Roman" w:hAnsi="Times New Roman"/>
          <w:sz w:val="17"/>
          <w:szCs w:val="17"/>
          <w:b w:val="1"/>
          <w:bCs w:val="1"/>
          <w:color w:val="auto"/>
        </w:rPr>
        <w:t>Time of 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the Basic Prospectus and the preliminary prospectus together with the documents, pricing information and free writing prospectuses,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any, each as set forth in Schedule II hereto, and “</w:t>
      </w:r>
      <w:r>
        <w:rPr>
          <w:rFonts w:ascii="Times New Roman" w:cs="Times New Roman" w:eastAsia="Times New Roman" w:hAnsi="Times New Roman"/>
          <w:sz w:val="17"/>
          <w:szCs w:val="17"/>
          <w:b w:val="1"/>
          <w:bCs w:val="1"/>
          <w:color w:val="auto"/>
        </w:rPr>
        <w:t>broadly available road show</w:t>
      </w:r>
      <w:r>
        <w:rPr>
          <w:rFonts w:ascii="Times New Roman" w:cs="Times New Roman" w:eastAsia="Times New Roman" w:hAnsi="Times New Roman"/>
          <w:sz w:val="17"/>
          <w:szCs w:val="17"/>
          <w:color w:val="auto"/>
        </w:rPr>
        <w:t>” means a “bona fide electronic road show” as defined in Rule 433(h)</w:t>
      </w:r>
    </w:p>
    <w:p>
      <w:pPr>
        <w:spacing w:after="0" w:line="1" w:lineRule="exact"/>
        <w:rPr>
          <w:sz w:val="20"/>
          <w:szCs w:val="20"/>
          <w:color w:val="auto"/>
        </w:rPr>
      </w:pPr>
    </w:p>
    <w:p>
      <w:pPr>
        <w:ind w:left="4" w:right="240" w:hanging="4"/>
        <w:spacing w:after="0" w:line="255"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8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11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under Section 8A of the Securities Act are pending before or, to the Company’s knowledge, threatened by the Commission.</w:t>
      </w:r>
    </w:p>
    <w:p>
      <w:pPr>
        <w:spacing w:after="0" w:line="67" w:lineRule="exact"/>
        <w:rPr>
          <w:rFonts w:ascii="Times New Roman" w:cs="Times New Roman" w:eastAsia="Times New Roman" w:hAnsi="Times New Roman"/>
          <w:sz w:val="18"/>
          <w:szCs w:val="18"/>
          <w:color w:val="auto"/>
        </w:rPr>
      </w:pPr>
    </w:p>
    <w:p>
      <w:pPr>
        <w:ind w:left="444" w:right="40" w:firstLine="419"/>
        <w:spacing w:after="0" w:line="252" w:lineRule="auto"/>
        <w:tabs>
          <w:tab w:leader="none" w:pos="112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as of the date of such amendment or supplement, will comply in all material respects with the Securities Act and the applicable rules and regulations of the Commission thereunder, (v) the Time of Sale Prospectus does not, and at the time of each sale of the Shares in connection with the offering when the Prospectus is not yet available to prospective purchasers and at the Closing Date (as defined in</w:t>
      </w:r>
    </w:p>
    <w:p>
      <w:pPr>
        <w:spacing w:after="0" w:line="5" w:lineRule="exact"/>
        <w:rPr>
          <w:rFonts w:ascii="Times New Roman" w:cs="Times New Roman" w:eastAsia="Times New Roman" w:hAnsi="Times New Roman"/>
          <w:sz w:val="18"/>
          <w:szCs w:val="18"/>
          <w:color w:val="auto"/>
        </w:rPr>
      </w:pPr>
    </w:p>
    <w:p>
      <w:pPr>
        <w:ind w:left="4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w:t>
      </w:r>
    </w:p>
    <w:p>
      <w:pPr>
        <w:sectPr>
          <w:pgSz w:w="11900" w:h="16838" w:orient="portrait"/>
          <w:cols w:equalWidth="0" w:num="1">
            <w:col w:w="11024"/>
          </w:cols>
          <w:pgMar w:left="436" w:top="270" w:right="43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together with the Time of Sale Prospectus, does not contain any untrue statement of a material fact or omit to state a material fact necessary to make the statements therein, in the light of the circumstances under which they were made, not misleading and (vii)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81" w:lineRule="exact"/>
        <w:rPr>
          <w:sz w:val="20"/>
          <w:szCs w:val="20"/>
          <w:color w:val="auto"/>
        </w:rPr>
      </w:pPr>
    </w:p>
    <w:p>
      <w:pPr>
        <w:ind w:right="20" w:firstLine="419"/>
        <w:spacing w:after="0" w:line="254"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each of the Representatives before first use, the Company has not prepared, used or referred to, and will not, without the prior consent of each of the Representatives, prepare, use or refer to, any free writing prospectus.</w:t>
      </w:r>
    </w:p>
    <w:p>
      <w:pPr>
        <w:spacing w:after="0" w:line="80" w:lineRule="exact"/>
        <w:rPr>
          <w:rFonts w:ascii="Times New Roman" w:cs="Times New Roman" w:eastAsia="Times New Roman" w:hAnsi="Times New Roman"/>
          <w:sz w:val="18"/>
          <w:szCs w:val="18"/>
          <w:color w:val="auto"/>
        </w:rPr>
      </w:pPr>
    </w:p>
    <w:p>
      <w:pPr>
        <w:ind w:right="240" w:firstLine="419"/>
        <w:spacing w:after="0" w:line="277" w:lineRule="auto"/>
        <w:tabs>
          <w:tab w:leader="none" w:pos="67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(as defined in Section 1(e)), taken as a whole.</w:t>
      </w:r>
    </w:p>
    <w:p>
      <w:pPr>
        <w:spacing w:after="0" w:line="59" w:lineRule="exact"/>
        <w:rPr>
          <w:rFonts w:ascii="Times New Roman" w:cs="Times New Roman" w:eastAsia="Times New Roman" w:hAnsi="Times New Roman"/>
          <w:sz w:val="17"/>
          <w:szCs w:val="17"/>
          <w:color w:val="auto"/>
        </w:rPr>
      </w:pPr>
    </w:p>
    <w:p>
      <w:pPr>
        <w:ind w:right="120" w:firstLine="419"/>
        <w:spacing w:after="0" w:line="261"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AVROBIO Inc., a Canadian corporation, AVROBIO Australia Pty Ltd, an Australian company, and AVROBIO Securities Corporation, a Massachusetts corporation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w:t>
      </w:r>
    </w:p>
    <w:p>
      <w:pPr>
        <w:sectPr>
          <w:pgSz w:w="11900" w:h="16838" w:orient="portrait"/>
          <w:cols w:equalWidth="0" w:num="1">
            <w:col w:w="10560"/>
          </w:cols>
          <w:pgMar w:left="880" w:top="270" w:right="459" w:bottom="1440" w:gutter="0" w:footer="0" w:header="0"/>
        </w:sectPr>
      </w:pPr>
    </w:p>
    <w:bookmarkStart w:id="8" w:name="page9"/>
    <w:bookmarkEnd w:id="8"/>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taken as a whole. All of the issued shares of capital stock of each Subsidiary have been duly and validly authorized and issued, are fully paid and non-assessable (to the extent that such concepts are applicable in such jurisdiction) and are owned directly by the Company, free and clear of all liens, encumbrances, equities or claims, other than as disclosed in the Registration Statement.</w:t>
      </w:r>
    </w:p>
    <w:p>
      <w:pPr>
        <w:spacing w:after="0" w:line="60" w:lineRule="exact"/>
        <w:rPr>
          <w:sz w:val="20"/>
          <w:szCs w:val="20"/>
          <w:color w:val="auto"/>
        </w:rPr>
      </w:pPr>
    </w:p>
    <w:p>
      <w:pPr>
        <w:ind w:left="640" w:hanging="2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to the description thereof contained in each of the Time of Sale Prospectus and the Prospectus.</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Shares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 that have not been validly waived.</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Subsidiary that is material to the Company and the Subsidiaries, taken as a whole, or (iv) any judgment, order or decree of any governmental body, agency or court having jurisdiction over the Company or the Subsidiaries, except, in the case of clauses (i), (iii) and (iv), as would not, individually or in the aggregate, reasonably be expected to have a material adverse effect on the Company and its Subsidiaries,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or The Nasdaq Global Select Market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connection with the offer and sale of the Shares.</w:t>
      </w:r>
    </w:p>
    <w:p>
      <w:pPr>
        <w:sectPr>
          <w:pgSz w:w="11900" w:h="16838" w:orient="portrait"/>
          <w:cols w:equalWidth="0" w:num="1">
            <w:col w:w="10560"/>
          </w:cols>
          <w:pgMar w:left="880" w:top="270" w:right="459" w:bottom="1440" w:gutter="0" w:footer="0" w:header="0"/>
        </w:sectPr>
      </w:pPr>
    </w:p>
    <w:bookmarkStart w:id="9" w:name="page10"/>
    <w:bookmarkEnd w:id="9"/>
    <w:p>
      <w:pPr>
        <w:ind w:left="-419" w:right="40" w:firstLine="419"/>
        <w:spacing w:after="0" w:line="266"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has not occurred any material adverse change, or any development that, singly or in the aggregate, would reasonably be expected to result in a material adverse change in the condition, financial or otherwise, or in the earnings, business, prospects or operations of the Company and the Subsidiaries,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left="-419" w:firstLine="419"/>
        <w:spacing w:after="0" w:line="254" w:lineRule="auto"/>
        <w:tabs>
          <w:tab w:leader="none" w:pos="2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or any Subsidiary is a party or to which any of the properties of the Company or any Subsidiary is subject (i) other than proceedings accurately described in all material respects in the Time of Sale Prospectus and proceedings that would not reasonably be expected to have a material adverse effect on the Company and the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83" w:lineRule="exact"/>
        <w:rPr>
          <w:rFonts w:ascii="Times New Roman" w:cs="Times New Roman" w:eastAsia="Times New Roman" w:hAnsi="Times New Roman"/>
          <w:sz w:val="18"/>
          <w:szCs w:val="18"/>
          <w:color w:val="auto"/>
        </w:rPr>
      </w:pPr>
    </w:p>
    <w:p>
      <w:pPr>
        <w:ind w:left="-419" w:right="100" w:firstLine="419"/>
        <w:spacing w:after="0" w:line="266" w:lineRule="auto"/>
        <w:tabs>
          <w:tab w:leader="none" w:pos="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jc w:val="both"/>
        <w:ind w:left="-419" w:right="20" w:firstLine="419"/>
        <w:spacing w:after="0" w:line="266"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419" w:right="40" w:firstLine="419"/>
        <w:spacing w:after="0" w:line="255"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the Subsidiaries, taken as a whole.</w:t>
      </w:r>
    </w:p>
    <w:p>
      <w:pPr>
        <w:sectPr>
          <w:pgSz w:w="11900" w:h="16838" w:orient="portrait"/>
          <w:cols w:equalWidth="0" w:num="1">
            <w:col w:w="10141"/>
          </w:cols>
          <w:pgMar w:left="1299" w:top="270" w:right="459" w:bottom="1440" w:gutter="0" w:footer="0" w:header="0"/>
        </w:sectPr>
      </w:pPr>
    </w:p>
    <w:bookmarkStart w:id="10" w:name="page11"/>
    <w:bookmarkEnd w:id="10"/>
    <w:p>
      <w:pPr>
        <w:jc w:val="both"/>
        <w:ind w:left="-419" w:right="40" w:firstLine="419"/>
        <w:spacing w:after="0" w:line="261"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the Subsidiaries, taken as a whole.</w:t>
      </w:r>
    </w:p>
    <w:p>
      <w:pPr>
        <w:spacing w:after="0" w:line="71" w:lineRule="exact"/>
        <w:rPr>
          <w:rFonts w:ascii="Times New Roman" w:cs="Times New Roman" w:eastAsia="Times New Roman" w:hAnsi="Times New Roman"/>
          <w:sz w:val="18"/>
          <w:szCs w:val="18"/>
          <w:color w:val="auto"/>
        </w:rPr>
      </w:pPr>
    </w:p>
    <w:p>
      <w:pPr>
        <w:jc w:val="both"/>
        <w:ind w:left="-419" w:firstLine="419"/>
        <w:spacing w:after="0" w:line="261"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and the Prospectus or as have been waived with respect to the Registration Statement,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1" w:lineRule="exact"/>
        <w:rPr>
          <w:rFonts w:ascii="Times New Roman" w:cs="Times New Roman" w:eastAsia="Times New Roman" w:hAnsi="Times New Roman"/>
          <w:sz w:val="18"/>
          <w:szCs w:val="18"/>
          <w:color w:val="auto"/>
        </w:rPr>
      </w:pPr>
    </w:p>
    <w:p>
      <w:pPr>
        <w:ind w:left="-419" w:firstLine="419"/>
        <w:spacing w:after="0" w:line="253" w:lineRule="auto"/>
        <w:tabs>
          <w:tab w:leader="none" w:pos="2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Subsidiaries or the Company’s controlled affiliates, nor any director, officer or employee thereof, nor, to the Company’s knowledge, any agent or representative of the Company, the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Neither the Company nor the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3" w:lineRule="exact"/>
        <w:rPr>
          <w:rFonts w:ascii="Times New Roman" w:cs="Times New Roman" w:eastAsia="Times New Roman" w:hAnsi="Times New Roman"/>
          <w:sz w:val="18"/>
          <w:szCs w:val="18"/>
          <w:color w:val="auto"/>
        </w:rPr>
      </w:pPr>
    </w:p>
    <w:p>
      <w:pPr>
        <w:ind w:left="-419" w:right="40" w:firstLine="419"/>
        <w:spacing w:after="0" w:line="254" w:lineRule="auto"/>
        <w:tabs>
          <w:tab w:leader="none" w:pos="2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the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any Subsidiary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Anti-Money Laundering Laws is pending or, to the knowledge of the Company, threatened.</w:t>
      </w:r>
    </w:p>
    <w:p>
      <w:pPr>
        <w:sectPr>
          <w:pgSz w:w="11900" w:h="16838" w:orient="portrait"/>
          <w:cols w:equalWidth="0" w:num="1">
            <w:col w:w="10141"/>
          </w:cols>
          <w:pgMar w:left="1299" w:top="270" w:right="459" w:bottom="1440" w:gutter="0" w:footer="0" w:header="0"/>
        </w:sectPr>
      </w:pPr>
    </w:p>
    <w:bookmarkStart w:id="11" w:name="page12"/>
    <w:bookmarkEnd w:id="11"/>
    <w:p>
      <w:pPr>
        <w:ind w:left="-419" w:right="40" w:firstLine="419"/>
        <w:spacing w:after="0" w:line="266" w:lineRule="auto"/>
        <w:tabs>
          <w:tab w:leader="none" w:pos="2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None of the Company, the Subsidiaries or any director, officer or employee thereof, or, to the Company’s knowledge, any agent, affiliate or representative of the Company or any Subsidiary,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561" w:right="240" w:firstLine="391"/>
        <w:spacing w:after="0" w:line="266" w:lineRule="auto"/>
        <w:tabs>
          <w:tab w:leader="none" w:pos="123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561" w:right="600" w:firstLine="391"/>
        <w:spacing w:after="0" w:line="282" w:lineRule="auto"/>
        <w:tabs>
          <w:tab w:leader="none" w:pos="122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Sudan and Syria).</w:t>
      </w:r>
    </w:p>
    <w:p>
      <w:pPr>
        <w:spacing w:after="0" w:line="53" w:lineRule="exact"/>
        <w:rPr>
          <w:rFonts w:ascii="Times New Roman" w:cs="Times New Roman" w:eastAsia="Times New Roman" w:hAnsi="Times New Roman"/>
          <w:sz w:val="18"/>
          <w:szCs w:val="18"/>
          <w:color w:val="auto"/>
        </w:rPr>
      </w:pPr>
    </w:p>
    <w:p>
      <w:pPr>
        <w:ind w:left="121" w:right="320" w:firstLine="408"/>
        <w:spacing w:after="0" w:line="282" w:lineRule="auto"/>
        <w:tabs>
          <w:tab w:leader="none" w:pos="78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direct or indirect subsidiary, joint venture partner or other Person:</w:t>
      </w:r>
    </w:p>
    <w:p>
      <w:pPr>
        <w:spacing w:after="0" w:line="53" w:lineRule="exact"/>
        <w:rPr>
          <w:rFonts w:ascii="Times New Roman" w:cs="Times New Roman" w:eastAsia="Times New Roman" w:hAnsi="Times New Roman"/>
          <w:sz w:val="18"/>
          <w:szCs w:val="18"/>
          <w:color w:val="auto"/>
        </w:rPr>
      </w:pPr>
    </w:p>
    <w:p>
      <w:pPr>
        <w:ind w:left="561" w:right="220" w:firstLine="391"/>
        <w:spacing w:after="0" w:line="282" w:lineRule="auto"/>
        <w:tabs>
          <w:tab w:leader="none" w:pos="123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561" w:right="340" w:firstLine="391"/>
        <w:spacing w:after="0" w:line="282" w:lineRule="auto"/>
        <w:tabs>
          <w:tab w:leader="none" w:pos="122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121" w:right="160" w:firstLine="408"/>
        <w:spacing w:after="0" w:line="266" w:lineRule="auto"/>
        <w:tabs>
          <w:tab w:leader="none" w:pos="8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left="-419" w:firstLine="419"/>
        <w:spacing w:after="0" w:line="258"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and the Subsidiaries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equity compensation plans or agreements, as applicable, described in the Time of Sale Prospectus), nor declared, paid or otherwise made any dividend or distribution of any kind on its</w:t>
      </w:r>
    </w:p>
    <w:p>
      <w:pPr>
        <w:sectPr>
          <w:pgSz w:w="11900" w:h="16838" w:orient="portrait"/>
          <w:cols w:equalWidth="0" w:num="1">
            <w:col w:w="10141"/>
          </w:cols>
          <w:pgMar w:left="1299" w:top="270" w:right="459" w:bottom="1440" w:gutter="0" w:footer="0" w:header="0"/>
        </w:sectPr>
      </w:pPr>
    </w:p>
    <w:bookmarkStart w:id="12" w:name="page13"/>
    <w:bookmarkEnd w:id="12"/>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capital stock other than ordinary and customary dividends; and (iii) there has not been any material change in the capital stock, short-term debt or long-term debt of the Company and the Subsidiaries, except in each case as described in each of the Registration Statement, the Time of Sale Prospectus and the Prospectus, respectively.</w:t>
      </w:r>
    </w:p>
    <w:p>
      <w:pPr>
        <w:spacing w:after="0" w:line="68" w:lineRule="exact"/>
        <w:rPr>
          <w:sz w:val="20"/>
          <w:szCs w:val="20"/>
          <w:color w:val="auto"/>
        </w:rPr>
      </w:pPr>
    </w:p>
    <w:p>
      <w:pPr>
        <w:ind w:firstLine="419"/>
        <w:spacing w:after="0" w:line="273" w:lineRule="auto"/>
        <w:tabs>
          <w:tab w:leader="none" w:pos="6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Subsidiaries do not own any real property. The Company and the Subsidiaries have good and marketable title to all personal property owned by them which is material to the business of the Company and the Subsidiaries,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the Subsidiaries. Any real property and buildings held under lease by the Company or any Subsidiary are held by them, as applicable, under valid, subsisting and, to the Company’s knowledge, enforceable leases with such exceptions as are not material and do not materially interfere with the use made and proposed to be made of such property and buildings by the Company and the Subsidiaries, in each case except as described in the Time of Sale Prospectus.</w:t>
      </w:r>
    </w:p>
    <w:p>
      <w:pPr>
        <w:spacing w:after="0" w:line="63" w:lineRule="exact"/>
        <w:rPr>
          <w:rFonts w:ascii="Times New Roman" w:cs="Times New Roman" w:eastAsia="Times New Roman" w:hAnsi="Times New Roman"/>
          <w:sz w:val="17"/>
          <w:szCs w:val="17"/>
          <w:color w:val="auto"/>
        </w:rPr>
      </w:pPr>
    </w:p>
    <w:p>
      <w:pPr>
        <w:ind w:firstLine="419"/>
        <w:spacing w:after="0" w:line="252" w:lineRule="auto"/>
        <w:tabs>
          <w:tab w:leader="none" w:pos="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valid, binding and enforceable rights or licenses under all patents, patent applications, patent rights, licenses, inventions, copyrights, know-how (including trade secrets and other unpatented and/or unpatentable proprietary or confidential information, systems or procedures), trademarks, service marks, trade names and other intellectual property used in or necessary for the conduct of the business of the Company and the Subsidiaries in the manner described in the Time of Sale Prospectus (collectively, the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except as enforceability of any licenses may be limited by bankruptcy and other similar laws affecting the rights of creditors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general principles of equity. To the knowledge of the Company, the patents, trademarks and copyrights, if any, included within the Intellectual Property are valid, enforceable and subsisting, other than as disclosed in the Time of Sale Prospectus. (i) Except as disclosed in the Time of Sale Prospectus, neither the Company nor any Subsidiary is obligated to pay a material royalty, grant a license to or provide other material consideration to any third party in connection with the Intellectual Property; (ii) neither the Company nor any Subsidiary has received any notice of any claim of infringement, misappropriation of or conflict with asserted rights of others with respect to any of the Company’s or any Subsidiary’s product candidates, processes or Intellectual Property; (iii) no action, suit, claim or other proceeding is pending or, to the knowledge of the Company, is threatened, challenging the Company’s or any Subsidiary’s rights in or to any Intellectual Property or challenging the validity, enforceability or scope of any Intellectual Property; (iv) except as disclosed in the Time of Sale Prospectus, none of the development, manufacture, sale or use of any of the discoveries, inventions, product candidates or processes of the Company referred to in the Time of Sale Prospectus do or will infringe or violate any right or issued patent claim of any third party in any material respect;</w:t>
      </w:r>
    </w:p>
    <w:p>
      <w:pPr>
        <w:sectPr>
          <w:pgSz w:w="11900" w:h="16838" w:orient="portrait"/>
          <w:cols w:equalWidth="0" w:num="1">
            <w:col w:w="10560"/>
          </w:cols>
          <w:pgMar w:left="880" w:top="270" w:right="459" w:bottom="1440" w:gutter="0" w:footer="0" w:header="0"/>
        </w:sectPr>
      </w:pPr>
    </w:p>
    <w:bookmarkStart w:id="13" w:name="page14"/>
    <w:bookmarkEnd w:id="13"/>
    <w:p>
      <w:pPr>
        <w:ind w:left="4" w:hanging="4"/>
        <w:spacing w:after="0" w:line="254"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third party has any ownership right in or to any Intellectual Property that is owned by the Company other than any co-owner of any patent constituting Intellectual Property who is listed on the records of the U.S. Patent and Trademark Office and any co-owner of any patent application constituting Intellectual Property who is named in such patent application; (vi) except as disclosed in the Time of Sale Prospectus or as would not, singly or in the aggregate, have a material adverse effect on the Company and the Subsidiaries, taken as a whole, the Intellectual Property owned by the Company or any Subsidiary is free and clear of all liens or encumbrances; (vii) none of the technology employed by the Company or any Subsidiary in the conduct of the business in the manner described in the Time of Sale Prospectus has been obtained or is being used by the Company or any Subsidiary in material violation of any contractual obligation binding on the Company or, to the knowledge of the Company, upon any of its officers, consultants, directors or employees and (viii) the Company has taken reasonable measures to protect its confidential information and trade secrets and to maintain and safeguard the Intellectual Property.</w:t>
      </w:r>
    </w:p>
    <w:p>
      <w:pPr>
        <w:spacing w:after="0" w:line="80" w:lineRule="exact"/>
        <w:rPr>
          <w:rFonts w:ascii="Times New Roman" w:cs="Times New Roman" w:eastAsia="Times New Roman" w:hAnsi="Times New Roman"/>
          <w:sz w:val="18"/>
          <w:szCs w:val="18"/>
          <w:color w:val="auto"/>
        </w:rPr>
      </w:pPr>
    </w:p>
    <w:p>
      <w:pPr>
        <w:ind w:left="4" w:right="320" w:firstLine="419"/>
        <w:spacing w:after="0" w:line="282"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all patent and patent applications licensed to the Company or any Subsidiary have been duly and properly filed, prosecuted and maintained in all material respects.</w:t>
      </w:r>
    </w:p>
    <w:p>
      <w:pPr>
        <w:spacing w:after="0" w:line="53" w:lineRule="exact"/>
        <w:rPr>
          <w:rFonts w:ascii="Times New Roman" w:cs="Times New Roman" w:eastAsia="Times New Roman" w:hAnsi="Times New Roman"/>
          <w:sz w:val="18"/>
          <w:szCs w:val="18"/>
          <w:color w:val="auto"/>
        </w:rPr>
      </w:pPr>
    </w:p>
    <w:p>
      <w:pPr>
        <w:ind w:left="4" w:right="60" w:firstLine="419"/>
        <w:spacing w:after="0" w:line="252"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operated and currently are in compliance in all material respects with all applicable laws, rules and regulations of the jurisdictions in which they are conducting business. The Company and each Subsidiary (i) is and at all times has been in material compliance with all statutes, rules or regulations applicable to the ownership, testing, development, manufacture, packaging, processing, use, distribution, marketing, labeling, promotion, sale, offer for sale, storage, import, export or disposal of any product candidate under development, manufactured or distributed by the Company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(ii) has not received any FDA Form 483, notice of adverse finding, warning letter, untitled letter or other written correspondence or notice from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Applicable Laws to conduct the Company’s business as described in Time of Sale Prospectus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(iii) possesses all material Authorizations and such Authorizations are valid and in full force and effect and neither the Company nor any Subsidiary is in material violation of any such Authorizations; (iv) has not received notice of any pending or completed claim, action, suit, proceeding, hearing, enforcement, investigation, arbitration or other action from the FDA or any other federal, state, local or foreign governmental or regulatory authority or third party alleging that any product candidate operation or activity is in material violation of any Applicable Laws or Authorizations and the Company has no knowledge that the FDA or any other federal, state, local or foreign governmental</w:t>
      </w:r>
    </w:p>
    <w:p>
      <w:pPr>
        <w:sectPr>
          <w:pgSz w:w="11900" w:h="16838" w:orient="portrait"/>
          <w:cols w:equalWidth="0" w:num="1">
            <w:col w:w="10524"/>
          </w:cols>
          <w:pgMar w:left="876" w:top="270" w:right="49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regulatory authority or third party is considering any such claim, litigation, arbitration, action, suit, investigation or proceeding; (v) has not received notice that the FDA or any other federal, state, local or foreign governmental or regulatory authority has taken, is taking or intends to take action to limit, suspend, modify or revoke any material Authorizations and has no knowledge that the FDA or any other federal, state, local or foreign governmental or regulatory authority is considering such action; (vi) has filed, obtained, maintained or submitted all material reports, documents, forms, notices, applications, records, claims, submissions and supplements or amendments as required by any Applicable Laws or Authorizations and all such reports, documents, forms, notices, applications, records, claims, submissions and supplements or amendments were materially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“dear doctor” letter or other notice or action relating to the alleged lack of safety or efficacy of any product candidate or any alleged product candidate defect or violation and, to the Company’s knowledge, no third party has initiated, conducted or intends to initiate any such notice or action.</w:t>
      </w:r>
    </w:p>
    <w:p>
      <w:pPr>
        <w:spacing w:after="0" w:line="84" w:lineRule="exact"/>
        <w:rPr>
          <w:sz w:val="20"/>
          <w:szCs w:val="20"/>
          <w:color w:val="auto"/>
        </w:rPr>
      </w:pPr>
    </w:p>
    <w:p>
      <w:pPr>
        <w:ind w:right="20" w:firstLine="419"/>
        <w:spacing w:after="0" w:line="253"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tests and preclinical and clinical trials conducted by the Company that are described in the Registration Statement, the Time of Sale Prospectus and the Prospectus, and, to the Company’s knowledge, those studies, tests and preclinical and clinical trials conducted on behalf of the Company, were and, if still pending, are being conducted in all material respects in accordance with experimental protocols, procedures and controls pursuant to accepted professional scientific standards and all Applicable Laws and Authorizations, including, without limitation, the Federal Food, Drug and Cosmetic Act and the rules and regulations promulgated thereunder. The descriptions of the results of such studies, tests and trials contained in the Registration Statement, the Time of Sale Prospectus and the Prospectus are accurate and complete and fairly present the data derived from such studies, tests and trials in all material respects. The Company is not aware of any studies, tests or trials, the results of which the Company believes are materially inconsistent with the study, test or trial results described or referred to in the Registration Statement, the Time of Sale Prospectus and the Prospectus when viewed in the context in which such results are described and the clinical state of development. The Company has not received any notices or written correspondence from the FDA or any other federal, state, local or foreign governmental or regulatory authority requiring the termination, suspension or material modification of any studies, tests or preclinical or clinical trials conducted by or on behalf of the Company.</w:t>
      </w:r>
    </w:p>
    <w:p>
      <w:pPr>
        <w:spacing w:after="0" w:line="82" w:lineRule="exact"/>
        <w:rPr>
          <w:sz w:val="20"/>
          <w:szCs w:val="20"/>
          <w:color w:val="auto"/>
        </w:rPr>
      </w:pPr>
    </w:p>
    <w:p>
      <w:pPr>
        <w:ind w:firstLine="419"/>
        <w:spacing w:after="0" w:line="266" w:lineRule="auto"/>
        <w:tabs>
          <w:tab w:leader="none" w:pos="7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has filed and received approval of all Authorizations issued by, and have made all declarations and filings with, the FDA or any other federal, state, local or foreign governmental or regulatory authority that are necessary for the ownership or lease of their respective properties or the conduct of their respective businesses as described in the Time</w:t>
      </w:r>
    </w:p>
    <w:p>
      <w:pPr>
        <w:sectPr>
          <w:pgSz w:w="11900" w:h="16838" w:orient="portrait"/>
          <w:cols w:equalWidth="0" w:num="1">
            <w:col w:w="10560"/>
          </w:cols>
          <w:pgMar w:left="880" w:top="270" w:right="45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Sale Prospectus, or to permit all clinical and nonclinical studies and trials conducted by or on behalf of the Company or any Subsidiary, including, without limitation, all necessary FDA and applicable foreign regulatory agency approvals. The Company and each Subsidiary is in compliance with and are not in violation of, or in default under, any such Authorization. To the knowledge of the Company, no event has occurred which allows, or after notice or lapse of time would allow, revocation, termination or modification of any Authorization or result in any other material impairment of the rights of the holder of any Authorization and the Company does not have any reason to believe that any Authorization will not be renewed in the ordinary course. All Authorizations are in full force and effect.</w:t>
      </w:r>
    </w:p>
    <w:p>
      <w:pPr>
        <w:spacing w:after="0" w:line="79" w:lineRule="exact"/>
        <w:rPr>
          <w:sz w:val="20"/>
          <w:szCs w:val="20"/>
          <w:color w:val="auto"/>
        </w:rPr>
      </w:pPr>
    </w:p>
    <w:p>
      <w:pPr>
        <w:ind w:right="140" w:firstLine="419"/>
        <w:spacing w:after="0" w:line="261"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of its officers, directors or managing employees (as defined in 42 U.S.C. § 1320a-5(b)) is or has been excluded, suspended or debarred from participation in any state or federal health care program, or made subject to any pending or, to the Company’s knowledge, threatened or contemplated action which could reasonably be expected to result in such exclusion, suspension or debarment.</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manufacturing facilities and operations of its suppliers are operated in compliance in all material respects with all Applicable Laws.</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or any Subsidiary’s product candidates have received marketing approval from the FDA or any other federal, state, local or foreign governmental or regulatory authority.</w:t>
      </w:r>
    </w:p>
    <w:p>
      <w:pPr>
        <w:spacing w:after="0" w:line="53" w:lineRule="exact"/>
        <w:rPr>
          <w:rFonts w:ascii="Times New Roman" w:cs="Times New Roman" w:eastAsia="Times New Roman" w:hAnsi="Times New Roman"/>
          <w:sz w:val="18"/>
          <w:szCs w:val="18"/>
          <w:color w:val="auto"/>
        </w:rPr>
      </w:pPr>
    </w:p>
    <w:p>
      <w:pPr>
        <w:ind w:right="500" w:firstLine="419"/>
        <w:spacing w:after="0" w:line="261"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Subsidiary exists, except as described in the Time of Sale Prospectus, or, to the knowledge of the Company, is imminent. The Company is not aware of any existing, threatened or imminent labor disturbance by the employees of any of its principal suppliers, manufacturers or contractors that could have a material adverse effect on the Company and the Subsidiaries, taken as a whole.</w:t>
      </w:r>
    </w:p>
    <w:p>
      <w:pPr>
        <w:spacing w:after="0" w:line="71" w:lineRule="exact"/>
        <w:rPr>
          <w:rFonts w:ascii="Times New Roman" w:cs="Times New Roman" w:eastAsia="Times New Roman" w:hAnsi="Times New Roman"/>
          <w:sz w:val="18"/>
          <w:szCs w:val="18"/>
          <w:color w:val="auto"/>
        </w:rPr>
      </w:pPr>
    </w:p>
    <w:p>
      <w:pPr>
        <w:ind w:right="20" w:firstLine="419"/>
        <w:spacing w:after="0" w:line="256" w:lineRule="auto"/>
        <w:tabs>
          <w:tab w:leader="none" w:pos="7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described in the Time of Sale Prospectus or (ii) as would not, singly or in the aggregate, have, or reasonably be expected to have, a material adverse effect on the Company and the Subsidiaries, taken as a whole,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that the Company or any member of its “Controlled Group” (defined as any organization which is under common control with the Company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sponsors or maintains has been maintained in compliance with its terms and the requirements of any applicable statutes, orders, rules and regulations, including but not limited to ERISA and the Code.</w:t>
      </w:r>
    </w:p>
    <w:p>
      <w:pPr>
        <w:sectPr>
          <w:pgSz w:w="11900" w:h="16838" w:orient="portrait"/>
          <w:cols w:equalWidth="0" w:num="1">
            <w:col w:w="10520"/>
          </w:cols>
          <w:pgMar w:left="880" w:top="270" w:right="499" w:bottom="1440" w:gutter="0" w:footer="0" w:header="0"/>
        </w:sectPr>
      </w:pPr>
    </w:p>
    <w:bookmarkStart w:id="16" w:name="page17"/>
    <w:bookmarkEnd w:id="16"/>
    <w:p>
      <w:pPr>
        <w:ind w:left="-419" w:right="40" w:firstLine="419"/>
        <w:spacing w:after="0" w:line="256" w:lineRule="auto"/>
        <w:tabs>
          <w:tab w:leader="none" w:pos="3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each Subsidiary is insured by insurers of recognized financial responsibility against such losses and risks and in such amounts as, in the Company’s reasonable judgment, are prudent and customary in the businesses in which they are engaged. Neither the Company nor any Subsidiary has been refused any insurance coverage sought or applied for.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the Subsidiaries, taken as a whole, except as described in the Time of Sale Prospectus.</w:t>
      </w:r>
    </w:p>
    <w:p>
      <w:pPr>
        <w:spacing w:after="0" w:line="79" w:lineRule="exact"/>
        <w:rPr>
          <w:rFonts w:ascii="Times New Roman" w:cs="Times New Roman" w:eastAsia="Times New Roman" w:hAnsi="Times New Roman"/>
          <w:sz w:val="18"/>
          <w:szCs w:val="18"/>
          <w:color w:val="auto"/>
        </w:rPr>
      </w:pPr>
    </w:p>
    <w:p>
      <w:pPr>
        <w:ind w:left="-419" w:firstLine="419"/>
        <w:spacing w:after="0" w:line="255" w:lineRule="auto"/>
        <w:tabs>
          <w:tab w:leader="none" w:pos="3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possess all certificates, authorizations and permits issued by the appropriate federal, state or foreign regulatory authorities necessary to conduct their respective businesses, except where the failure to possess such certificates, authorizations or permits, individually or in the aggregate, would not reasonably be expected to have a material adverse effect on the Company and the Subsidiaries, taken as a whole, and neither the Company nor any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the Subsidiaries, taken as a whole, except as described in the Time of Sale Prospectus.</w:t>
      </w:r>
    </w:p>
    <w:p>
      <w:pPr>
        <w:spacing w:after="0" w:line="80" w:lineRule="exact"/>
        <w:rPr>
          <w:rFonts w:ascii="Times New Roman" w:cs="Times New Roman" w:eastAsia="Times New Roman" w:hAnsi="Times New Roman"/>
          <w:sz w:val="18"/>
          <w:szCs w:val="18"/>
          <w:color w:val="auto"/>
        </w:rPr>
      </w:pPr>
    </w:p>
    <w:p>
      <w:pPr>
        <w:jc w:val="both"/>
        <w:ind w:left="-419" w:right="460" w:firstLine="419"/>
        <w:spacing w:after="0" w:line="266" w:lineRule="auto"/>
        <w:tabs>
          <w:tab w:leader="none" w:pos="2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which has certified certain financial statements of the Company and the Subsidiaries, is an independent public accountant as required by the Securities Act and the rules and regulations of the Commission thereunder and the rules and regulations of the Public Company Accounting Oversight Board (United States).</w:t>
      </w:r>
    </w:p>
    <w:p>
      <w:pPr>
        <w:spacing w:after="0" w:line="67" w:lineRule="exact"/>
        <w:rPr>
          <w:rFonts w:ascii="Times New Roman" w:cs="Times New Roman" w:eastAsia="Times New Roman" w:hAnsi="Times New Roman"/>
          <w:sz w:val="18"/>
          <w:szCs w:val="18"/>
          <w:color w:val="auto"/>
        </w:rPr>
      </w:pPr>
    </w:p>
    <w:p>
      <w:pPr>
        <w:ind w:left="-419" w:right="60" w:firstLine="419"/>
        <w:spacing w:after="0" w:line="254" w:lineRule="auto"/>
        <w:tabs>
          <w:tab w:leader="none" w:pos="2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Registration Statement, the Time of Sale Prospectus and the Prospectus, together with the related notes, present fairly in all material respects the financial position of the Company and its consolidated Subsidiaries at the dates indicated therein and, in the case of the statements of operations, stockholders’ equity and cash flows of the Company and its consolidated Subsidiaries, for the periods specified therein. The consolidated financial statements of the Company included or incorporated by reference in the Registration Statement, the Time of Sale Prospectus and the Prospectus comply in all material respects with the applicable requirements of the Securities Act and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historical or pro forma financial statements or</w:t>
      </w:r>
    </w:p>
    <w:p>
      <w:pPr>
        <w:sectPr>
          <w:pgSz w:w="11900" w:h="16838" w:orient="portrait"/>
          <w:cols w:equalWidth="0" w:num="1">
            <w:col w:w="10161"/>
          </w:cols>
          <w:pgMar w:left="1299" w:top="270" w:right="439" w:bottom="1440" w:gutter="0" w:footer="0" w:header="0"/>
        </w:sectPr>
      </w:pPr>
    </w:p>
    <w:bookmarkStart w:id="17" w:name="page18"/>
    <w:bookmarkEnd w:id="17"/>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supporting schedules are required to be included or incorporated by reference in the Registration Statement, the Time of Sale Prospectus or the Prospectus under the Securities Act and the rules and regulations of the Commission thereunder. To the extent included in the Registration Statement, the Time of Sale Prospectus and the Prospectus, the pro forma financial information and the related notes thereto included or incorporated by reference therein have been prepared in accordance with the applicable requirements of the Securities Act and comply with Regulation G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Item 10 of Regulation S-K of the Securities Act, to the extent applicable, and the assumptions underlying such pro forma financial information are reasonable and are set forth in the Registration Statement, the Time of Sale Prospectus and the Prospectus in all material respects. All other information regarding the financial condition or results of operations of the Company or the Subsidiaries included or incorporated by reference in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86" w:lineRule="exact"/>
        <w:rPr>
          <w:sz w:val="20"/>
          <w:szCs w:val="20"/>
          <w:color w:val="auto"/>
        </w:rPr>
      </w:pPr>
    </w:p>
    <w:p>
      <w:pPr>
        <w:ind w:left="764" w:hanging="341"/>
        <w:spacing w:after="0"/>
        <w:tabs>
          <w:tab w:leader="none" w:pos="7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4" w:right="280" w:hanging="4"/>
        <w:spacing w:after="0" w:line="265" w:lineRule="auto"/>
        <w:tabs>
          <w:tab w:leader="none" w:pos="21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ind w:left="4" w:right="80" w:hanging="4"/>
        <w:spacing w:after="0" w:line="252" w:lineRule="auto"/>
        <w:tabs>
          <w:tab w:leader="none" w:pos="3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in all material respects.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80" w:lineRule="exact"/>
        <w:rPr>
          <w:rFonts w:ascii="Times New Roman" w:cs="Times New Roman" w:eastAsia="Times New Roman" w:hAnsi="Times New Roman"/>
          <w:sz w:val="18"/>
          <w:szCs w:val="18"/>
          <w:color w:val="auto"/>
        </w:rPr>
      </w:pPr>
    </w:p>
    <w:p>
      <w:pPr>
        <w:ind w:left="4" w:firstLine="419"/>
        <w:spacing w:after="0" w:line="258" w:lineRule="auto"/>
        <w:tabs>
          <w:tab w:leader="none" w:pos="6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Time of Sale Prospectus and the Prospectus,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 The Company has conducted evaluations of the effectiveness of its disclosure controls and procedures as required by Rule 13a-15 of the Exchange Act.</w:t>
      </w:r>
    </w:p>
    <w:p>
      <w:pPr>
        <w:sectPr>
          <w:pgSz w:w="11900" w:h="16838" w:orient="portrait"/>
          <w:cols w:equalWidth="0" w:num="1">
            <w:col w:w="10504"/>
          </w:cols>
          <w:pgMar w:left="876" w:top="270" w:right="519" w:bottom="1440" w:gutter="0" w:footer="0" w:header="0"/>
        </w:sectPr>
      </w:pPr>
    </w:p>
    <w:bookmarkStart w:id="18" w:name="page19"/>
    <w:bookmarkEnd w:id="18"/>
    <w:p>
      <w:pPr>
        <w:ind w:left="-419" w:right="140" w:firstLine="419"/>
        <w:spacing w:after="0" w:line="261" w:lineRule="auto"/>
        <w:tabs>
          <w:tab w:leader="none" w:pos="4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described in the Time of Sale Prospectus, the Company has not sold, issued or distributed any shares of Common Stock during the six-month period preceding the date hereof, including any sales pursuant to Rule 144A under, or Regulations D or S of, the Securities Act, other than shares issued pursuant to employee benefit plans, qualified stock option plans or other employee compensation plans or pursuant to outstanding options, rights or warrants.</w:t>
      </w:r>
    </w:p>
    <w:p>
      <w:pPr>
        <w:spacing w:after="0" w:line="71" w:lineRule="exact"/>
        <w:rPr>
          <w:rFonts w:ascii="Times New Roman" w:cs="Times New Roman" w:eastAsia="Times New Roman" w:hAnsi="Times New Roman"/>
          <w:sz w:val="18"/>
          <w:szCs w:val="18"/>
          <w:color w:val="auto"/>
        </w:rPr>
      </w:pPr>
    </w:p>
    <w:p>
      <w:pPr>
        <w:ind w:left="-419" w:right="360" w:firstLine="419"/>
        <w:spacing w:after="0" w:line="282" w:lineRule="auto"/>
        <w:tabs>
          <w:tab w:leader="none" w:pos="3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any Subsidiary has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ind w:left="-419" w:right="20" w:firstLine="419"/>
        <w:spacing w:after="0" w:line="254" w:lineRule="auto"/>
        <w:tabs>
          <w:tab w:leader="none" w:pos="3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has filed all federal, state, local and foreign tax returns required to be filed by them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have a material adverse effect, or, except as currently being contested in good faith and for which reserves required by GAAP have been created in the financial statements of the Company), and no tax deficiency has been determined adversely to the Company or any Subsidiary which has had (nor does the Company nor any Subsidiary have any notice or knowledge of any tax deficiency which could reasonably be expected to be determined adversely to the Company or the Subsidiaries and which could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left="-419" w:firstLine="419"/>
        <w:spacing w:after="0" w:line="258" w:lineRule="auto"/>
        <w:tabs>
          <w:tab w:leader="none" w:pos="3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has complied, and are presently in compliance, with its cybersecurity and privacy policies, to the extent such policies exist, and the Company’s and each Subsidiary’s (as applicable) obligations to third parties that have been specifically identified and expressly agreed to in writing by the Company (and each Subsidiary, as applicable) regarding the collection, use, transfer, storage, protection, disposal and disclosure by the Company and each Subsidiary of personally identifiable information, except to the extent that the failure to do so would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419" w:right="80" w:firstLine="419"/>
        <w:spacing w:after="0" w:line="266" w:lineRule="auto"/>
        <w:tabs>
          <w:tab w:leader="none" w:pos="3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left="-419" w:right="20" w:firstLine="419"/>
        <w:spacing w:after="0" w:line="258" w:lineRule="auto"/>
        <w:tabs>
          <w:tab w:leader="none" w:pos="2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or 12(g)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ectPr>
          <w:pgSz w:w="11900" w:h="16838" w:orient="portrait"/>
          <w:cols w:equalWidth="0" w:num="1">
            <w:col w:w="10121"/>
          </w:cols>
          <w:pgMar w:left="1299" w:top="270" w:right="479" w:bottom="1440" w:gutter="0" w:footer="0" w:header="0"/>
        </w:sectPr>
      </w:pPr>
    </w:p>
    <w:bookmarkStart w:id="19" w:name="page20"/>
    <w:bookmarkEnd w:id="19"/>
    <w:p>
      <w:pPr>
        <w:ind w:left="4" w:right="500" w:firstLine="419"/>
        <w:spacing w:after="0" w:line="282" w:lineRule="auto"/>
        <w:tabs>
          <w:tab w:leader="none" w:pos="7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the Subsidiaries, the Company, directly or indirectly, owns no capital stock or other equity or ownership or proprietary interest in any corporation, partnership, association, trust or other entity.</w:t>
      </w:r>
    </w:p>
    <w:p>
      <w:pPr>
        <w:spacing w:after="0" w:line="53"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w:t>
      </w:r>
    </w:p>
    <w:p>
      <w:pPr>
        <w:spacing w:after="0" w:line="75" w:lineRule="exact"/>
        <w:rPr>
          <w:rFonts w:ascii="Times New Roman" w:cs="Times New Roman" w:eastAsia="Times New Roman" w:hAnsi="Times New Roman"/>
          <w:sz w:val="18"/>
          <w:szCs w:val="18"/>
          <w:color w:val="auto"/>
        </w:rPr>
      </w:pPr>
    </w:p>
    <w:p>
      <w:pPr>
        <w:ind w:left="4" w:firstLine="419"/>
        <w:spacing w:after="0" w:line="255" w:lineRule="auto"/>
        <w:tabs>
          <w:tab w:leader="none" w:pos="7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has not alone engaged in any Testing-the-Waters Communication other than Testing-the-Waters Communications with the consent of each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80"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7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1" w:lineRule="exact"/>
        <w:rPr>
          <w:rFonts w:ascii="Times New Roman" w:cs="Times New Roman" w:eastAsia="Times New Roman" w:hAnsi="Times New Roman"/>
          <w:sz w:val="18"/>
          <w:szCs w:val="18"/>
          <w:color w:val="auto"/>
        </w:rPr>
      </w:pPr>
    </w:p>
    <w:p>
      <w:pPr>
        <w:ind w:left="-436" w:right="160" w:firstLine="436"/>
        <w:spacing w:after="0" w:line="267"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The Company hereby agrees to sell to the several Underwriters, and each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herein contained, but subject to the conditions hereinafter stated, agrees, severally and not jointly, to purchase from the Company the respective numbers of Firm Shares set forth in Schedule I hereto opposite its name at $14.10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ectPr>
          <w:pgSz w:w="11900" w:h="16838" w:orient="portrait"/>
          <w:cols w:equalWidth="0" w:num="1">
            <w:col w:w="10564"/>
          </w:cols>
          <w:pgMar w:left="876" w:top="270" w:right="459" w:bottom="1440" w:gutter="0" w:footer="0" w:header="0"/>
        </w:sectPr>
      </w:pPr>
    </w:p>
    <w:bookmarkStart w:id="20" w:name="page21"/>
    <w:bookmarkEnd w:id="20"/>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basis of the representations and warranties contained in this Agreement, and subject to its terms and conditions, the Company agrees to sell to the Underwriters the Additional Shares, and the Underwriters shall have the right to purchase, severally and not jointly, up to 750,000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8" w:lineRule="exact"/>
        <w:rPr>
          <w:sz w:val="20"/>
          <w:szCs w:val="20"/>
          <w:color w:val="auto"/>
        </w:rPr>
      </w:pPr>
    </w:p>
    <w:p>
      <w:pPr>
        <w:ind w:firstLine="436"/>
        <w:spacing w:after="0" w:line="261"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$15.00 a share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Firm Shares shall be made to the Company in federal or other funds immediately available in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against delivery of such Firm Shares for the respective accounts of the several Underwriters at 10:00 a.m., New York City time, on November 24, 2020, or at such other time on the same or such other date, not later than December 1, 2020,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January 1, 2021, as shall be designated in writing by the Representatives.</w:t>
      </w:r>
    </w:p>
    <w:p>
      <w:pPr>
        <w:sectPr>
          <w:pgSz w:w="11900" w:h="16838" w:orient="portrait"/>
          <w:cols w:equalWidth="0" w:num="1">
            <w:col w:w="11000"/>
          </w:cols>
          <w:pgMar w:left="440" w:top="270" w:right="459" w:bottom="1440" w:gutter="0" w:footer="0" w:header="0"/>
        </w:sectPr>
      </w:pPr>
    </w:p>
    <w:bookmarkStart w:id="21" w:name="page22"/>
    <w:bookmarkEnd w:id="2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transfer taxes payable in connection with the transfer of the Shares to the Underwriters, if any, duly paid, against payment of the Purchase Price therefor.</w:t>
      </w:r>
    </w:p>
    <w:p>
      <w:pPr>
        <w:spacing w:after="0" w:line="181" w:lineRule="exact"/>
        <w:rPr>
          <w:sz w:val="20"/>
          <w:szCs w:val="20"/>
          <w:color w:val="auto"/>
        </w:rPr>
      </w:pPr>
    </w:p>
    <w:p>
      <w:pPr>
        <w:ind w:right="100" w:firstLine="436"/>
        <w:spacing w:after="0" w:line="284"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Shares to the Underwriters and the several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Underwriters to purchase and pay for the Shares on the Closing Date are subject to the following conditions:</w:t>
      </w:r>
    </w:p>
    <w:p>
      <w:pPr>
        <w:spacing w:after="0" w:line="52"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59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1" w:lineRule="auto"/>
        <w:tabs>
          <w:tab w:leader="none" w:pos="1646"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occurred any change, or any development involving a prospective change, in the condition, financial or otherwise, or in the earnings, business, prospects or operations of the Company and the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56" w:lineRule="exact"/>
        <w:rPr>
          <w:rFonts w:ascii="Times New Roman" w:cs="Times New Roman" w:eastAsia="Times New Roman" w:hAnsi="Times New Roman"/>
          <w:sz w:val="17"/>
          <w:szCs w:val="17"/>
          <w:color w:val="auto"/>
        </w:rPr>
      </w:pPr>
    </w:p>
    <w:p>
      <w:pPr>
        <w:jc w:val="both"/>
        <w:ind w:left="440" w:right="140" w:firstLine="419"/>
        <w:spacing w:after="0" w:line="261" w:lineRule="auto"/>
        <w:tabs>
          <w:tab w:leader="none" w:pos="11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40" w:right="380" w:firstLine="419"/>
        <w:spacing w:after="0" w:line="282" w:lineRule="auto"/>
        <w:tabs>
          <w:tab w:leader="none" w:pos="11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Goodwin Procter LLP, outside counsel for the Company,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Clark + Elbing LLP, special counsel to the Company with respect to certain intellectual property matters, dated the Closing Date, in form and substance reasonably satisfactory to the Underwriters.</w:t>
      </w:r>
    </w:p>
    <w:p>
      <w:pPr>
        <w:sectPr>
          <w:pgSz w:w="11900" w:h="16838" w:orient="portrait"/>
          <w:cols w:equalWidth="0" w:num="1">
            <w:col w:w="11020"/>
          </w:cols>
          <w:pgMar w:left="440" w:top="270" w:right="439" w:bottom="1440" w:gutter="0" w:footer="0" w:header="0"/>
        </w:sectPr>
      </w:pPr>
    </w:p>
    <w:bookmarkStart w:id="22" w:name="page23"/>
    <w:bookmarkEnd w:id="22"/>
    <w:p>
      <w:pPr>
        <w:ind w:left="440" w:firstLine="419"/>
        <w:spacing w:after="0" w:line="282"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Underwriters shall have received on the Closing Date an opinion and negative assurance letter of Ropes &amp; Gray LLP, counsel for the Underwriters, dated the Closing Date, in form and substance reasonably satisfactory to the Underwriters.</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With respect to Sections 5(c) and 5(e) above, Goodwin Procter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opinions of Goodwin Procter LLP and Clark + Elbing LLP described in Section 5(c) and 5(d) above shall be rendered to the Underwriters at the request of the Company and shall so state therein.</w:t>
      </w:r>
    </w:p>
    <w:p>
      <w:pPr>
        <w:spacing w:after="0" w:line="54" w:lineRule="exact"/>
        <w:rPr>
          <w:sz w:val="20"/>
          <w:szCs w:val="20"/>
          <w:color w:val="auto"/>
        </w:rPr>
      </w:pPr>
    </w:p>
    <w:p>
      <w:pPr>
        <w:ind w:left="440" w:right="20" w:firstLine="419"/>
        <w:spacing w:after="0" w:line="258"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the Closing Date, a certificate dated the date hereof or the Closing Date, as the case may be, in form and substance satisfactory to the Representatives, from the Chief Financial Officer of the Company.</w:t>
      </w:r>
    </w:p>
    <w:p>
      <w:pPr>
        <w:spacing w:after="0" w:line="53" w:lineRule="exact"/>
        <w:rPr>
          <w:rFonts w:ascii="Times New Roman" w:cs="Times New Roman" w:eastAsia="Times New Roman" w:hAnsi="Times New Roman"/>
          <w:sz w:val="18"/>
          <w:szCs w:val="18"/>
          <w:color w:val="auto"/>
        </w:rPr>
      </w:pPr>
    </w:p>
    <w:p>
      <w:pPr>
        <w:jc w:val="both"/>
        <w:ind w:left="440" w:right="200" w:firstLine="419"/>
        <w:spacing w:after="0" w:line="289" w:lineRule="auto"/>
        <w:tabs>
          <w:tab w:leader="none" w:pos="111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“lock-up” agreements, each substantially in the form of Exhibit A hereto, among the Representatives and certain shareholders, officers and directors of the Company relating to sales and certain other dispositions of shares of Common Stock or certain other securities, delivered to the Representatives on or before the date hereof (the “</w:t>
      </w:r>
      <w:r>
        <w:rPr>
          <w:rFonts w:ascii="Times New Roman" w:cs="Times New Roman" w:eastAsia="Times New Roman" w:hAnsi="Times New Roman"/>
          <w:sz w:val="17"/>
          <w:szCs w:val="17"/>
          <w:b w:val="1"/>
          <w:bCs w:val="1"/>
          <w:color w:val="auto"/>
        </w:rPr>
        <w:t>Lock-up Agreements</w:t>
      </w:r>
      <w:r>
        <w:rPr>
          <w:rFonts w:ascii="Times New Roman" w:cs="Times New Roman" w:eastAsia="Times New Roman" w:hAnsi="Times New Roman"/>
          <w:sz w:val="17"/>
          <w:szCs w:val="17"/>
          <w:color w:val="auto"/>
        </w:rPr>
        <w:t>”), shall be in full force and effect on the Closing Date.</w:t>
      </w:r>
    </w:p>
    <w:p>
      <w:pPr>
        <w:spacing w:after="0" w:line="49" w:lineRule="exact"/>
        <w:rPr>
          <w:rFonts w:ascii="Times New Roman" w:cs="Times New Roman" w:eastAsia="Times New Roman" w:hAnsi="Times New Roman"/>
          <w:sz w:val="17"/>
          <w:szCs w:val="17"/>
          <w:color w:val="auto"/>
        </w:rPr>
      </w:pPr>
    </w:p>
    <w:p>
      <w:pPr>
        <w:ind w:left="440" w:right="260" w:firstLine="419"/>
        <w:spacing w:after="0" w:line="282" w:lineRule="auto"/>
        <w:tabs>
          <w:tab w:leader="none" w:pos="10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Underwriters on the applicable Option Closing Date of the following:</w:t>
      </w:r>
    </w:p>
    <w:p>
      <w:pPr>
        <w:spacing w:after="0" w:line="53"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5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ectPr>
          <w:pgSz w:w="11900" w:h="16838" w:orient="portrait"/>
          <w:cols w:equalWidth="0" w:num="1">
            <w:col w:w="11000"/>
          </w:cols>
          <w:pgMar w:left="440" w:top="270" w:right="459" w:bottom="1440" w:gutter="0" w:footer="0" w:header="0"/>
        </w:sectPr>
      </w:pPr>
    </w:p>
    <w:bookmarkStart w:id="23" w:name="page24"/>
    <w:bookmarkEnd w:id="23"/>
    <w:p>
      <w:pPr>
        <w:ind w:left="544" w:right="240" w:firstLine="408"/>
        <w:spacing w:after="0" w:line="266" w:lineRule="auto"/>
        <w:tabs>
          <w:tab w:leader="none" w:pos="120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opinion and negative assurance letter of Goodwin Procter LLP, outside counsel for the Company, dated the Option Closing Date, relating to the Additional Shares to be purchased on such Option Closing Date and otherwise to the same effect as the opinion required by Section 5(c) hereof;</w:t>
      </w:r>
    </w:p>
    <w:p>
      <w:pPr>
        <w:spacing w:after="0" w:line="67" w:lineRule="exact"/>
        <w:rPr>
          <w:rFonts w:ascii="Times New Roman" w:cs="Times New Roman" w:eastAsia="Times New Roman" w:hAnsi="Times New Roman"/>
          <w:sz w:val="18"/>
          <w:szCs w:val="18"/>
          <w:color w:val="auto"/>
        </w:rPr>
      </w:pPr>
    </w:p>
    <w:p>
      <w:pPr>
        <w:ind w:left="544" w:right="420" w:firstLine="408"/>
        <w:spacing w:after="0" w:line="266" w:lineRule="auto"/>
        <w:tabs>
          <w:tab w:leader="none" w:pos="125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Clark + Elbing LLP, special counsel to the Company with respect to certain intellectual property matters, dated the Option Closing Date and otherwise to the same effect as the opinion required by Section 5(d) hereof;</w:t>
      </w:r>
    </w:p>
    <w:p>
      <w:pPr>
        <w:spacing w:after="0" w:line="67" w:lineRule="exact"/>
        <w:rPr>
          <w:rFonts w:ascii="Times New Roman" w:cs="Times New Roman" w:eastAsia="Times New Roman" w:hAnsi="Times New Roman"/>
          <w:sz w:val="18"/>
          <w:szCs w:val="18"/>
          <w:color w:val="auto"/>
        </w:rPr>
      </w:pPr>
    </w:p>
    <w:p>
      <w:pPr>
        <w:ind w:left="544" w:right="20" w:firstLine="408"/>
        <w:spacing w:after="0" w:line="266" w:lineRule="auto"/>
        <w:tabs>
          <w:tab w:leader="none" w:pos="124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Ropes &amp; Gray LLP, counsel for the Underwriters, dated the Option Closing Date, relating to the Additional Shares to be purchased on such Option Closing Date and otherwise to the same effect as the opinion required by Section 5(e) hereof;</w:t>
      </w:r>
    </w:p>
    <w:p>
      <w:pPr>
        <w:spacing w:after="0" w:line="175" w:lineRule="exact"/>
        <w:rPr>
          <w:rFonts w:ascii="Times New Roman" w:cs="Times New Roman" w:eastAsia="Times New Roman" w:hAnsi="Times New Roman"/>
          <w:sz w:val="18"/>
          <w:szCs w:val="18"/>
          <w:color w:val="auto"/>
        </w:rPr>
      </w:pPr>
    </w:p>
    <w:p>
      <w:pPr>
        <w:ind w:left="544" w:right="200" w:firstLine="408"/>
        <w:spacing w:after="0" w:line="261" w:lineRule="auto"/>
        <w:tabs>
          <w:tab w:leader="none" w:pos="119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5(f)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w:t>
      </w:r>
    </w:p>
    <w:p>
      <w:pPr>
        <w:spacing w:after="0" w:line="71" w:lineRule="exact"/>
        <w:rPr>
          <w:rFonts w:ascii="Times New Roman" w:cs="Times New Roman" w:eastAsia="Times New Roman" w:hAnsi="Times New Roman"/>
          <w:sz w:val="18"/>
          <w:szCs w:val="18"/>
          <w:color w:val="auto"/>
        </w:rPr>
      </w:pPr>
    </w:p>
    <w:p>
      <w:pPr>
        <w:ind w:left="544" w:right="320" w:firstLine="408"/>
        <w:spacing w:after="0" w:line="282" w:lineRule="auto"/>
        <w:tabs>
          <w:tab w:leader="none" w:pos="124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in form and substance satisfactory to the Underwriters, from the Chief Financial Officer of the Company; and</w:t>
      </w:r>
    </w:p>
    <w:p>
      <w:pPr>
        <w:spacing w:after="0" w:line="53" w:lineRule="exact"/>
        <w:rPr>
          <w:rFonts w:ascii="Times New Roman" w:cs="Times New Roman" w:eastAsia="Times New Roman" w:hAnsi="Times New Roman"/>
          <w:sz w:val="18"/>
          <w:szCs w:val="18"/>
          <w:color w:val="auto"/>
        </w:rPr>
      </w:pPr>
    </w:p>
    <w:p>
      <w:pPr>
        <w:ind w:left="544" w:firstLine="408"/>
        <w:spacing w:after="0" w:line="266" w:lineRule="auto"/>
        <w:tabs>
          <w:tab w:leader="none" w:pos="129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7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five conformed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ectPr>
          <w:pgSz w:w="11900" w:h="16838" w:orient="portrait"/>
          <w:cols w:equalWidth="0" w:num="1">
            <w:col w:w="10504"/>
          </w:cols>
          <w:pgMar w:left="876" w:top="270" w:right="519" w:bottom="1440" w:gutter="0" w:footer="0" w:header="0"/>
        </w:sectPr>
      </w:pPr>
    </w:p>
    <w:bookmarkStart w:id="24" w:name="page25"/>
    <w:bookmarkEnd w:id="24"/>
    <w:p>
      <w:pPr>
        <w:ind w:right="80" w:firstLine="419"/>
        <w:spacing w:after="0" w:line="261"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6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right="60" w:firstLine="419"/>
        <w:spacing w:after="0" w:line="253" w:lineRule="auto"/>
        <w:tabs>
          <w:tab w:leader="none" w:pos="6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w:t>
      </w:r>
    </w:p>
    <w:p>
      <w:pPr>
        <w:sectPr>
          <w:pgSz w:w="11900" w:h="16838" w:orient="portrait"/>
          <w:cols w:equalWidth="0" w:num="1">
            <w:col w:w="10520"/>
          </w:cols>
          <w:pgMar w:left="880" w:top="270" w:right="499" w:bottom="1440" w:gutter="0" w:footer="0" w:header="0"/>
        </w:sectPr>
      </w:pPr>
    </w:p>
    <w:bookmarkStart w:id="25" w:name="page26"/>
    <w:bookmarkEnd w:id="2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75" w:lineRule="exact"/>
        <w:rPr>
          <w:sz w:val="20"/>
          <w:szCs w:val="20"/>
          <w:color w:val="auto"/>
        </w:rPr>
      </w:pPr>
    </w:p>
    <w:p>
      <w:pPr>
        <w:ind w:right="60" w:firstLine="419"/>
        <w:spacing w:after="0" w:line="261"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endeavor to qualify the Shares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be deemed to have furnished such statement to its security holders to the extent it is filed on the Commission’s Electronic Data Gathering, Analysis and Retrieval System.</w:t>
      </w:r>
    </w:p>
    <w:p>
      <w:pPr>
        <w:spacing w:after="0" w:line="75" w:lineRule="exact"/>
        <w:rPr>
          <w:rFonts w:ascii="Times New Roman" w:cs="Times New Roman" w:eastAsia="Times New Roman" w:hAnsi="Times New Roman"/>
          <w:sz w:val="18"/>
          <w:szCs w:val="18"/>
          <w:color w:val="auto"/>
        </w:rPr>
      </w:pPr>
    </w:p>
    <w:p>
      <w:pPr>
        <w:ind w:right="80" w:firstLine="419"/>
        <w:spacing w:after="0" w:line="253"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transfer or other taxes, if any,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reasonably incurred and documented fees and disbursements of counsel for the Underwriters in connection with such qualification and in connection with the Blue Sky or Legal Investment memorandum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payable by the Company with respect</w:t>
      </w:r>
    </w:p>
    <w:p>
      <w:pPr>
        <w:sectPr>
          <w:pgSz w:w="11900" w:h="16838" w:orient="portrait"/>
          <w:cols w:equalWidth="0" w:num="1">
            <w:col w:w="10560"/>
          </w:cols>
          <w:pgMar w:left="880" w:top="270" w:right="459" w:bottom="1440" w:gutter="0" w:footer="0" w:header="0"/>
        </w:sectPr>
      </w:pPr>
    </w:p>
    <w:bookmarkStart w:id="26" w:name="page27"/>
    <w:bookmarkEnd w:id="26"/>
    <w:p>
      <w:pPr>
        <w:ind w:left="4"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fees and disbursements of counsel for the Underwriters pursuant to this subsection (iii) shall not exceed $10,000), (iv) all filing fees and the reasonable fees and disbursements of counsel to the Underwriters incurred in connection with the review and qualification of the offering of the Shares by FINRA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amount payable by the Company with respect to fees and disbursements of counsel for the Underwriters pursuant to this subsection (iv) shall not exceed $30,000), (v) the cost of printing certificates representing the Shares, (vi) the costs and charges of any transfer agent, registrar or depositary, (vii)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(the remaining 50% of the cost of such aircraft, as well as any other travel and lodging expenses of the Underwriters in connection with the road show, to be paid by the Underwriters), (viii) the document production charges and expenses associated with printing this Agreement and</w:t>
      </w:r>
    </w:p>
    <w:p>
      <w:pPr>
        <w:spacing w:after="0" w:line="2" w:lineRule="exact"/>
        <w:rPr>
          <w:sz w:val="20"/>
          <w:szCs w:val="20"/>
          <w:color w:val="auto"/>
        </w:rPr>
      </w:pPr>
    </w:p>
    <w:p>
      <w:pPr>
        <w:ind w:left="4" w:right="200" w:hanging="4"/>
        <w:spacing w:after="0" w:line="273" w:lineRule="auto"/>
        <w:tabs>
          <w:tab w:leader="none" w:pos="25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64" w:lineRule="exact"/>
        <w:rPr>
          <w:rFonts w:ascii="Times New Roman" w:cs="Times New Roman" w:eastAsia="Times New Roman" w:hAnsi="Times New Roman"/>
          <w:sz w:val="17"/>
          <w:szCs w:val="17"/>
          <w:color w:val="auto"/>
        </w:rPr>
      </w:pPr>
    </w:p>
    <w:p>
      <w:pPr>
        <w:ind w:left="4" w:firstLine="419"/>
        <w:spacing w:after="0" w:line="266"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67"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ectPr>
          <w:pgSz w:w="11900" w:h="16838" w:orient="portrait"/>
          <w:cols w:equalWidth="0" w:num="1">
            <w:col w:w="10544"/>
          </w:cols>
          <w:pgMar w:left="876" w:top="270" w:right="479" w:bottom="1440" w:gutter="0" w:footer="0" w:header="0"/>
        </w:sectPr>
      </w:pPr>
    </w:p>
    <w:bookmarkStart w:id="27" w:name="page28"/>
    <w:bookmarkEnd w:id="27"/>
    <w:p>
      <w:pPr>
        <w:jc w:val="both"/>
        <w:ind w:left="444" w:right="300" w:firstLine="419"/>
        <w:spacing w:after="0" w:line="261" w:lineRule="auto"/>
        <w:tabs>
          <w:tab w:leader="none" w:pos="10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0"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each of Morgan Stanley &amp; Co. LLC and Cowen and Company, LLC, on behalf of the Underwriters, it will not, and will not publicly disclose an intention to, during the period ending 90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88"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 xml:space="preserve">The restrictions contained in the preceding paragraph shall not apply to (a) the Shares to be sold hereunder, (b) the issuance by the Company of shares of Common Stock upon the exercise of an option pursuant to stock plans or a warrant or the conversion of a security outstanding on the date hereof, in each case disclosed in the Time of Sale Prospectus or pursuant to any qualifying inducement award under Nasdaq rules, (c) the establishment of a trading plan pursuant to Rule 10b5-1 under the Exchange Act for the transfer of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shares of Common Stock during the Restricted Period and (ii)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 (d) the grant or issuance by the Company, or exercise or settlement (in cash, shares of Common Stock or otherwise), of options, restricted stock awards, restricted stock units or any other type of equity award to employees, officers, directors, advisors or consultants of the Company pursuant to employee benefit plans described in the Time of Sale Prospectus or pursuant to any qualifying inducement award under Nasdaq rules, (e) the filing by the Company of a registration statement with the Commission on Form S-8 with respect to employee benefit plans issued under stock plans described in the Time of Sale Prospectus, or (f) 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w:t>
      </w:r>
    </w:p>
    <w:p>
      <w:pPr>
        <w:spacing w:after="0" w:line="10" w:lineRule="exact"/>
        <w:rPr>
          <w:sz w:val="20"/>
          <w:szCs w:val="20"/>
          <w:color w:val="auto"/>
        </w:rPr>
      </w:pPr>
    </w:p>
    <w:p>
      <w:pPr>
        <w:ind w:left="4" w:right="40" w:hanging="4"/>
        <w:spacing w:after="0" w:line="255"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leasing arrangements or (vi) debt financing, provided that the aggregate number of shares of Common Stock or securities convertible into or exercisable for Common Stock (on an as-converted or as exercised basis, as the case may be) that the Company may sell or issue or agree to sell or issue</w:t>
      </w:r>
    </w:p>
    <w:p>
      <w:pPr>
        <w:sectPr>
          <w:pgSz w:w="11900" w:h="16838" w:orient="portrait"/>
          <w:cols w:equalWidth="0" w:num="1">
            <w:col w:w="11004"/>
          </w:cols>
          <w:pgMar w:left="436" w:top="270" w:right="459" w:bottom="1440" w:gutter="0" w:footer="0" w:header="0"/>
        </w:sectPr>
      </w:pPr>
    </w:p>
    <w:bookmarkStart w:id="28" w:name="page29"/>
    <w:bookmarkEnd w:id="28"/>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this clause (f) shall not exceed 5% of the total number of shares of the Company’s Common Stock issued and outstanding immediately following the completion of the transactions contemplated by this Agreement, and provided further, that each recipient of shares of Common Stock or securities convertible into or exercisable for Common Stock pursuant to clauses (d) and (f) shall execute a lock-up agreement substantially in the form of Exhibit A hereto.</w:t>
      </w:r>
    </w:p>
    <w:p>
      <w:pPr>
        <w:spacing w:after="0" w:line="178" w:lineRule="exact"/>
        <w:rPr>
          <w:sz w:val="20"/>
          <w:szCs w:val="20"/>
          <w:color w:val="auto"/>
        </w:rPr>
      </w:pPr>
    </w:p>
    <w:p>
      <w:pPr>
        <w:ind w:right="240" w:firstLine="436"/>
        <w:spacing w:after="0" w:line="267" w:lineRule="auto"/>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covenants with the Company not to take any action that would result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40" w:firstLine="419"/>
        <w:spacing w:after="0" w:line="253" w:lineRule="auto"/>
        <w:tabs>
          <w:tab w:leader="none" w:pos="11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the Prospectus or any amendment or supplement thereto, or any Written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below).</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w:t>
      </w:r>
    </w:p>
    <w:p>
      <w:pPr>
        <w:sectPr>
          <w:pgSz w:w="11900" w:h="16838" w:orient="portrait"/>
          <w:cols w:equalWidth="0" w:num="1">
            <w:col w:w="10900"/>
          </w:cols>
          <w:pgMar w:left="440" w:top="270" w:right="559" w:bottom="1440" w:gutter="0" w:footer="0" w:header="0"/>
        </w:sectPr>
      </w:pPr>
    </w:p>
    <w:bookmarkStart w:id="29" w:name="page30"/>
    <w:bookmarkEnd w:id="2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Representatives expressly for use in the Registration Statement, any preliminary prospectus, the Time of Sale Prospectus, any issuer free writing prospectus, road show or the Prospectus or any amendment or supplement thereto, it being understood and agreed upon that the only such information furnished by any Underwriter consists of the following information in the Prospectus furnished on behalf of each Underwriter: the information contained in the paragraphs 12, 14, 15 and 16 under the caption “Underwriting”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firstLine="419"/>
        <w:spacing w:after="0" w:line="251" w:lineRule="auto"/>
        <w:tabs>
          <w:tab w:leader="none" w:pos="6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w:t>
      </w:r>
    </w:p>
    <w:p>
      <w:pPr>
        <w:sectPr>
          <w:pgSz w:w="11900" w:h="16838" w:orient="portrait"/>
          <w:cols w:equalWidth="0" w:num="1">
            <w:col w:w="10560"/>
          </w:cols>
          <w:pgMar w:left="880" w:top="270" w:right="459" w:bottom="144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admitting fault, culpability or a failure to act, by or on behalf of any indemnified party.</w:t>
      </w:r>
    </w:p>
    <w:p>
      <w:pPr>
        <w:spacing w:after="0" w:line="72" w:lineRule="exact"/>
        <w:rPr>
          <w:sz w:val="20"/>
          <w:szCs w:val="20"/>
          <w:color w:val="auto"/>
        </w:rPr>
      </w:pPr>
    </w:p>
    <w:p>
      <w:pPr>
        <w:ind w:firstLine="419"/>
        <w:spacing w:after="0" w:line="252"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86" w:lineRule="exact"/>
        <w:rPr>
          <w:rFonts w:ascii="Times New Roman" w:cs="Times New Roman" w:eastAsia="Times New Roman" w:hAnsi="Times New Roman"/>
          <w:sz w:val="18"/>
          <w:szCs w:val="18"/>
          <w:color w:val="auto"/>
        </w:rPr>
      </w:pPr>
    </w:p>
    <w:p>
      <w:pPr>
        <w:ind w:right="20" w:firstLine="419"/>
        <w:spacing w:after="0" w:line="256" w:lineRule="auto"/>
        <w:tabs>
          <w:tab w:leader="none" w:pos="6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w:t>
      </w:r>
    </w:p>
    <w:p>
      <w:pPr>
        <w:sectPr>
          <w:pgSz w:w="11900" w:h="16838" w:orient="portrait"/>
          <w:cols w:equalWidth="0" w:num="1">
            <w:col w:w="10560"/>
          </w:cols>
          <w:pgMar w:left="880" w:top="270" w:right="459" w:bottom="1440" w:gutter="0" w:footer="0" w:header="0"/>
        </w:sectPr>
      </w:pPr>
    </w:p>
    <w:bookmarkStart w:id="31" w:name="page32"/>
    <w:bookmarkEnd w:id="31"/>
    <w:p>
      <w:pPr>
        <w:ind w:left="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contribute any amount in excess of the amount by which the total price at which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60" w:lineRule="exact"/>
        <w:rPr>
          <w:sz w:val="20"/>
          <w:szCs w:val="20"/>
          <w:color w:val="auto"/>
        </w:rPr>
      </w:pPr>
    </w:p>
    <w:p>
      <w:pPr>
        <w:ind w:left="440" w:right="360" w:firstLine="419"/>
        <w:spacing w:after="0" w:line="276" w:lineRule="auto"/>
        <w:tabs>
          <w:tab w:leader="none" w:pos="108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84" w:lineRule="exact"/>
        <w:rPr>
          <w:sz w:val="20"/>
          <w:szCs w:val="20"/>
          <w:color w:val="auto"/>
        </w:rPr>
      </w:pPr>
    </w:p>
    <w:p>
      <w:pPr>
        <w:ind w:left="620" w:hanging="184"/>
        <w:spacing w:after="0"/>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8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w:t>
      </w:r>
    </w:p>
    <w:p>
      <w:pPr>
        <w:sectPr>
          <w:pgSz w:w="11900" w:h="16838" w:orient="portrait"/>
          <w:cols w:equalWidth="0" w:num="1">
            <w:col w:w="11000"/>
          </w:cols>
          <w:pgMar w:left="440" w:top="270" w:right="459" w:bottom="1440" w:gutter="0" w:footer="0" w:header="0"/>
        </w:sectPr>
      </w:pPr>
    </w:p>
    <w:bookmarkStart w:id="32" w:name="page33"/>
    <w:bookmarkEnd w:id="32"/>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w:t>
      </w:r>
    </w:p>
    <w:p>
      <w:pPr>
        <w:spacing w:after="0" w:line="12" w:lineRule="exact"/>
        <w:rPr>
          <w:sz w:val="20"/>
          <w:szCs w:val="20"/>
          <w:color w:val="auto"/>
        </w:rPr>
      </w:pPr>
    </w:p>
    <w:p>
      <w:pPr>
        <w:ind w:left="4" w:right="220" w:hanging="4"/>
        <w:spacing w:after="0" w:line="253"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the Company will reimburse the non-defaulting Underwriters or such Underwriters as have so terminated this Agreement with respect to themselves, severally, for all out-of-pocket expenses (including the reasonably incurred and documented fees and disbursements of their counsel) reasonably incurred by such non-defaulting Underwriters in connection with this Agreement or the offering contemplated hereunder.</w:t>
      </w:r>
    </w:p>
    <w:p>
      <w:pPr>
        <w:spacing w:after="0" w:line="77" w:lineRule="exact"/>
        <w:rPr>
          <w:sz w:val="20"/>
          <w:szCs w:val="20"/>
          <w:color w:val="auto"/>
        </w:rPr>
      </w:pPr>
    </w:p>
    <w:p>
      <w:pPr>
        <w:ind w:left="704" w:hanging="264"/>
        <w:spacing w:after="0"/>
        <w:tabs>
          <w:tab w:leader="none" w:pos="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4" w:firstLine="419"/>
        <w:spacing w:after="0" w:line="261" w:lineRule="auto"/>
        <w:tabs>
          <w:tab w:leader="none" w:pos="111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ectPr>
          <w:pgSz w:w="11900" w:h="16838" w:orient="portrait"/>
          <w:cols w:equalWidth="0" w:num="1">
            <w:col w:w="11004"/>
          </w:cols>
          <w:pgMar w:left="436" w:top="270" w:right="459" w:bottom="1440" w:gutter="0" w:footer="0" w:header="0"/>
        </w:sectPr>
      </w:pPr>
    </w:p>
    <w:bookmarkStart w:id="33" w:name="page34"/>
    <w:bookmarkEnd w:id="33"/>
    <w:p>
      <w:pPr>
        <w:ind w:left="440" w:firstLine="419"/>
        <w:spacing w:after="0" w:line="254" w:lineRule="auto"/>
        <w:tabs>
          <w:tab w:leader="none" w:pos="11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(iv) none of the activities of the Underwriters in connection with the transactions contemplated herein constitutes a recommendation, investment advice, or solicitation of any action by the Underwriters with respect to any entity or natural person and (v) the Underwriters are not advising the Company or any other person as to any legal, tax, investment, accounting or regulatory matters in any jurisdiction. The Company waives to the full extent permitted by applicable law any claims it may have against the Underwriters arising from an alleged breach of fiduciary duty in connection with the offering of the Shares.</w:t>
      </w:r>
    </w:p>
    <w:p>
      <w:pPr>
        <w:spacing w:after="0" w:line="189" w:lineRule="exact"/>
        <w:rPr>
          <w:rFonts w:ascii="Times New Roman" w:cs="Times New Roman" w:eastAsia="Times New Roman" w:hAnsi="Times New Roman"/>
          <w:sz w:val="18"/>
          <w:szCs w:val="18"/>
          <w:color w:val="auto"/>
        </w:rPr>
      </w:pPr>
    </w:p>
    <w:p>
      <w:pPr>
        <w:ind w:right="100" w:firstLine="436"/>
        <w:spacing w:after="0" w:line="261" w:lineRule="auto"/>
        <w:tabs>
          <w:tab w:leader="none" w:pos="7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0980"/>
          </w:cols>
          <w:pgMar w:left="440" w:top="270" w:right="479" w:bottom="1440" w:gutter="0" w:footer="0" w:header="0"/>
        </w:sectPr>
      </w:pPr>
    </w:p>
    <w:bookmarkStart w:id="34" w:name="page35"/>
    <w:bookmarkEnd w:id="34"/>
    <w:p>
      <w:pPr>
        <w:ind w:right="280" w:firstLine="436"/>
        <w:spacing w:after="0" w:line="284"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40" w:firstLine="436"/>
        <w:spacing w:after="0" w:line="284"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Representatives at c/o Morgan Stanley &amp; Co. LLC, 1585 Broadway, New York, New York 10036, Attention: Equity Syndicate Desk, with a copy to the Legal Department; c/o Cowen and Company, LLC, 599 Lexington Avenue, 25th Floor, New York, New York 10022; and, in each case, with a copy (which copy shall not constitute notice) to Ropes &amp; Gray LLP, Prudential Tower, 800 Boylston Street, Boston, Massachusetts 02199, Attention: Patrick O’Brien; and if to the Company, shall be delivered, mailed or sent to One Kendall Square, Building 300, Suite 201, Cambridge, Massachusetts 02139, Attention: Geoff MacKay, President and Chief Executive Officer, with a copy (which copy shall not constitute notice) to Goodwin Procter LLP, 100 Northern Avenue, Boston, Massachusetts 02210, Attention: Arthur McGivern.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1000"/>
          </w:cols>
          <w:pgMar w:left="440" w:top="268" w:right="459" w:bottom="1440" w:gutter="0" w:footer="0" w:header="0"/>
        </w:sectPr>
      </w:pPr>
    </w:p>
    <w:bookmarkStart w:id="35" w:name="page36"/>
    <w:bookmarkEnd w:id="35"/>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Geoff MacKay</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Rigoli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Chris Rigoli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Bill Follis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Bill Follis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020"/>
          </w:cols>
          <w:pgMar w:left="440" w:top="270" w:right="1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940" w:type="dxa"/>
            <w:vAlign w:val="bottom"/>
            <w:vMerge w:val="restart"/>
          </w:tcPr>
          <w:p>
            <w:pPr>
              <w:spacing w:after="0"/>
              <w:rPr>
                <w:sz w:val="24"/>
                <w:szCs w:val="24"/>
                <w:color w:val="auto"/>
              </w:rPr>
            </w:pPr>
          </w:p>
        </w:tc>
        <w:tc>
          <w:tcPr>
            <w:tcW w:w="5580" w:type="dxa"/>
            <w:vAlign w:val="bottom"/>
          </w:tcPr>
          <w:p>
            <w:pPr>
              <w:spacing w:after="0"/>
              <w:rPr>
                <w:sz w:val="24"/>
                <w:szCs w:val="24"/>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Firm Shares To</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5580" w:type="dxa"/>
            <w:vAlign w:val="bottom"/>
          </w:tcPr>
          <w:p>
            <w:pPr>
              <w:spacing w:after="0"/>
              <w:rPr>
                <w:sz w:val="15"/>
                <w:szCs w:val="15"/>
                <w:color w:val="auto"/>
              </w:rPr>
            </w:pPr>
          </w:p>
        </w:tc>
        <w:tc>
          <w:tcPr>
            <w:tcW w:w="17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55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7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7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7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637,500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55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8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Prospectus dated January 14, 2020.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Supplement dated November 19, 2020.</w:t>
      </w:r>
    </w:p>
    <w:p>
      <w:pPr>
        <w:spacing w:after="0" w:line="130" w:lineRule="exact"/>
        <w:rPr>
          <w:rFonts w:ascii="Times New Roman" w:cs="Times New Roman" w:eastAsia="Times New Roman" w:hAnsi="Times New Roman"/>
          <w:sz w:val="18"/>
          <w:szCs w:val="18"/>
          <w:color w:val="auto"/>
        </w:rPr>
      </w:pPr>
    </w:p>
    <w:p>
      <w:pPr>
        <w:ind w:left="5364" w:right="4820" w:hanging="5364"/>
        <w:spacing w:after="0" w:line="454" w:lineRule="auto"/>
        <w:tabs>
          <w:tab w:leader="none" w:pos="4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the pricing term sheet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II-1</w:t>
      </w:r>
    </w:p>
    <w:p>
      <w:pPr>
        <w:sectPr>
          <w:pgSz w:w="11900" w:h="16838" w:orient="portrait"/>
          <w:cols w:equalWidth="0" w:num="1">
            <w:col w:w="11024"/>
          </w:cols>
          <w:pgMar w:left="436" w:top="270"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III</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0580"/>
          </w:cols>
          <w:pgMar w:left="880" w:top="266"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Cowen and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599 Lexington Avenue, 25th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The undersigned understands that Morgan Stanley &amp; Co. LLC and Cowen and Company, LLC,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AVROBIO,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Underwriters, including the Representatives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Capitalized terms used but not defined herein shall have the meanings assigned thereto in the Underwriting Agreement.</w:t>
      </w:r>
    </w:p>
    <w:p>
      <w:pPr>
        <w:spacing w:after="0" w:line="183" w:lineRule="exact"/>
        <w:rPr>
          <w:sz w:val="20"/>
          <w:szCs w:val="20"/>
          <w:color w:val="auto"/>
        </w:rPr>
      </w:pPr>
    </w:p>
    <w:p>
      <w:pPr>
        <w:ind w:right="220"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90 days after the date of the final prospectus relating to the Public Offering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that are convertible into or exercisable or exchangeable for Common Stock or (2) enter into any swap or other arrangement that transfers to another, in whole or in part, any of the economic consequences of ownership of shares of Common Stock, whether any such transaction described in clause (1) or (2) above is to be settled by delivery of shares of Common Stock or such other securities, in cash or otherwise. The foregoing sentence shall not apply to:</w:t>
      </w:r>
    </w:p>
    <w:p>
      <w:pPr>
        <w:spacing w:after="0" w:line="194" w:lineRule="exact"/>
        <w:rPr>
          <w:sz w:val="20"/>
          <w:szCs w:val="20"/>
          <w:color w:val="auto"/>
        </w:rPr>
      </w:pPr>
    </w:p>
    <w:p>
      <w:pPr>
        <w:ind w:right="360" w:firstLine="436"/>
        <w:spacing w:after="0" w:line="282"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the Public Offering or in open market transactions after the completion of the Public Offering;</w:t>
      </w:r>
    </w:p>
    <w:p>
      <w:pPr>
        <w:sectPr>
          <w:pgSz w:w="11900" w:h="16838" w:orient="portrait"/>
          <w:cols w:equalWidth="0" w:num="1">
            <w:col w:w="11020"/>
          </w:cols>
          <w:pgMar w:left="440" w:top="266" w:right="439" w:bottom="1440" w:gutter="0" w:footer="0" w:header="0"/>
        </w:sectPr>
      </w:pPr>
    </w:p>
    <w:bookmarkStart w:id="40" w:name="page41"/>
    <w:bookmarkEnd w:id="40"/>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transfers of shares of Common Stock or any security convertible into or exercisable or exchangeable for Common Stock as a bona fide gift;</w:t>
      </w:r>
    </w:p>
    <w:p>
      <w:pPr>
        <w:spacing w:after="0" w:line="225" w:lineRule="exact"/>
        <w:rPr>
          <w:rFonts w:ascii="Times New Roman" w:cs="Times New Roman" w:eastAsia="Times New Roman" w:hAnsi="Times New Roman"/>
          <w:sz w:val="18"/>
          <w:szCs w:val="18"/>
          <w:color w:val="auto"/>
        </w:rPr>
      </w:pPr>
    </w:p>
    <w:p>
      <w:pPr>
        <w:ind w:left="-436" w:firstLine="436"/>
        <w:spacing w:after="0" w:line="258"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or exercisable or exchangeable for Common Stock to limited partners, stockholders, members, general partners, managers, directors, officers or employees or trust beneficiaries of the undersigned or of the undersigned’s affiliates (as defined in Rule 405 promulgated under the Securities Act of 1933, as amended) or to any investment fund or other entity that is directly or indirectly controlling, controlled by, managing or managed by or under common control with the undersigned or the undersigned’s affiliates;</w:t>
      </w:r>
    </w:p>
    <w:p>
      <w:pPr>
        <w:spacing w:after="0" w:line="183" w:lineRule="exact"/>
        <w:rPr>
          <w:rFonts w:ascii="Times New Roman" w:cs="Times New Roman" w:eastAsia="Times New Roman" w:hAnsi="Times New Roman"/>
          <w:sz w:val="18"/>
          <w:szCs w:val="18"/>
          <w:color w:val="auto"/>
        </w:rPr>
      </w:pPr>
    </w:p>
    <w:p>
      <w:pPr>
        <w:ind w:left="-436" w:right="220" w:firstLine="436"/>
        <w:spacing w:after="0" w:line="282"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pursuant to Rule 10b5-1 (a “10b5-1 Plan”)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the transfer of shares of Common Stock during the Restricted Period;</w:t>
      </w:r>
    </w:p>
    <w:p>
      <w:pPr>
        <w:spacing w:after="0" w:line="161" w:lineRule="exact"/>
        <w:rPr>
          <w:rFonts w:ascii="Times New Roman" w:cs="Times New Roman" w:eastAsia="Times New Roman" w:hAnsi="Times New Roman"/>
          <w:sz w:val="18"/>
          <w:szCs w:val="18"/>
          <w:color w:val="auto"/>
        </w:rPr>
      </w:pPr>
    </w:p>
    <w:p>
      <w:pPr>
        <w:ind w:left="-436" w:right="60" w:firstLine="436"/>
        <w:spacing w:after="0" w:line="312" w:lineRule="auto"/>
        <w:tabs>
          <w:tab w:leader="none" w:pos="24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or dispositions of shares of Common Stock or other securities to any member of the immediate family of the undersigned or any trust for the direct or indirect benefit of the undersigned or the immediate family of the undersigned in a transaction not involving a disposition for value;</w:t>
      </w:r>
    </w:p>
    <w:p>
      <w:pPr>
        <w:spacing w:after="0" w:line="139" w:lineRule="exact"/>
        <w:rPr>
          <w:rFonts w:ascii="Times New Roman" w:cs="Times New Roman" w:eastAsia="Times New Roman" w:hAnsi="Times New Roman"/>
          <w:sz w:val="17"/>
          <w:szCs w:val="17"/>
          <w:color w:val="auto"/>
        </w:rPr>
      </w:pPr>
    </w:p>
    <w:p>
      <w:pPr>
        <w:ind w:left="-436" w:firstLine="436"/>
        <w:spacing w:after="0" w:line="255" w:lineRule="auto"/>
        <w:tabs>
          <w:tab w:leader="none" w:pos="2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corporation, partnership, limited liability company or other entity that is directly or indirectly controlling, controlled by, managing or managed by or under common control with the undersigned or the undersigned’s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in a transaction not involving a disposition for value;</w:t>
      </w:r>
    </w:p>
    <w:p>
      <w:pPr>
        <w:spacing w:after="0" w:line="188" w:lineRule="exact"/>
        <w:rPr>
          <w:rFonts w:ascii="Times New Roman" w:cs="Times New Roman" w:eastAsia="Times New Roman" w:hAnsi="Times New Roman"/>
          <w:sz w:val="18"/>
          <w:szCs w:val="18"/>
          <w:color w:val="auto"/>
        </w:rPr>
      </w:pPr>
    </w:p>
    <w:p>
      <w:pPr>
        <w:jc w:val="both"/>
        <w:ind w:left="-436" w:right="60" w:firstLine="436"/>
        <w:spacing w:after="0" w:line="266"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for Common Stock or other securities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175" w:lineRule="exact"/>
        <w:rPr>
          <w:rFonts w:ascii="Times New Roman" w:cs="Times New Roman" w:eastAsia="Times New Roman" w:hAnsi="Times New Roman"/>
          <w:sz w:val="18"/>
          <w:szCs w:val="18"/>
          <w:color w:val="auto"/>
        </w:rPr>
      </w:pPr>
    </w:p>
    <w:p>
      <w:pPr>
        <w:jc w:val="both"/>
        <w:ind w:left="-436" w:right="60" w:firstLine="436"/>
        <w:spacing w:after="0" w:line="261"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or any security convertible into or exercisable or exchangeable for Common Stock to the Company pursuant to any contractual arrangement in effect prior to the date hereof and disclosed to the Representatives that provides for the repurchase of the undersigned’s Common Stock or other securities by the Company or in connection with the termination of the undersigned’s employment with or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repurchase</w:t>
      </w:r>
    </w:p>
    <w:p>
      <w:pPr>
        <w:sectPr>
          <w:pgSz w:w="11900" w:h="16838" w:orient="portrait"/>
          <w:cols w:equalWidth="0" w:num="1">
            <w:col w:w="10564"/>
          </w:cols>
          <w:pgMar w:left="876" w:top="270" w:right="459" w:bottom="1440" w:gutter="0" w:footer="0" w:header="0"/>
        </w:sectPr>
      </w:pPr>
    </w:p>
    <w:bookmarkStart w:id="41" w:name="page42"/>
    <w:bookmarkEnd w:id="41"/>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price for any such shares of Common Stock or other securities shall not exceed the original purchase price (subject to appropriate adjustment in the event of any stock dividend, stock split, combination or other similar recapitalization) paid by the undersigned to the Company for such shares or securities,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the Company pursuant to the circumstances described in this clause (h);</w:t>
      </w:r>
    </w:p>
    <w:p>
      <w:pPr>
        <w:spacing w:after="0" w:line="183" w:lineRule="exact"/>
        <w:rPr>
          <w:sz w:val="20"/>
          <w:szCs w:val="20"/>
          <w:color w:val="auto"/>
        </w:rPr>
      </w:pPr>
    </w:p>
    <w:p>
      <w:pPr>
        <w:ind w:firstLine="436"/>
        <w:spacing w:after="0" w:line="25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any option or warrant described in the Prospectus and outstanding as of the date of the Prospectus for shares of Common Stock,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shares of Common Stock received by the undersigned shall be subject to the terms of this letter;</w:t>
      </w:r>
      <w:r>
        <w:rPr>
          <w:rFonts w:ascii="Times New Roman" w:cs="Times New Roman" w:eastAsia="Times New Roman" w:hAnsi="Times New Roman"/>
          <w:sz w:val="18"/>
          <w:szCs w:val="18"/>
          <w:i w:val="1"/>
          <w:iCs w:val="1"/>
          <w:color w:val="auto"/>
        </w:rPr>
        <w:t xml:space="preserve"> provided further </w:t>
      </w:r>
      <w:r>
        <w:rPr>
          <w:rFonts w:ascii="Times New Roman" w:cs="Times New Roman" w:eastAsia="Times New Roman" w:hAnsi="Times New Roman"/>
          <w:sz w:val="18"/>
          <w:szCs w:val="18"/>
          <w:color w:val="auto"/>
        </w:rPr>
        <w:t>that any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or public announcement under Section 16(a) of the Exchange Act required during the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187" w:lineRule="exact"/>
        <w:rPr>
          <w:rFonts w:ascii="Times New Roman" w:cs="Times New Roman" w:eastAsia="Times New Roman" w:hAnsi="Times New Roman"/>
          <w:sz w:val="18"/>
          <w:szCs w:val="18"/>
          <w:color w:val="auto"/>
        </w:rPr>
      </w:pPr>
    </w:p>
    <w:p>
      <w:pPr>
        <w:ind w:right="40" w:firstLine="436"/>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title to (but not beneficial ownership of) shares of Common Stock or other securities to a nominee or custodian of a person or entity to whom a disposition or transfer would be permissible under any of the foregoing clauses;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shares of Common Stock or other securities shall remain subject to the terms of this letter; or</w:t>
      </w:r>
    </w:p>
    <w:p>
      <w:pPr>
        <w:spacing w:after="0" w:line="175"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or such other securities pursuant to a bona fide tender offer for shares of the Company’s capital stock, merger, consolidation or other similar transaction made to all holders of the Company’s securities involving a Change of Control (as defined below) of the Company (including without limitation, the entering into of any lock-up, voting or similar agreement pursuant to which the undersigned may agree to transfer, sell, tender or otherwise dispose of shares of Common Stock or other securities in connection with such transaction) that has been approved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Change of Control transaction is not consummated, this clause (k) shall not be applicable and the undersigned’s shares and other securities shall remain subject to the restrictions contained in this letter;</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clauses (b), (c), (e), (f) or (g), each transferee or distributee shall sign and deliver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of the Representatives a lock-up letter substantially in the form of this letter;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transfer or distribution pursuant to clauses (a), (b), (c), (d), (e), (f), (g), or (j), no public announcement or public filing under Section 16(a) of the Exchange Act relating to such transfer or distribution shall be required or shall be voluntarily made during the Restricted Period.</w:t>
      </w:r>
    </w:p>
    <w:p>
      <w:pPr>
        <w:sectPr>
          <w:pgSz w:w="11900" w:h="16838" w:orient="portrait"/>
          <w:cols w:equalWidth="0" w:num="1">
            <w:col w:w="10940"/>
          </w:cols>
          <w:pgMar w:left="440" w:top="270" w:right="519" w:bottom="1440" w:gutter="0" w:footer="0" w:header="0"/>
        </w:sectPr>
      </w:pPr>
    </w:p>
    <w:bookmarkStart w:id="42" w:name="page43"/>
    <w:bookmarkEnd w:id="42"/>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this letter,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relationship by blood, marriage, domestic partnership or adoption, not more remote than first cousin, and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at least 90% of the outstanding voting securities of the Company (or the surviving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Public Offering shall not constitute a Change of Control.</w:t>
      </w:r>
    </w:p>
    <w:p>
      <w:pPr>
        <w:spacing w:after="0" w:line="186"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In addition, the undersigned agrees that, without the prior written consent of each of the Representatives,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64"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the undersigned in connection with the Public Offering, the Underwriters are not making a recommendation to the undersigned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w:t>
      </w:r>
    </w:p>
    <w:p>
      <w:pPr>
        <w:sectPr>
          <w:pgSz w:w="11900" w:h="16838" w:orient="portrait"/>
          <w:cols w:equalWidth="0" w:num="1">
            <w:col w:w="10980"/>
          </w:cols>
          <w:pgMar w:left="440" w:top="266" w:right="479" w:bottom="1440" w:gutter="0" w:footer="0" w:header="0"/>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Offering is withdrawn prior to execution of the Underwriting Agreement or (iv) the Underwriting Agreement is not executed on or before December 31, 2020, then, in each case, this letter shall automatically, and without any action on the part of any other party, be of no further force and effect, and the undersigned shall be automatically released from all obligations under this letter.</w:t>
      </w:r>
    </w:p>
    <w:p>
      <w:pPr>
        <w:sectPr>
          <w:pgSz w:w="11900" w:h="16838" w:orient="portrait"/>
          <w:cols w:equalWidth="0" w:num="1">
            <w:col w:w="10960"/>
          </w:cols>
          <w:pgMar w:left="440" w:top="270" w:right="49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154305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1">
            <w:col w:w="9019"/>
          </w:cols>
          <w:pgMar w:left="1440" w:top="270"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B</w:t>
            </w:r>
          </w:p>
        </w:tc>
      </w:tr>
      <w:tr>
        <w:trPr>
          <w:trHeight w:val="430"/>
        </w:trPr>
        <w:tc>
          <w:tcPr>
            <w:tcW w:w="3080" w:type="dxa"/>
            <w:vAlign w:val="bottom"/>
          </w:tcPr>
          <w:p>
            <w:pPr>
              <w:spacing w:after="0"/>
              <w:rPr>
                <w:sz w:val="24"/>
                <w:szCs w:val="24"/>
                <w:color w:val="auto"/>
              </w:rPr>
            </w:pPr>
          </w:p>
        </w:tc>
        <w:tc>
          <w:tcPr>
            <w:tcW w:w="79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AVROBIO, Inc.</w:t>
            </w:r>
          </w:p>
        </w:tc>
      </w:tr>
      <w:tr>
        <w:trPr>
          <w:trHeight w:val="238"/>
        </w:trPr>
        <w:tc>
          <w:tcPr>
            <w:tcW w:w="3080" w:type="dxa"/>
            <w:vAlign w:val="bottom"/>
          </w:tcPr>
          <w:p>
            <w:pPr>
              <w:spacing w:after="0"/>
              <w:rPr>
                <w:sz w:val="20"/>
                <w:szCs w:val="20"/>
                <w:color w:val="auto"/>
              </w:rPr>
            </w:pPr>
          </w:p>
        </w:tc>
        <w:tc>
          <w:tcPr>
            <w:tcW w:w="79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5,000,000 shares of common stock</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AVROBIO, Inc.</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Symbol:</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AVRO</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Size (Pre-Greenshoe):</w:t>
            </w:r>
          </w:p>
        </w:tc>
        <w:tc>
          <w:tcPr>
            <w:tcW w:w="70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$75,000,000</w:t>
            </w:r>
          </w:p>
        </w:tc>
        <w:tc>
          <w:tcPr>
            <w:tcW w:w="940" w:type="dxa"/>
            <w:vAlign w:val="bottom"/>
          </w:tcPr>
          <w:p>
            <w:pPr>
              <w:spacing w:after="0"/>
              <w:rPr>
                <w:sz w:val="24"/>
                <w:szCs w:val="24"/>
                <w:color w:val="auto"/>
              </w:rPr>
            </w:pP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Firm Shares Offered:</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5,000,000 shares</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Greenshoe Shares Offered:</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750,000 shares</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70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$15.00</w:t>
            </w:r>
          </w:p>
        </w:tc>
        <w:tc>
          <w:tcPr>
            <w:tcW w:w="940" w:type="dxa"/>
            <w:vAlign w:val="bottom"/>
          </w:tcPr>
          <w:p>
            <w:pPr>
              <w:spacing w:after="0"/>
              <w:rPr>
                <w:sz w:val="24"/>
                <w:szCs w:val="24"/>
                <w:color w:val="auto"/>
              </w:rPr>
            </w:pP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November 24, 2020</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05455M 100</w:t>
            </w:r>
          </w:p>
        </w:tc>
      </w:tr>
      <w:tr>
        <w:trPr>
          <w:trHeight w:val="31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Bookrunners:</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Cowen and Company, LLC</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34"/>
        </w:trPr>
        <w:tc>
          <w:tcPr>
            <w:tcW w:w="3080" w:type="dxa"/>
            <w:vAlign w:val="bottom"/>
          </w:tcPr>
          <w:p>
            <w:pPr>
              <w:spacing w:after="0"/>
              <w:rPr>
                <w:sz w:val="20"/>
                <w:szCs w:val="20"/>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33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Co-Manager:</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Wedbush Securities Inc.</w:t>
            </w:r>
          </w:p>
        </w:tc>
      </w:tr>
      <w:tr>
        <w:trPr>
          <w:trHeight w:val="30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The issuer intends to use the proceeds from this offering, after deducting</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expenses payable by the issuer, to fund the issuer’s current programs in</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Fabry disease, cystinosis, Gaucher disease type 1, Hunter syndrome,</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Pompe disease and Gaucher disease type 3, fund external and internal</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manufacturing and process development activities and to fund research</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and development activities that relate to the issuer’s current and future</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clinical and preclinical activities, including the cost of research and</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development personnel. The issuer intends to use the remainder for</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planned general and administrative expenses, working capital and other</w:t>
            </w:r>
          </w:p>
        </w:tc>
      </w:tr>
      <w:tr>
        <w:trPr>
          <w:trHeight w:val="234"/>
        </w:trPr>
        <w:tc>
          <w:tcPr>
            <w:tcW w:w="3080" w:type="dxa"/>
            <w:vAlign w:val="bottom"/>
          </w:tcPr>
          <w:p>
            <w:pPr>
              <w:spacing w:after="0"/>
              <w:rPr>
                <w:sz w:val="20"/>
                <w:szCs w:val="20"/>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general corporate purposes.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filed a registration statement (including a preliminary prospectus) with the Securities and Exchange Commission (the “SEC”) for the offering to which this communication relates, which was declared effective by the SEC on January 14, 2020. Before you invest, you should read the preliminary prospectus in that registration statement and other documents the Company has filed with the SEC for more complete information about the Company and this offering. You may get these documents for free by visiting EDGAR on the SEC web site at www.sec.gov. Alternatively, you may request a copy of the preliminary prospectus from Morgan Stanley &amp; Co. LLC, Attention: Prospectus Department, 180 Varick Street, 2nd Floor, New York, New York 10014 and Cowen and Company, LLC, c/o Broadridge Financial Solutions, 1155 Long Island Avenue, Edgewood, NY, 11717, Attn: Prospectus Department.</w:t>
      </w:r>
    </w:p>
    <w:p>
      <w:pPr>
        <w:spacing w:after="0" w:line="18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any offer to buy, nor shall there be any sale of the securities in any jurisdiction in which such offer, solicitation or sale would be unlawful prior to the registration or qualification under the securities law of any such jurisdiction.</w:t>
      </w:r>
    </w:p>
    <w:p>
      <w:pPr>
        <w:sectPr>
          <w:pgSz w:w="11900" w:h="16838" w:orient="portrait"/>
          <w:cols w:equalWidth="0" w:num="1">
            <w:col w:w="11020"/>
          </w:cols>
          <w:pgMar w:left="440" w:top="257"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333-235641) (as amended or supplemented,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on December 20, 2019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the offer by AVROBIO, Inc., a Delaware corporation (the “Company”) of up to $250,000,000 of any combination of securities of the types specified therein. The Registration Statement was declared effective by the Commission on January 14, 2020. Reference is made to our opinion letter dated December 20, 2019 and included as Exhibit 5.1 to the Registration Statement. We are delivering this supplemental opinion letter in connection with the prospectus supplement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filed on November 20, 2020 by the Company with the Commission pursuant to Rule 424 under the Securities Act. The Prospectus Supplement relates to the offering by the Company of up to 5,000,000 shares of the Company’s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covered by the Registration Statement. The Shares include an over-allotment option granted to the underwriters of the offering to purchase 750,000 Shares. The Shares are being sold to the several underwriters named in, and pursuant to, an underwriting agreement among the Company and such underwriters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ectPr>
          <w:pgSz w:w="11900" w:h="16838" w:orient="portrait"/>
          <w:cols w:equalWidth="0" w:num="1">
            <w:col w:w="11020"/>
          </w:cols>
          <w:pgMar w:left="440" w:top="117"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AVROBIO,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 GOODWIN PROCTER </w:t>
      </w:r>
      <w:r>
        <w:rPr>
          <w:rFonts w:ascii="Times New Roman" w:cs="Times New Roman" w:eastAsia="Times New Roman" w:hAnsi="Times New Roman"/>
          <w:sz w:val="15"/>
          <w:szCs w:val="15"/>
          <w:color w:val="auto"/>
        </w:rPr>
        <w:t>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5"/>
          <w:szCs w:val="15"/>
          <w:color w:val="auto"/>
        </w:rPr>
        <w:t>LLP</w:t>
      </w:r>
    </w:p>
    <w:p>
      <w:pPr>
        <w:sectPr>
          <w:pgSz w:w="11900" w:h="16838" w:orient="portrait"/>
          <w:cols w:equalWidth="0" w:num="1">
            <w:col w:w="10880"/>
          </w:cols>
          <w:pgMar w:left="440" w:top="270" w:right="5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Announces Proposed Public Offering of Common Stock</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CAMBRIDGE, Mass., Nov. 19, 2020 – AVROBIO, Inc. (NASDAQ: AVRO), a leading clinical-stage gene therapy company, today announced that it intends to offer and sell, subject to market and other conditions, $75 million of its common stock in an underwritten public offering.</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expects to grant the underwriters a 30-day option to purchase up to $11.25 million of additional shares of its common stock (15 percent) offered in the public offering. All of the shares in the proposed offering are to be sold by the company. The offering is subject to market and other conditions, and there can be no assurance as to whether or when the offering may be completed, or as to the actual size or terms of the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Cowen, Wells Fargo Securities and Barclays are acting as joint book-running managers for the offering.</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AVROBIO intends to use the net proceeds from the offering, in addition to its existing cash resources, to fund its current programs in Fabry disease, cystinosis, Gaucher disease type 1, Hunter syndrome, Pompe disease and Gaucher disease type 3, fund external and internal manufacturing and process development activities and fund research and development activities that relate to its current and future clinical and preclinical activities, including the cost of research and development personnel. The company intends to use the remainder for planned general and administrative expenses, working capital and other general corporate purposes.</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securities described may be offered pursuant to a shelf registration statement on Form S-3 (File No. 333-235641), including a base prospectus. The securities may be offered only by means of a prospectus. A preliminary prospectus supplement related to the offering and a final prospectus supplement related to the offering will be filed with the U.S. Securities and Exchange Commission (SEC) and will be available on the SEC’s website at www.sec.gov. Copies of the preliminary prospectus supplement and the accompanying prospectus relating to the securities being offered may also be obtained by contacting: Morgan Stanley &amp; Co. LLC, Attention: Prospectus Department, 180 Varick Street, 2nd Floor, New York, NY 10014, or Cowen and Company, LLC c/o Broadridge Financial Solutions, 1155 Long Island Avenue, Edgewood, NY, 11717, Attn: Prospectus Department, by email at PostSaleManualRequests@broadridge.com or by telephone at (833) 297-2926.</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AVROBIO</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AVROBIO, Inc. is a leading clinical-stage gene therapy company. Our clinical-stage programs include Fabry disease, Gaucher disease type 1 and cystinosis and we also are advancing preclinical programs in Hunter syndrome, Pompe disease and Gaucher disease type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completion, timing and anticipated size of the proposed offering and the anticipated use of proceeds therefrom.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2019 and our subsequent periodic reports on Form 10-Q, as well as discussions of potential risks, uncertainties, and other important factors in our other filings with the SEC, including those contained or incorporated by reference in the preliminary prospectus supplement related to the proposed public offering to be filed with the SEC. AVROBIO explicitly disclaims any obligation to update any forward-looking statements except to the extent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617-581-9333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stephanie@tenbridgecommunications.com</w:t>
      </w:r>
    </w:p>
    <w:p>
      <w:pPr>
        <w:sectPr>
          <w:pgSz w:w="11900" w:h="16838" w:orient="portrait"/>
          <w:cols w:equalWidth="0" w:num="1">
            <w:col w:w="10960"/>
          </w:cols>
          <w:pgMar w:left="440" w:top="266" w:right="4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Announces Pricing of Underwritten Public Offering of $75 Million of Common Stock</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CAMBRIDGE, Mass., Nov. 19, 2020 – AVROBIO, Inc. (NASDAQ: AVRO), a leading clinical-stage gene therapy company, today announced the pricing of an underwritten public offering of 5,000,000 shares of its common stock at a public offering price of $15.00 per share. Gross proceeds from the underwritten public offering will total approximately $75 million, before deducting underwriting discounts and commissions and other offering expenses payable by the company. In addition, the company has granted the underwriters a 30-day option to purchase up to 750,000 additional shares of its common stock at the public offering price, less underwriting discounts and commissions. All of the shares in the offering are to be sold by the company. The offering is expected to close on or about Nov. 24, 2020, subject to customary closing conditions.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Morgan Stanley, Cowen, Wells Fargo Securities and Barclays are acting as joint book-running managers for the offering, and Wedbush PacGrow is acting as co-manager.</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AVROBIO intends to use the net proceeds from the offering, in addition to its existing cash resources, to fund its current programs in Fabry disease, cystinosis, Gaucher disease type 1, Hunter syndrome, Pompe disease and Gaucher disease type 3, fund external and internal manufacturing and process development activities and fund research and development activities that relate to its current and future clinical and preclinical activities, including the cost of research and development personnel. The company intends to use the remainder for planned general and administrative expenses, working capital and other general corporate purposes.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securities described were offered pursuant to a shelf registration statement on Form S-3 (File No. 333-235641), including a base prospectus. The securities were offered only by means of a prospectus. A preliminary prospectus supplement related to the offering was filed with the Securities and Exchange Commission (SEC) on Nov. 19, 2020, and is available on the SEC’s website at www.sec.gov. A final prospectus supplement will be filed with the SEC. Copies of the final prospectus supplement and the accompanying prospectus relating to the securities being offered may also be obtained by contacting: Morgan Stanley &amp; Co. LLC, Attention: Prospectus Department, 180 Varick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New York, NY 10014, or Cowen and Company, LLC c/o Broadridge Financial Solutions, 1155 Long Island Avenue, Edgewood, NY, 11717, Attn: Prospectus Department, by email at PostSaleManualRequests@broadridge.com or by telephone at (833) 297-2926.</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AVROBIO</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AVROBIO, Inc. is a leading clinical-stage gene therapy company. Our clinical-stage programs include Fabry disease, Gaucher disease type 1 and cystinosis and we also are advancing preclinical programs in Hunter syndrome, Pompe disease and Gaucher disease type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completion, timing and anticipated size of the offering and the anticipated use of proceeds therefrom.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2019 and our subsequent periodic reports on Form 10-Q, as well as discussions of potential risks, uncertainties, and other important factors in our other filings with the SEC, including those contained or incorporated by reference in the preliminary prospectus supplement related to the public offering filed with the SEC. AVROBIO explicitly disclaims any obligation to update any forward-looking statements except to the extent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617-581-9333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stephanie@tenbridgecommunications.com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04"/>
    </w:lvl>
  </w:abstractNum>
  <w:abstractNum w:abstractNumId="2">
    <w:nsid w:val="79838CB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
    <w:nsid w:val="4353D0CD"/>
    <w:multiLevelType w:val="hybridMultilevel"/>
    <w:lvl w:ilvl="0">
      <w:lvlJc w:val="left"/>
      <w:lvlText w:val="(%1)"/>
      <w:numFmt w:val="lowerLetter"/>
      <w:start w:val="3"/>
    </w:lvl>
  </w:abstractNum>
  <w:abstractNum w:abstractNumId="4">
    <w:nsid w:val="B03E0C6"/>
    <w:multiLevelType w:val="hybridMultilevel"/>
    <w:lvl w:ilvl="0">
      <w:lvlJc w:val="left"/>
      <w:lvlText w:val="(%1)"/>
      <w:numFmt w:val="lowerLetter"/>
      <w:start w:val="6"/>
    </w:lvl>
  </w:abstractNum>
  <w:abstractNum w:abstractNumId="5">
    <w:nsid w:val="189A769B"/>
    <w:multiLevelType w:val="hybridMultilevel"/>
    <w:lvl w:ilvl="0">
      <w:lvlJc w:val="left"/>
      <w:lvlText w:val="(%1)"/>
      <w:numFmt w:val="lowerLetter"/>
      <w:start w:val="11"/>
    </w:lvl>
  </w:abstractNum>
  <w:abstractNum w:abstractNumId="6">
    <w:nsid w:val="54E49EB4"/>
    <w:multiLevelType w:val="hybridMultilevel"/>
    <w:lvl w:ilvl="0">
      <w:lvlJc w:val="left"/>
      <w:lvlText w:val="(%1)"/>
      <w:numFmt w:val="lowerLetter"/>
      <w:start w:val="16"/>
    </w:lvl>
  </w:abstractNum>
  <w:abstractNum w:abstractNumId="7">
    <w:nsid w:val="71F32454"/>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8">
    <w:nsid w:val="2CA88611"/>
    <w:multiLevelType w:val="hybridMultilevel"/>
    <w:lvl w:ilvl="0">
      <w:lvlJc w:val="left"/>
      <w:lvlText w:val="(%1)"/>
      <w:numFmt w:val="lowerLetter"/>
      <w:start w:val="22"/>
    </w:lvl>
  </w:abstractNum>
  <w:abstractNum w:abstractNumId="9">
    <w:nsid w:val="836C40E"/>
    <w:multiLevelType w:val="hybridMultilevel"/>
    <w:lvl w:ilvl="0">
      <w:lvlJc w:val="left"/>
      <w:lvlText w:val="(%1)"/>
      <w:numFmt w:val="lowerLetter"/>
      <w:start w:val="22"/>
    </w:lvl>
    <w:lvl w:ilvl="1">
      <w:lvlJc w:val="left"/>
      <w:lvlText w:val="(%2)"/>
      <w:numFmt w:val="lowerLetter"/>
      <w:start w:val="24"/>
    </w:lvl>
  </w:abstractNum>
  <w:abstractNum w:abstractNumId="10">
    <w:nsid w:val="2901D82"/>
    <w:multiLevelType w:val="hybridMultilevel"/>
    <w:lvl w:ilvl="0">
      <w:lvlJc w:val="left"/>
      <w:lvlText w:val="(%1)"/>
      <w:numFmt w:val="lowerLetter"/>
      <w:start w:val="26"/>
    </w:lvl>
  </w:abstractNum>
  <w:abstractNum w:abstractNumId="11">
    <w:nsid w:val="3A95F874"/>
    <w:multiLevelType w:val="hybridMultilevel"/>
    <w:lvl w:ilvl="0">
      <w:lvlJc w:val="left"/>
      <w:lvlText w:val="(%1)"/>
      <w:numFmt w:val="lowerLetter"/>
      <w:start w:val="27"/>
    </w:lvl>
  </w:abstractNum>
  <w:abstractNum w:abstractNumId="12">
    <w:nsid w:val="8138641"/>
    <w:multiLevelType w:val="hybridMultilevel"/>
    <w:lvl w:ilvl="0">
      <w:lvlJc w:val="left"/>
      <w:lvlText w:val="(%1)"/>
      <w:numFmt w:val="lowerLetter"/>
      <w:start w:val="28"/>
    </w:lvl>
  </w:abstractNum>
  <w:abstractNum w:abstractNumId="13">
    <w:nsid w:val="1E7FF521"/>
    <w:multiLevelType w:val="hybridMultilevel"/>
    <w:lvl w:ilvl="0">
      <w:lvlJc w:val="left"/>
      <w:lvlText w:val="(%1)"/>
      <w:numFmt w:val="lowerLetter"/>
      <w:start w:val="33"/>
    </w:lvl>
  </w:abstractNum>
  <w:abstractNum w:abstractNumId="14">
    <w:nsid w:val="7C3DBD3D"/>
    <w:multiLevelType w:val="hybridMultilevel"/>
    <w:lvl w:ilvl="0">
      <w:lvlJc w:val="left"/>
      <w:lvlText w:val="%1"/>
      <w:numFmt w:val="lowerLetter"/>
      <w:start w:val="1"/>
    </w:lvl>
    <w:lvl w:ilvl="1">
      <w:lvlJc w:val="left"/>
      <w:lvlText w:val="(%2)"/>
      <w:numFmt w:val="lowerLetter"/>
      <w:start w:val="37"/>
    </w:lvl>
  </w:abstractNum>
  <w:abstractNum w:abstractNumId="15">
    <w:nsid w:val="737B8DDC"/>
    <w:multiLevelType w:val="hybridMultilevel"/>
    <w:lvl w:ilvl="0">
      <w:lvlJc w:val="left"/>
      <w:lvlText w:val="(%1)"/>
      <w:numFmt w:val="lowerLetter"/>
      <w:start w:val="9"/>
    </w:lvl>
    <w:lvl w:ilvl="1">
      <w:lvlJc w:val="left"/>
      <w:lvlText w:val="%2"/>
      <w:numFmt w:val="lowerLetter"/>
      <w:start w:val="1"/>
    </w:lvl>
  </w:abstractNum>
  <w:abstractNum w:abstractNumId="16">
    <w:nsid w:val="6CEAF087"/>
    <w:multiLevelType w:val="hybridMultilevel"/>
    <w:lvl w:ilvl="0">
      <w:lvlJc w:val="left"/>
      <w:lvlText w:val="(%1)"/>
      <w:numFmt w:val="lowerLetter"/>
      <w:start w:val="61"/>
    </w:lvl>
    <w:lvl w:ilvl="1">
      <w:lvlJc w:val="left"/>
      <w:lvlText w:val="(%2)"/>
      <w:numFmt w:val="lowerLetter"/>
      <w:start w:val="38"/>
    </w:lvl>
  </w:abstractNum>
  <w:abstractNum w:abstractNumId="17">
    <w:nsid w:val="22221A70"/>
    <w:multiLevelType w:val="hybridMultilevel"/>
    <w:lvl w:ilvl="0">
      <w:lvlJc w:val="left"/>
      <w:lvlText w:val="(%1)"/>
      <w:numFmt w:val="lowerLetter"/>
      <w:start w:val="39"/>
    </w:lvl>
  </w:abstractNum>
  <w:abstractNum w:abstractNumId="18">
    <w:nsid w:val="4516DDE9"/>
    <w:multiLevelType w:val="hybridMultilevel"/>
    <w:lvl w:ilvl="0">
      <w:lvlJc w:val="left"/>
      <w:lvlText w:val="%1"/>
      <w:numFmt w:val="decimal"/>
      <w:start w:val="1"/>
    </w:lvl>
    <w:lvl w:ilvl="1">
      <w:lvlJc w:val="left"/>
      <w:lvlText w:val="(%2)"/>
      <w:numFmt w:val="lowerLetter"/>
      <w:start w:val="45"/>
    </w:lvl>
  </w:abstractNum>
  <w:abstractNum w:abstractNumId="19">
    <w:nsid w:val="3006C83E"/>
    <w:multiLevelType w:val="hybridMultilevel"/>
    <w:lvl w:ilvl="0">
      <w:lvlJc w:val="left"/>
      <w:lvlText w:val="%1."/>
      <w:numFmt w:val="decimal"/>
      <w:start w:val="2"/>
    </w:lvl>
    <w:lvl w:ilvl="1">
      <w:lvlJc w:val="left"/>
      <w:lvlText w:val="%2"/>
      <w:numFmt w:val="lowerLetter"/>
      <w:start w:val="1"/>
    </w:lvl>
  </w:abstractNum>
  <w:abstractNum w:abstractNumId="20">
    <w:nsid w:val="614FD4A1"/>
    <w:multiLevelType w:val="hybridMultilevel"/>
    <w:lvl w:ilvl="0">
      <w:lvlJc w:val="left"/>
      <w:lvlText w:val="%1."/>
      <w:numFmt w:val="decimal"/>
      <w:start w:val="3"/>
    </w:lvl>
  </w:abstractNum>
  <w:abstractNum w:abstractNumId="21">
    <w:nsid w:val="419AC24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5577F8E1"/>
    <w:multiLevelType w:val="hybridMultilevel"/>
    <w:lvl w:ilvl="0">
      <w:lvlJc w:val="left"/>
      <w:lvlText w:val="(%1)"/>
      <w:numFmt w:val="lowerLetter"/>
      <w:start w:val="3"/>
    </w:lvl>
  </w:abstractNum>
  <w:abstractNum w:abstractNumId="23">
    <w:nsid w:val="440BADFC"/>
    <w:multiLevelType w:val="hybridMultilevel"/>
    <w:lvl w:ilvl="0">
      <w:lvlJc w:val="left"/>
      <w:lvlText w:val="(%1)"/>
      <w:numFmt w:val="lowerLetter"/>
      <w:start w:val="5"/>
    </w:lvl>
  </w:abstractNum>
  <w:abstractNum w:abstractNumId="24">
    <w:nsid w:val="5072367"/>
    <w:multiLevelType w:val="hybridMultilevel"/>
    <w:lvl w:ilvl="0">
      <w:lvlJc w:val="left"/>
      <w:lvlText w:val="(%1)"/>
      <w:numFmt w:val="lowerLetter"/>
      <w:start w:val="6"/>
    </w:lvl>
    <w:lvl w:ilvl="1">
      <w:lvlJc w:val="left"/>
      <w:lvlText w:val="(%2)"/>
      <w:numFmt w:val="lowerLetter"/>
      <w:start w:val="9"/>
    </w:lvl>
  </w:abstractNum>
  <w:abstractNum w:abstractNumId="25">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
    <w:nsid w:val="77465F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
    <w:nsid w:val="7724C67E"/>
    <w:multiLevelType w:val="hybridMultilevel"/>
    <w:lvl w:ilvl="0">
      <w:lvlJc w:val="left"/>
      <w:lvlText w:val="(%1)"/>
      <w:numFmt w:val="lowerLetter"/>
      <w:start w:val="2"/>
    </w:lvl>
  </w:abstractNum>
  <w:abstractNum w:abstractNumId="28">
    <w:nsid w:val="5C482A97"/>
    <w:multiLevelType w:val="hybridMultilevel"/>
    <w:lvl w:ilvl="0">
      <w:lvlJc w:val="left"/>
      <w:lvlText w:val="(%1)"/>
      <w:numFmt w:val="lowerLetter"/>
      <w:start w:val="7"/>
    </w:lvl>
  </w:abstractNum>
  <w:abstractNum w:abstractNumId="29">
    <w:nsid w:val="2463B9EA"/>
    <w:multiLevelType w:val="hybridMultilevel"/>
    <w:lvl w:ilvl="0">
      <w:lvlJc w:val="left"/>
      <w:lvlText w:val="(%1)"/>
      <w:numFmt w:val="lowerLetter"/>
      <w:start w:val="24"/>
    </w:lvl>
    <w:lvl w:ilvl="1">
      <w:lvlJc w:val="left"/>
      <w:lvlText w:val="(%2)"/>
      <w:numFmt w:val="lowerLetter"/>
      <w:start w:val="10"/>
    </w:lvl>
  </w:abstractNum>
  <w:abstractNum w:abstractNumId="30">
    <w:nsid w:val="5E884ADC"/>
    <w:multiLevelType w:val="hybridMultilevel"/>
    <w:lvl w:ilvl="0">
      <w:lvlJc w:val="left"/>
      <w:lvlText w:val="(%1)"/>
      <w:numFmt w:val="lowerLetter"/>
      <w:start w:val="12"/>
    </w:lvl>
  </w:abstractNum>
  <w:abstractNum w:abstractNumId="31">
    <w:nsid w:val="51EAD36B"/>
    <w:multiLevelType w:val="hybridMultilevel"/>
    <w:lvl w:ilvl="0">
      <w:lvlJc w:val="left"/>
      <w:lvlText w:val="(%1)"/>
      <w:numFmt w:val="lowerRoman"/>
      <w:start w:val="5"/>
    </w:lvl>
  </w:abstractNum>
  <w:abstractNum w:abstractNumId="32">
    <w:nsid w:val="2D517796"/>
    <w:multiLevelType w:val="hybridMultilevel"/>
    <w:lvl w:ilvl="0">
      <w:lvlJc w:val="left"/>
      <w:lvlText w:val="%1."/>
      <w:numFmt w:val="decimal"/>
      <w:start w:val="7"/>
    </w:lvl>
    <w:lvl w:ilvl="1">
      <w:lvlJc w:val="left"/>
      <w:lvlText w:val="(%2)"/>
      <w:numFmt w:val="lowerLetter"/>
      <w:start w:val="1"/>
    </w:lvl>
  </w:abstractNum>
  <w:abstractNum w:abstractNumId="33">
    <w:nsid w:val="580BD78F"/>
    <w:multiLevelType w:val="hybridMultilevel"/>
    <w:lvl w:ilvl="0">
      <w:lvlJc w:val="left"/>
      <w:lvlText w:val="(%1)"/>
      <w:numFmt w:val="lowerLetter"/>
      <w:start w:val="3"/>
    </w:lvl>
  </w:abstractNum>
  <w:abstractNum w:abstractNumId="34">
    <w:nsid w:val="153EA438"/>
    <w:multiLevelType w:val="hybridMultilevel"/>
    <w:lvl w:ilvl="0">
      <w:lvlJc w:val="left"/>
      <w:lvlText w:val="(%1)"/>
      <w:numFmt w:val="lowerLetter"/>
      <w:start w:val="4"/>
    </w:lvl>
  </w:abstractNum>
  <w:abstractNum w:abstractNumId="35">
    <w:nsid w:val="3855585C"/>
    <w:multiLevelType w:val="hybridMultilevel"/>
    <w:lvl w:ilvl="0">
      <w:lvlJc w:val="left"/>
      <w:lvlText w:val="%1"/>
      <w:numFmt w:val="lowerLetter"/>
      <w:start w:val="1"/>
    </w:lvl>
    <w:lvl w:ilvl="1">
      <w:lvlJc w:val="left"/>
      <w:lvlText w:val="(%2)"/>
      <w:numFmt w:val="lowerLetter"/>
      <w:start w:val="6"/>
    </w:lvl>
  </w:abstractNum>
  <w:abstractNum w:abstractNumId="36">
    <w:nsid w:val="70A64E2A"/>
    <w:multiLevelType w:val="hybridMultilevel"/>
    <w:lvl w:ilvl="0">
      <w:lvlJc w:val="left"/>
      <w:lvlText w:val="(%1)"/>
      <w:numFmt w:val="lowerLetter"/>
      <w:start w:val="35"/>
    </w:lvl>
    <w:lvl w:ilvl="1">
      <w:lvlJc w:val="left"/>
      <w:lvlText w:val="%2"/>
      <w:numFmt w:val="lowerLetter"/>
      <w:start w:val="1"/>
    </w:lvl>
  </w:abstractNum>
  <w:abstractNum w:abstractNumId="37">
    <w:nsid w:val="6A2342EC"/>
    <w:multiLevelType w:val="hybridMultilevel"/>
    <w:lvl w:ilvl="0">
      <w:lvlJc w:val="left"/>
      <w:lvlText w:val="%1."/>
      <w:numFmt w:val="decimal"/>
      <w:start w:val="9"/>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1."/>
      <w:numFmt w:val="decimal"/>
      <w:start w:val="12"/>
    </w:lvl>
    <w:lvl w:ilvl="1">
      <w:lvlJc w:val="left"/>
      <w:lvlText w:val="(%2)"/>
      <w:numFmt w:val="lowerLetter"/>
      <w:start w:val="1"/>
    </w:lvl>
  </w:abstractNum>
  <w:abstractNum w:abstractNumId="40">
    <w:nsid w:val="725A06FB"/>
    <w:multiLevelType w:val="hybridMultilevel"/>
    <w:lvl w:ilvl="0">
      <w:lvlJc w:val="left"/>
      <w:lvlText w:val="%1"/>
      <w:numFmt w:val="decimal"/>
      <w:start w:val="1"/>
    </w:lvl>
    <w:lvl w:ilvl="1">
      <w:lvlJc w:val="left"/>
      <w:lvlText w:val="(%2)"/>
      <w:numFmt w:val="lowerLetter"/>
      <w:start w:val="2"/>
    </w:lvl>
  </w:abstractNum>
  <w:abstractNum w:abstractNumId="41">
    <w:nsid w:val="2CD89A32"/>
    <w:multiLevelType w:val="hybridMultilevel"/>
    <w:lvl w:ilvl="0">
      <w:lvlJc w:val="left"/>
      <w:lvlText w:val="%1."/>
      <w:numFmt w:val="decimal"/>
      <w:start w:val="13"/>
    </w:lvl>
    <w:lvl w:ilvl="1">
      <w:lvlJc w:val="left"/>
      <w:lvlText w:val="(%2)"/>
      <w:numFmt w:val="lowerLetter"/>
      <w:start w:val="2"/>
    </w:lvl>
  </w:abstractNum>
  <w:abstractNum w:abstractNumId="42">
    <w:nsid w:val="57E4CCAF"/>
    <w:multiLevelType w:val="hybridMultilevel"/>
    <w:lvl w:ilvl="0">
      <w:lvlJc w:val="left"/>
      <w:lvlText w:val="%1."/>
      <w:numFmt w:val="decimal"/>
      <w:start w:val="14"/>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Letter"/>
      <w:start w:val="2"/>
    </w:lvl>
  </w:abstractNum>
  <w:abstractNum w:abstractNumId="46">
    <w:nsid w:val="6DE91B18"/>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2020-11-20T15:10:51Z</dcterms:created>
  <dcterms:modified xsi:type="dcterms:W3CDTF">2020-11-20T15:10:51Z</dcterms:modified>
</cp:coreProperties>
</file>