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6"/>
        </w:rPr>
      </w:pPr>
      <w:bookmarkStart w:id="0" w:name="d770053ds4a.htm"/>
      <w:bookmarkStart w:id="1" w:name="ksd770053ds4a"/>
      <w:bookmarkEnd w:id="0"/>
      <w:bookmarkEnd w:id="1"/>
      <w:r>
        <w:rPr>
          <w:rFonts w:ascii="Times New Roman" w:hAnsi="Times New Roman"/>
          <w:b/>
          <w:sz w:val="16"/>
        </w:rPr>
        <w:t xml:space="preserve">As filed with the Securities and Exchange Commission on April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29</w:t>
      </w:r>
    </w:p>
    <w:p>
      <w:pPr>
        <w:pStyle w:val="TextBody"/>
        <w:bidi w:val="0"/>
        <w:spacing w:before="0" w:after="0"/>
        <w:jc w:val="center"/>
        <w:rPr>
          <w:rFonts w:ascii="Times New Roman" w:hAnsi="Times New Roman"/>
          <w:b/>
          <w:sz w:val="16"/>
        </w:rPr>
      </w:pPr>
      <w:r>
        <w:rPr>
          <w:rFonts w:ascii="Times New Roman" w:hAnsi="Times New Roman"/>
          <w:b/>
          <w:sz w:val="16"/>
        </w:rPr>
        <w:t xml:space="preserve">, 2024 </w:t>
      </w:r>
    </w:p>
    <w:p>
      <w:pPr>
        <w:pStyle w:val="TextBody"/>
        <w:bidi w:val="0"/>
        <w:spacing w:before="0" w:after="0"/>
        <w:jc w:val="right"/>
        <w:rPr>
          <w:rFonts w:ascii="Times New Roman" w:hAnsi="Times New Roman"/>
          <w:b/>
          <w:spacing w:val="0"/>
          <w:sz w:val="16"/>
        </w:rPr>
      </w:pPr>
      <w:r>
        <w:rPr>
          <w:rFonts w:ascii="Times New Roman" w:hAnsi="Times New Roman"/>
          <w:b/>
          <w:spacing w:val="0"/>
          <w:sz w:val="16"/>
        </w:rPr>
        <w:t xml:space="preserve">Registration No. 333-277048 </w:t>
      </w:r>
    </w:p>
    <w:p>
      <w:pPr>
        <w:pStyle w:val="TextBody"/>
        <w:bidi w:val="0"/>
        <w:spacing w:before="0" w:after="0"/>
        <w:jc w:val="left"/>
        <w:rPr>
          <w:spacing w:val="0"/>
        </w:rPr>
      </w:pPr>
      <w:r>
        <w:rPr>
          <w:spacing w:val="0"/>
        </w:rPr>
        <w:t> </w:t>
      </w:r>
    </w:p>
    <w:p>
      <w:pPr>
        <w:pStyle w:val="TextBody"/>
        <w:bidi w:val="0"/>
        <w:spacing w:lineRule="atLeast" w:line="142" w:before="0" w:after="0"/>
        <w:jc w:val="left"/>
        <w:rPr>
          <w:spacing w:val="0"/>
        </w:rPr>
      </w:pPr>
      <w:r>
        <w:rPr>
          <w:spacing w:val="0"/>
        </w:rPr>
        <w:t> </w:t>
      </w:r>
    </w:p>
    <w:p>
      <w:pPr>
        <w:pStyle w:val="TextBody"/>
        <w:bidi w:val="0"/>
        <w:spacing w:lineRule="atLeast" w:line="142" w:before="0" w:after="40"/>
        <w:jc w:val="left"/>
        <w:rPr>
          <w:spacing w:val="0"/>
        </w:rPr>
      </w:pPr>
      <w:r>
        <w:rPr>
          <w:spacing w:val="0"/>
        </w:rPr>
        <w:t> </w:t>
      </w:r>
    </w:p>
    <w:p>
      <w:pPr>
        <w:pStyle w:val="TextBody"/>
        <w:bidi w:val="0"/>
        <w:spacing w:before="80" w:after="0"/>
        <w:jc w:val="center"/>
        <w:rPr>
          <w:rFonts w:ascii="Times New Roman" w:hAnsi="Times New Roman"/>
          <w:b/>
          <w:spacing w:val="0"/>
          <w:sz w:val="28"/>
        </w:rPr>
      </w:pPr>
      <w:r>
        <w:rPr>
          <w:rFonts w:ascii="Times New Roman" w:hAnsi="Times New Roman"/>
          <w:b/>
          <w:spacing w:val="0"/>
          <w:sz w:val="28"/>
        </w:rPr>
        <w:t xml:space="preserve">UNITED </w:t>
      </w:r>
    </w:p>
    <w:p>
      <w:pPr>
        <w:pStyle w:val="TextBody"/>
        <w:bidi w:val="0"/>
        <w:spacing w:before="80" w:after="0"/>
        <w:jc w:val="center"/>
        <w:rPr>
          <w:rFonts w:ascii="Times New Roman" w:hAnsi="Times New Roman"/>
          <w:b/>
          <w:spacing w:val="0"/>
          <w:sz w:val="28"/>
        </w:rPr>
      </w:pPr>
      <w:r>
        <w:rPr>
          <w:rFonts w:ascii="Times New Roman" w:hAnsi="Times New Roman"/>
          <w:b/>
          <w:spacing w:val="0"/>
          <w:sz w:val="28"/>
        </w:rPr>
        <w:t>S</w:t>
      </w:r>
    </w:p>
    <w:p>
      <w:pPr>
        <w:pStyle w:val="TextBody"/>
        <w:bidi w:val="0"/>
        <w:spacing w:before="80" w:after="0"/>
        <w:jc w:val="center"/>
        <w:rPr>
          <w:rFonts w:ascii="Times New Roman" w:hAnsi="Times New Roman"/>
          <w:b/>
          <w:spacing w:val="0"/>
          <w:sz w:val="28"/>
        </w:rPr>
      </w:pPr>
      <w:r>
        <w:rPr>
          <w:rFonts w:ascii="Times New Roman" w:hAnsi="Times New Roman"/>
          <w:b/>
          <w:spacing w:val="0"/>
          <w:sz w:val="28"/>
        </w:rPr>
        <w:t xml:space="preserve">TATES </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SECURITIES AND EXCHANGE COM</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M</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 xml:space="preserve">ISSION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Washington, D.C. 20549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80" w:after="0"/>
        <w:ind w:left="0" w:right="0" w:hanging="0"/>
        <w:jc w:val="center"/>
        <w:rPr>
          <w:rFonts w:ascii="Times New Roman" w:hAnsi="Times New Roman"/>
          <w:b/>
          <w:spacing w:val="0"/>
          <w:sz w:val="28"/>
        </w:rPr>
      </w:pPr>
      <w:r>
        <w:rPr>
          <w:rFonts w:ascii="Times New Roman" w:hAnsi="Times New Roman"/>
          <w:b/>
          <w:spacing w:val="0"/>
          <w:sz w:val="28"/>
        </w:rPr>
        <w:t>AMENDMENT NO. </w:t>
      </w:r>
    </w:p>
    <w:p>
      <w:pPr>
        <w:pStyle w:val="TextBody"/>
        <w:bidi w:val="0"/>
        <w:spacing w:before="80" w:after="0"/>
        <w:jc w:val="center"/>
        <w:rPr>
          <w:rFonts w:ascii="Times New Roman" w:hAnsi="Times New Roman"/>
          <w:b/>
          <w:spacing w:val="0"/>
          <w:sz w:val="28"/>
        </w:rPr>
      </w:pPr>
      <w:r>
        <w:rPr>
          <w:rFonts w:ascii="Times New Roman" w:hAnsi="Times New Roman"/>
          <w:b/>
          <w:spacing w:val="0"/>
          <w:sz w:val="28"/>
        </w:rPr>
        <w:t>3</w:t>
      </w:r>
    </w:p>
    <w:p>
      <w:pPr>
        <w:pStyle w:val="TextBody"/>
        <w:bidi w:val="0"/>
        <w:spacing w:before="0" w:after="0"/>
        <w:ind w:left="0" w:right="0" w:hanging="0"/>
        <w:jc w:val="center"/>
        <w:rPr>
          <w:rFonts w:ascii="Times New Roman" w:hAnsi="Times New Roman"/>
          <w:b/>
          <w:spacing w:val="0"/>
          <w:sz w:val="28"/>
        </w:rPr>
      </w:pPr>
      <w:r>
        <w:rPr>
          <w:rFonts w:ascii="Times New Roman" w:hAnsi="Times New Roman"/>
          <w:b/>
          <w:spacing w:val="0"/>
          <w:sz w:val="28"/>
        </w:rPr>
        <w:t xml:space="preserve">to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 xml:space="preserve">FORM </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S-4</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 xml:space="preserve">REGISTRATION STATEMENT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UNDER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SECURITIES ACT OF 1933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80" w:after="0"/>
        <w:jc w:val="center"/>
        <w:rPr>
          <w:rFonts w:ascii="Times New Roman" w:hAnsi="Times New Roman"/>
          <w:b/>
          <w:spacing w:val="0"/>
          <w:sz w:val="36"/>
        </w:rPr>
      </w:pPr>
      <w:r>
        <w:rPr>
          <w:rFonts w:ascii="Times New Roman" w:hAnsi="Times New Roman"/>
          <w:b/>
          <w:spacing w:val="0"/>
          <w:sz w:val="36"/>
        </w:rPr>
        <w:t xml:space="preserve">AVROBIO, INC.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(Exact name of registrant as specified in its charter)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240"/>
        <w:gridCol w:w="60"/>
        <w:gridCol w:w="4162"/>
        <w:gridCol w:w="60"/>
        <w:gridCol w:w="1683"/>
      </w:tblGrid>
      <w:tr>
        <w:trPr/>
        <w:tc>
          <w:tcPr>
            <w:tcW w:w="4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424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4162" w:type="dxa"/>
            <w:tcBorders/>
            <w:vAlign w:val="center"/>
          </w:tcPr>
          <w:p>
            <w:pPr>
              <w:pStyle w:val="TableContents"/>
              <w:bidi w:val="0"/>
              <w:spacing w:before="0" w:after="0"/>
              <w:jc w:val="center"/>
              <w:rPr>
                <w:b/>
                <w:spacing w:val="0"/>
              </w:rPr>
            </w:pPr>
            <w:r>
              <w:rPr>
                <w:b/>
                <w:spacing w:val="0"/>
              </w:rPr>
              <w:t>2836</w:t>
            </w:r>
          </w:p>
        </w:tc>
        <w:tc>
          <w:tcPr>
            <w:tcW w:w="60"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0"/>
              <w:jc w:val="center"/>
              <w:rPr>
                <w:b/>
                <w:spacing w:val="0"/>
              </w:rPr>
            </w:pPr>
            <w:r>
              <w:rPr>
                <w:b/>
                <w:spacing w:val="0"/>
              </w:rPr>
              <w:t>81-0710585</w:t>
            </w:r>
          </w:p>
        </w:tc>
      </w:tr>
      <w:tr>
        <w:trPr/>
        <w:tc>
          <w:tcPr>
            <w:tcW w:w="4240" w:type="dxa"/>
            <w:tcBorders/>
            <w:vAlign w:val="center"/>
          </w:tcPr>
          <w:p>
            <w:pPr>
              <w:pStyle w:val="TableContents"/>
              <w:bidi w:val="0"/>
              <w:spacing w:before="0" w:after="0"/>
              <w:jc w:val="center"/>
              <w:rPr>
                <w:b/>
                <w:spacing w:val="0"/>
              </w:rPr>
            </w:pPr>
            <w:r>
              <w:rPr>
                <w:b/>
                <w:spacing w:val="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4162" w:type="dxa"/>
            <w:tcBorders/>
            <w:vAlign w:val="center"/>
          </w:tcPr>
          <w:p>
            <w:pPr>
              <w:pStyle w:val="TableContents"/>
              <w:bidi w:val="0"/>
              <w:spacing w:before="0" w:after="0"/>
              <w:jc w:val="center"/>
              <w:rPr>
                <w:b/>
                <w:spacing w:val="0"/>
              </w:rPr>
            </w:pPr>
            <w:r>
              <w:rPr>
                <w:b/>
                <w:spacing w:val="0"/>
              </w:rPr>
              <w:t>(Primary Standard Industrial Classification Code Number)</w:t>
            </w:r>
          </w:p>
        </w:tc>
        <w:tc>
          <w:tcPr>
            <w:tcW w:w="60"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0"/>
              <w:jc w:val="center"/>
              <w:rPr>
                <w:b/>
                <w:spacing w:val="0"/>
              </w:rPr>
            </w:pPr>
            <w:r>
              <w:rPr>
                <w:b/>
                <w:spacing w:val="0"/>
              </w:rPr>
              <w:t>(I.R.S. Employer</w:t>
              <w:br/>
              <w:t>Identification No.)</w:t>
            </w:r>
          </w:p>
        </w:tc>
      </w:tr>
    </w:tbl>
    <w:p>
      <w:pPr>
        <w:pStyle w:val="TextBody"/>
        <w:bidi w:val="0"/>
        <w:spacing w:before="80" w:after="0"/>
        <w:jc w:val="center"/>
        <w:rPr>
          <w:rFonts w:ascii="Times New Roman" w:hAnsi="Times New Roman"/>
          <w:b/>
          <w:sz w:val="16"/>
        </w:rPr>
      </w:pPr>
      <w:r>
        <w:rPr>
          <w:rFonts w:ascii="Times New Roman" w:hAnsi="Times New Roman"/>
          <w:b/>
          <w:sz w:val="16"/>
        </w:rPr>
        <w:t>One Broadway</w:t>
      </w:r>
    </w:p>
    <w:p>
      <w:pPr>
        <w:pStyle w:val="TextBody"/>
        <w:bidi w:val="0"/>
        <w:spacing w:before="0" w:after="0"/>
        <w:jc w:val="center"/>
        <w:rPr>
          <w:rFonts w:ascii="Times New Roman" w:hAnsi="Times New Roman"/>
          <w:b/>
          <w:sz w:val="16"/>
        </w:rPr>
      </w:pPr>
      <w:r>
        <w:rPr>
          <w:rFonts w:ascii="Times New Roman" w:hAnsi="Times New Roman"/>
          <w:b/>
          <w:sz w:val="16"/>
        </w:rPr>
        <w:t>14</w:t>
      </w:r>
    </w:p>
    <w:p>
      <w:pPr>
        <w:pStyle w:val="TextBody"/>
        <w:bidi w:val="0"/>
        <w:spacing w:before="0" w:after="0"/>
        <w:jc w:val="center"/>
        <w:rPr>
          <w:rFonts w:ascii="Times New Roman" w:hAnsi="Times New Roman"/>
          <w:b/>
          <w:sz w:val="9"/>
        </w:rPr>
      </w:pPr>
      <w:r>
        <w:rPr>
          <w:rFonts w:ascii="Times New Roman" w:hAnsi="Times New Roman"/>
          <w:b/>
          <w:sz w:val="9"/>
        </w:rPr>
        <w:t>th</w:t>
      </w:r>
    </w:p>
    <w:p>
      <w:pPr>
        <w:pStyle w:val="TextBody"/>
        <w:bidi w:val="0"/>
        <w:spacing w:before="0" w:after="0"/>
        <w:jc w:val="center"/>
        <w:rPr>
          <w:rFonts w:ascii="Times New Roman" w:hAnsi="Times New Roman"/>
          <w:b/>
          <w:sz w:val="16"/>
        </w:rPr>
      </w:pPr>
      <w:r>
        <w:rPr>
          <w:rFonts w:ascii="Times New Roman" w:hAnsi="Times New Roman"/>
          <w:b/>
          <w:sz w:val="16"/>
        </w:rPr>
        <w:t>Floor</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MA</w:t>
      </w:r>
    </w:p>
    <w:p>
      <w:pPr>
        <w:pStyle w:val="TextBody"/>
        <w:bidi w:val="0"/>
        <w:spacing w:before="0" w:after="0"/>
        <w:jc w:val="center"/>
        <w:rPr>
          <w:spacing w:val="0"/>
        </w:rPr>
      </w:pPr>
      <w:r>
        <w:rPr>
          <w:spacing w:val="0"/>
        </w:rPr>
        <w:t>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02142</w:t>
      </w:r>
    </w:p>
    <w:p>
      <w:pPr>
        <w:pStyle w:val="TextBody"/>
        <w:bidi w:val="0"/>
        <w:spacing w:before="0" w:after="0"/>
        <w:jc w:val="center"/>
        <w:rPr>
          <w:rFonts w:ascii="Times New Roman" w:hAnsi="Times New Roman"/>
          <w:b/>
          <w:sz w:val="16"/>
        </w:rPr>
      </w:pPr>
      <w:r>
        <w:rPr>
          <w:rFonts w:ascii="Times New Roman" w:hAnsi="Times New Roman"/>
          <w:b/>
          <w:sz w:val="16"/>
        </w:rPr>
        <w:t xml:space="preserve">(617)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914-8420</w:t>
      </w:r>
    </w:p>
    <w:p>
      <w:pPr>
        <w:pStyle w:val="TextBody"/>
        <w:bidi w:val="0"/>
        <w:spacing w:before="0" w:after="0"/>
        <w:jc w:val="center"/>
        <w:rPr>
          <w:rFonts w:ascii="Times New Roman" w:hAnsi="Times New Roman"/>
          <w:b/>
          <w:spacing w:val="0"/>
          <w:sz w:val="14"/>
        </w:rPr>
      </w:pPr>
      <w:r>
        <w:rPr>
          <w:rFonts w:ascii="Times New Roman" w:hAnsi="Times New Roman"/>
          <w:b/>
          <w:spacing w:val="0"/>
          <w:sz w:val="14"/>
        </w:rPr>
        <w:t xml:space="preserve">(Address, including zip code, and telephone number, including area code, of registrant’s principal executive offices)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80" w:after="0"/>
        <w:jc w:val="center"/>
        <w:rPr>
          <w:rFonts w:ascii="Times New Roman" w:hAnsi="Times New Roman"/>
          <w:b/>
          <w:spacing w:val="0"/>
          <w:sz w:val="16"/>
        </w:rPr>
      </w:pPr>
      <w:r>
        <w:rPr>
          <w:rFonts w:ascii="Times New Roman" w:hAnsi="Times New Roman"/>
          <w:b/>
          <w:spacing w:val="0"/>
          <w:sz w:val="16"/>
        </w:rPr>
        <w:t xml:space="preserve">Erik Ostrowski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President, Interim Chief Executive Officer, Chief Financial Officer and Treasurer </w:t>
      </w:r>
    </w:p>
    <w:p>
      <w:pPr>
        <w:pStyle w:val="TextBody"/>
        <w:bidi w:val="0"/>
        <w:spacing w:before="0" w:after="0"/>
        <w:jc w:val="center"/>
        <w:rPr>
          <w:rFonts w:ascii="Times New Roman" w:hAnsi="Times New Roman"/>
          <w:b/>
          <w:sz w:val="16"/>
        </w:rPr>
      </w:pPr>
      <w:r>
        <w:rPr>
          <w:rFonts w:ascii="Times New Roman" w:hAnsi="Times New Roman"/>
          <w:b/>
          <w:sz w:val="16"/>
        </w:rPr>
        <w:t>One Broadway</w:t>
      </w:r>
    </w:p>
    <w:p>
      <w:pPr>
        <w:pStyle w:val="TextBody"/>
        <w:bidi w:val="0"/>
        <w:spacing w:before="0" w:after="0"/>
        <w:jc w:val="center"/>
        <w:rPr>
          <w:rFonts w:ascii="Times New Roman" w:hAnsi="Times New Roman"/>
          <w:b/>
          <w:sz w:val="16"/>
        </w:rPr>
      </w:pPr>
      <w:r>
        <w:rPr>
          <w:rFonts w:ascii="Times New Roman" w:hAnsi="Times New Roman"/>
          <w:b/>
          <w:sz w:val="16"/>
        </w:rPr>
        <w:t>14</w:t>
      </w:r>
    </w:p>
    <w:p>
      <w:pPr>
        <w:pStyle w:val="TextBody"/>
        <w:bidi w:val="0"/>
        <w:spacing w:before="0" w:after="0"/>
        <w:jc w:val="center"/>
        <w:rPr>
          <w:rFonts w:ascii="Times New Roman" w:hAnsi="Times New Roman"/>
          <w:b/>
          <w:sz w:val="9"/>
        </w:rPr>
      </w:pPr>
      <w:r>
        <w:rPr>
          <w:rFonts w:ascii="Times New Roman" w:hAnsi="Times New Roman"/>
          <w:b/>
          <w:sz w:val="9"/>
        </w:rPr>
        <w:t>th</w:t>
      </w:r>
    </w:p>
    <w:p>
      <w:pPr>
        <w:pStyle w:val="TextBody"/>
        <w:bidi w:val="0"/>
        <w:spacing w:before="0" w:after="0"/>
        <w:jc w:val="center"/>
        <w:rPr>
          <w:rFonts w:ascii="Times New Roman" w:hAnsi="Times New Roman"/>
          <w:b/>
          <w:sz w:val="16"/>
        </w:rPr>
      </w:pPr>
      <w:r>
        <w:rPr>
          <w:rFonts w:ascii="Times New Roman" w:hAnsi="Times New Roman"/>
          <w:b/>
          <w:sz w:val="16"/>
        </w:rPr>
        <w:t>Floor</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MA</w:t>
      </w:r>
    </w:p>
    <w:p>
      <w:pPr>
        <w:pStyle w:val="TextBody"/>
        <w:bidi w:val="0"/>
        <w:spacing w:before="0" w:after="0"/>
        <w:jc w:val="center"/>
        <w:rPr>
          <w:spacing w:val="0"/>
        </w:rPr>
      </w:pPr>
      <w:r>
        <w:rPr>
          <w:spacing w:val="0"/>
        </w:rPr>
        <w:t>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02142</w:t>
      </w:r>
    </w:p>
    <w:p>
      <w:pPr>
        <w:pStyle w:val="TextBody"/>
        <w:bidi w:val="0"/>
        <w:spacing w:before="0" w:after="0"/>
        <w:jc w:val="center"/>
        <w:rPr>
          <w:rFonts w:ascii="Times New Roman" w:hAnsi="Times New Roman"/>
          <w:b/>
          <w:sz w:val="16"/>
        </w:rPr>
      </w:pPr>
      <w:r>
        <w:rPr>
          <w:rFonts w:ascii="Times New Roman" w:hAnsi="Times New Roman"/>
          <w:b/>
          <w:sz w:val="16"/>
        </w:rPr>
        <w:t xml:space="preserve">(617)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914-8420</w:t>
      </w:r>
    </w:p>
    <w:p>
      <w:pPr>
        <w:pStyle w:val="TextBody"/>
        <w:bidi w:val="0"/>
        <w:spacing w:before="0" w:after="0"/>
        <w:jc w:val="center"/>
        <w:rPr>
          <w:rFonts w:ascii="Times New Roman" w:hAnsi="Times New Roman"/>
          <w:b/>
          <w:spacing w:val="0"/>
          <w:sz w:val="14"/>
        </w:rPr>
      </w:pPr>
      <w:r>
        <w:rPr>
          <w:rFonts w:ascii="Times New Roman" w:hAnsi="Times New Roman"/>
          <w:b/>
          <w:spacing w:val="0"/>
          <w:sz w:val="14"/>
        </w:rPr>
        <w:t xml:space="preserve">(Name, address, including zip code, and telephone number, including area code, of agent for service)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80" w:after="0"/>
        <w:jc w:val="center"/>
        <w:rPr>
          <w:rFonts w:ascii="Times New Roman" w:hAnsi="Times New Roman"/>
          <w:b/>
          <w:i/>
          <w:caps w:val="false"/>
          <w:smallCaps w:val="false"/>
          <w:spacing w:val="0"/>
          <w:sz w:val="16"/>
        </w:rPr>
      </w:pPr>
      <w:r>
        <w:rPr>
          <w:rFonts w:ascii="Times New Roman" w:hAnsi="Times New Roman"/>
          <w:b/>
          <w:i/>
          <w:caps w:val="false"/>
          <w:smallCaps w:val="false"/>
          <w:spacing w:val="0"/>
          <w:sz w:val="16"/>
        </w:rPr>
        <w:t xml:space="preserve">Copies of all communications, including communications sent to agent for service, should be sent to: </w:t>
      </w:r>
    </w:p>
    <w:p>
      <w:pPr>
        <w:pStyle w:val="TextBody"/>
        <w:bidi w:val="0"/>
        <w:spacing w:before="0" w:after="0"/>
        <w:jc w:val="left"/>
        <w:rPr>
          <w:spacing w:val="0"/>
        </w:rPr>
      </w:pPr>
      <w:r>
        <w:rPr>
          <w:spacing w:val="0"/>
        </w:rPr>
        <w:t> </w:t>
      </w:r>
    </w:p>
    <w:tbl>
      <w:tblPr>
        <w:tblW w:w="4330" w:type="dxa"/>
        <w:jc w:val="left"/>
        <w:tblInd w:w="0" w:type="dxa"/>
        <w:tblLayout w:type="fixed"/>
        <w:tblCellMar>
          <w:top w:w="0" w:type="dxa"/>
          <w:left w:w="0" w:type="dxa"/>
          <w:bottom w:w="0" w:type="dxa"/>
          <w:right w:w="0" w:type="dxa"/>
        </w:tblCellMar>
      </w:tblPr>
      <w:tblGrid>
        <w:gridCol w:w="2135"/>
        <w:gridCol w:w="60"/>
        <w:gridCol w:w="213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Mitchell Bloom,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Robert Masella,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James Ding,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Adam V. Johnson,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Goodwin Procter LLP</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100 Northern Avenue</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Boston, Massachusetts 02210</w:t>
            </w:r>
          </w:p>
          <w:p>
            <w:pPr>
              <w:pStyle w:val="TableContents"/>
              <w:bidi w:val="0"/>
              <w:spacing w:before="0" w:after="20"/>
              <w:jc w:val="center"/>
              <w:rPr>
                <w:rFonts w:ascii="Times New Roman" w:hAnsi="Times New Roman"/>
                <w:b/>
                <w:sz w:val="16"/>
              </w:rPr>
            </w:pPr>
            <w:r>
              <w:rPr>
                <w:rFonts w:ascii="Times New Roman" w:hAnsi="Times New Roman"/>
                <w:b/>
                <w:sz w:val="16"/>
              </w:rPr>
              <w:t xml:space="preserve">(617) </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570-1000</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Marc A. Recht,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Miguel J. Vega,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Courtney T. Thorne,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Michael Rohr,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Cooley LLP</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500 Boylston Street</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14</w:t>
            </w:r>
          </w:p>
          <w:p>
            <w:pPr>
              <w:pStyle w:val="TableContents"/>
              <w:bidi w:val="0"/>
              <w:spacing w:before="0" w:after="0"/>
              <w:jc w:val="center"/>
              <w:rPr>
                <w:rFonts w:ascii="Times New Roman" w:hAnsi="Times New Roman"/>
                <w:b/>
                <w:spacing w:val="0"/>
                <w:sz w:val="9"/>
              </w:rPr>
            </w:pPr>
            <w:r>
              <w:rPr>
                <w:rFonts w:ascii="Times New Roman" w:hAnsi="Times New Roman"/>
                <w:b/>
                <w:spacing w:val="0"/>
                <w:sz w:val="9"/>
              </w:rPr>
              <w:t>th</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Floor</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Boston, Massachusetts 02116</w:t>
            </w:r>
          </w:p>
          <w:p>
            <w:pPr>
              <w:pStyle w:val="TableContents"/>
              <w:bidi w:val="0"/>
              <w:spacing w:before="0" w:after="20"/>
              <w:jc w:val="center"/>
              <w:rPr>
                <w:rFonts w:ascii="Times New Roman" w:hAnsi="Times New Roman"/>
                <w:b/>
                <w:sz w:val="16"/>
              </w:rPr>
            </w:pPr>
            <w:r>
              <w:rPr>
                <w:rFonts w:ascii="Times New Roman" w:hAnsi="Times New Roman"/>
                <w:b/>
                <w:sz w:val="16"/>
              </w:rPr>
              <w:t xml:space="preserve">(617) </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937-2300</w:t>
            </w:r>
          </w:p>
        </w:tc>
      </w:tr>
    </w:tbl>
    <w:p>
      <w:pPr>
        <w:pStyle w:val="TextBody"/>
        <w:bidi w:val="0"/>
        <w:spacing w:before="80" w:after="0"/>
        <w:jc w:val="left"/>
        <w:rPr>
          <w:rFonts w:ascii="Times New Roman" w:hAnsi="Times New Roman"/>
          <w:b/>
          <w:spacing w:val="0"/>
          <w:sz w:val="16"/>
        </w:rPr>
      </w:pPr>
      <w:r>
        <w:rPr>
          <w:rFonts w:ascii="Times New Roman" w:hAnsi="Times New Roman"/>
          <w:b/>
          <w:spacing w:val="0"/>
          <w:sz w:val="16"/>
        </w:rPr>
        <w:t xml:space="preserve">Approximate date of commencement of proposed sale of the securities to the public: As soon as practicable after the effective date of this registration statement and the satisfaction or waiver of all other conditions under the Merger Agreement described herein. </w:t>
      </w:r>
    </w:p>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w:t>
      </w:r>
    </w:p>
    <w:p>
      <w:pPr>
        <w:pStyle w:val="TextBody"/>
        <w:bidi w:val="0"/>
        <w:spacing w:before="80" w:after="0"/>
        <w:jc w:val="left"/>
        <w:rPr>
          <w:rFonts w:ascii="Times New Roman" w:hAnsi="Times New Roman"/>
          <w:spacing w:val="0"/>
          <w:sz w:val="16"/>
        </w:rPr>
      </w:pPr>
      <w:r>
        <w:rPr>
          <w:rFonts w:ascii="Times New Roman" w:hAnsi="Times New Roman"/>
          <w:spacing w:val="0"/>
          <w:sz w:val="16"/>
        </w:rPr>
        <w:t>non-accelerated</w:t>
      </w:r>
    </w:p>
    <w:p>
      <w:pPr>
        <w:pStyle w:val="TextBody"/>
        <w:bidi w:val="0"/>
        <w:spacing w:before="80" w:after="0"/>
        <w:jc w:val="left"/>
        <w:rPr>
          <w:rFonts w:ascii="Times New Roman" w:hAnsi="Times New Roman"/>
          <w:sz w:val="16"/>
        </w:rPr>
      </w:pPr>
      <w:r>
        <w:rPr>
          <w:rFonts w:ascii="Times New Roman" w:hAnsi="Times New Roman"/>
          <w:sz w:val="16"/>
        </w:rPr>
        <w:t xml:space="preserve">filer, a smaller reporting company, or emerging growth company. See the definitions of “large accelerated filer,” “accelerated filer,” “smaller reporting company,” and “emerging growth company” in Rule </w:t>
      </w:r>
    </w:p>
    <w:p>
      <w:pPr>
        <w:pStyle w:val="TextBody"/>
        <w:bidi w:val="0"/>
        <w:spacing w:before="80" w:after="0"/>
        <w:jc w:val="left"/>
        <w:rPr>
          <w:rFonts w:ascii="Times New Roman" w:hAnsi="Times New Roman"/>
          <w:spacing w:val="0"/>
          <w:sz w:val="16"/>
        </w:rPr>
      </w:pPr>
      <w:r>
        <w:rPr>
          <w:rFonts w:ascii="Times New Roman" w:hAnsi="Times New Roman"/>
          <w:spacing w:val="0"/>
          <w:sz w:val="16"/>
        </w:rPr>
        <w:t>12b-2</w:t>
      </w:r>
    </w:p>
    <w:p>
      <w:pPr>
        <w:pStyle w:val="TextBody"/>
        <w:bidi w:val="0"/>
        <w:spacing w:before="80" w:after="0"/>
        <w:jc w:val="left"/>
        <w:rPr>
          <w:rFonts w:ascii="Times New Roman" w:hAnsi="Times New Roman"/>
          <w:sz w:val="16"/>
        </w:rPr>
      </w:pPr>
      <w:r>
        <w:rPr>
          <w:rFonts w:ascii="Times New Roman" w:hAnsi="Times New Roman"/>
          <w:sz w:val="16"/>
        </w:rPr>
        <w:t xml:space="preserve">of the Exchange Act. </w:t>
      </w:r>
    </w:p>
    <w:p>
      <w:pPr>
        <w:pStyle w:val="TextBody"/>
        <w:bidi w:val="0"/>
        <w:spacing w:before="0" w:after="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xml:space="preserve">Accelerated filer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applicable, place an X in the box to designate the appropriate rule provision relied upon in conducting this transaction: </w:t>
      </w:r>
    </w:p>
    <w:p>
      <w:pPr>
        <w:pStyle w:val="TextBody"/>
        <w:bidi w:val="0"/>
        <w:spacing w:before="8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80" w:after="0"/>
        <w:jc w:val="left"/>
        <w:rPr>
          <w:rFonts w:ascii="Times New Roman" w:hAnsi="Times New Roman"/>
          <w:spacing w:val="0"/>
          <w:sz w:val="16"/>
        </w:rPr>
      </w:pPr>
      <w:r>
        <w:rPr>
          <w:rFonts w:ascii="Times New Roman" w:hAnsi="Times New Roman"/>
          <w:spacing w:val="0"/>
          <w:sz w:val="16"/>
        </w:rPr>
        <w:t>13e-4(i)</w:t>
      </w:r>
    </w:p>
    <w:p>
      <w:pPr>
        <w:pStyle w:val="TextBody"/>
        <w:bidi w:val="0"/>
        <w:spacing w:before="80" w:after="0"/>
        <w:jc w:val="left"/>
        <w:rPr>
          <w:rFonts w:ascii="Times New Roman" w:hAnsi="Times New Roman"/>
          <w:sz w:val="16"/>
        </w:rPr>
      </w:pPr>
      <w:r>
        <w:rPr>
          <w:rFonts w:ascii="Times New Roman" w:hAnsi="Times New Roman"/>
          <w:sz w:val="16"/>
        </w:rPr>
        <w:t xml:space="preserve">(Cross-Border Issuer Tender Offer) ☐ </w:t>
      </w:r>
    </w:p>
    <w:p>
      <w:pPr>
        <w:pStyle w:val="TextBody"/>
        <w:bidi w:val="0"/>
        <w:spacing w:before="8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80" w:after="0"/>
        <w:jc w:val="left"/>
        <w:rPr>
          <w:rFonts w:ascii="Times New Roman" w:hAnsi="Times New Roman"/>
          <w:spacing w:val="0"/>
          <w:sz w:val="16"/>
        </w:rPr>
      </w:pPr>
      <w:r>
        <w:rPr>
          <w:rFonts w:ascii="Times New Roman" w:hAnsi="Times New Roman"/>
          <w:spacing w:val="0"/>
          <w:sz w:val="16"/>
        </w:rPr>
        <w:t>14d-1(d)</w:t>
      </w:r>
    </w:p>
    <w:p>
      <w:pPr>
        <w:pStyle w:val="TextBody"/>
        <w:bidi w:val="0"/>
        <w:spacing w:before="80" w:after="0"/>
        <w:jc w:val="left"/>
        <w:rPr>
          <w:rFonts w:ascii="Times New Roman" w:hAnsi="Times New Roman"/>
          <w:sz w:val="16"/>
        </w:rPr>
      </w:pPr>
      <w:r>
        <w:rPr>
          <w:rFonts w:ascii="Times New Roman" w:hAnsi="Times New Roman"/>
          <w:sz w:val="16"/>
        </w:rPr>
        <w:t xml:space="preserve">(Cross-Border Third-Party Tender Offer) ☐ </w:t>
      </w:r>
    </w:p>
    <w:p>
      <w:pPr>
        <w:pStyle w:val="TextBody"/>
        <w:bidi w:val="0"/>
        <w:spacing w:before="80" w:after="0"/>
        <w:jc w:val="left"/>
        <w:rPr>
          <w:rFonts w:ascii="Times New Roman" w:hAnsi="Times New Roman"/>
          <w:b/>
          <w:spacing w:val="0"/>
          <w:sz w:val="16"/>
        </w:rPr>
      </w:pPr>
      <w:r>
        <w:rPr>
          <w:rFonts w:ascii="Times New Roman" w:hAnsi="Times New Roman"/>
          <w:b/>
          <w:spacing w:val="0"/>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spacing w:val="0"/>
        </w:rPr>
      </w:pPr>
      <w:r>
        <w:rPr>
          <w:spacing w:val="0"/>
        </w:rPr>
        <w:t> </w:t>
      </w:r>
    </w:p>
    <w:p>
      <w:pPr>
        <w:pStyle w:val="TextBody"/>
        <w:bidi w:val="0"/>
        <w:spacing w:lineRule="atLeast" w:line="142" w:before="0" w:after="0"/>
        <w:jc w:val="left"/>
        <w:rPr>
          <w:spacing w:val="0"/>
        </w:rPr>
      </w:pPr>
      <w:r>
        <w:rPr>
          <w:spacing w:val="0"/>
        </w:rPr>
        <w:t> </w:t>
      </w:r>
    </w:p>
    <w:p>
      <w:pPr>
        <w:pStyle w:val="TextBody"/>
        <w:bidi w:val="0"/>
        <w:spacing w:lineRule="atLeast" w:line="142" w:before="0" w:after="40"/>
        <w:jc w:val="left"/>
        <w:rPr>
          <w:spacing w:val="0"/>
        </w:rPr>
      </w:pPr>
      <w:r>
        <w:rPr>
          <w:spacing w:val="0"/>
        </w:rPr>
        <w:t> </w:t>
      </w:r>
      <w:r>
        <w:br w:type="page"/>
      </w:r>
    </w:p>
    <w:p>
      <w:pPr>
        <w:pStyle w:val="HorizontalLine"/>
        <w:bidi w:val="0"/>
        <w:jc w:val="left"/>
        <w:rPr/>
      </w:pPr>
      <w:r>
        <w:rPr/>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proxy statement/prospectus is not complete and may be changed. AVROBIO may not sell the securities described in this preliminary proxy statement/prospectus until the registration statement filed with the Securities and Exchange Commission is effective. This preliminary proxy statement/prospectus is not an offer to sell and it is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STATEMENT/PROSPECTUS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APRIL 29, 2024 </w:t>
      </w:r>
    </w:p>
    <w:p>
      <w:pPr>
        <w:pStyle w:val="TextBody"/>
        <w:bidi w:val="0"/>
        <w:spacing w:before="0" w:after="0"/>
        <w:jc w:val="left"/>
        <w:rPr/>
      </w:pPr>
      <w:r>
        <w:rPr/>
        <w:t> </w:t>
      </w:r>
    </w:p>
    <w:tbl>
      <w:tblPr>
        <w:tblW w:w="921" w:type="dxa"/>
        <w:jc w:val="left"/>
        <w:tblInd w:w="0" w:type="dxa"/>
        <w:tblLayout w:type="fixed"/>
        <w:tblCellMar>
          <w:top w:w="0" w:type="dxa"/>
          <w:left w:w="0" w:type="dxa"/>
          <w:bottom w:w="0" w:type="dxa"/>
          <w:right w:w="0" w:type="dxa"/>
        </w:tblCellMar>
      </w:tblPr>
      <w:tblGrid>
        <w:gridCol w:w="437"/>
        <w:gridCol w:w="120"/>
        <w:gridCol w:w="364"/>
      </w:tblGrid>
      <w:tr>
        <w:trPr/>
        <w:tc>
          <w:tcPr>
            <w:tcW w:w="4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37" w:type="dxa"/>
            <w:tcBorders/>
            <w:vAlign w:val="center"/>
          </w:tcPr>
          <w:p>
            <w:pPr>
              <w:pStyle w:val="TableContents"/>
              <w:bidi w:val="0"/>
              <w:spacing w:before="0" w:after="283"/>
              <w:jc w:val="center"/>
              <w:rPr/>
            </w:pPr>
            <w:r>
              <w:rPr/>
              <w:drawing>
                <wp:inline distT="0" distB="0" distL="0" distR="0">
                  <wp:extent cx="229870" cy="546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870" cy="546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center"/>
              <w:rPr/>
            </w:pPr>
            <w:r>
              <w:rPr/>
              <w:drawing>
                <wp:inline distT="0" distB="0" distL="0" distR="0">
                  <wp:extent cx="183515" cy="4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515" cy="4762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PROPOSED MERGER </w:t>
      </w:r>
    </w:p>
    <w:p>
      <w:pPr>
        <w:pStyle w:val="TextBody"/>
        <w:bidi w:val="0"/>
        <w:spacing w:before="0" w:after="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AVROBIO, Inc. and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a Delaware corporation (“AVROBIO”), and Tectonic Therapeutic, Inc., a Delaware corporation (“Tectonic”), entered into an Agreement and Plan of Merger and Reorganization (the “Merger Agreement”) on January 30, 2024, pursuant to which, among other matters, Alpine Merger Subsidiary, Inc., a direct, wholly owned subsidiary of AVROBIO (“Merger Sub”), will merge with and into Tectonic, with Tectonic surviving as a wholly owned subsidiary of AVROBIO (such transaction, the “merger”). After the completion of the merger, AVROBIO will change its corporate name to “Tectonic Therapeutic, Inc.” The surviving corporation following the merger is referred to herein as the “combined company.” </w:t>
      </w:r>
    </w:p>
    <w:p>
      <w:pPr>
        <w:pStyle w:val="TextBody"/>
        <w:bidi w:val="0"/>
        <w:spacing w:before="240" w:after="0"/>
        <w:jc w:val="left"/>
        <w:rPr>
          <w:rFonts w:ascii="Times New Roman" w:hAnsi="Times New Roman"/>
          <w:sz w:val="20"/>
        </w:rPr>
      </w:pPr>
      <w:r>
        <w:rPr>
          <w:rFonts w:ascii="Times New Roman" w:hAnsi="Times New Roman"/>
          <w:sz w:val="20"/>
        </w:rPr>
        <w:t>At the effective time of the merger (the “effective time”), each share of Tectonic common stock, par value $0.0001 per share (“Tectonic common stock”), after giving effect to the conversion of each share of Tectonic preferred stock, par value $0.0001 per share (“Tectonic preferred stock”), into Tectonic common stock as well as the issuance of the private financing shares (as defined below) and of Company SAFEs (as defined below) will be converted into the right to receive a number of shares of AVROBIO common stock, par value $0.0001 per share (“AVROBIO common stock”), equal to the exchange ratio described in more detail in the section titled “</w:t>
      </w:r>
      <w:r>
        <w:rPr>
          <w:rFonts w:ascii="Times New Roman" w:hAnsi="Times New Roman"/>
          <w:i/>
          <w:sz w:val="20"/>
        </w:rPr>
        <w:t>The Merger Agreement—Exchange Ratio</w:t>
      </w:r>
      <w:r>
        <w:rPr>
          <w:rFonts w:ascii="Times New Roman" w:hAnsi="Times New Roman"/>
          <w:sz w:val="20"/>
        </w:rPr>
        <w:t xml:space="preserve">” beginning on page 240 of this proxy statement/prospectus. The final exchange ratio is subject to adjustment prior to the closing of the merger (the “closing”) based upon AVROBIO’s net cash (as defined in the Merger Agreement) (“AVROBIO’s net cash”) at closing. As a result, AVROBIO securityholders could own more, and Tectonic securityholders could own less, or vice versa, of the combined company. Based on AVROBIO’s and Tectonic’s capitalization as of January 30, 2024, the date the Merger Agreement was executed, and taking into account AVROBIO’s anticipated closing cash position, giving effect to the proposed AVROBIO reverse stock split (the “reverse stock split”) and based on certain other assumptions, the exchange ratio (the “exchange ratio”) is currently estimated to be equal to approximately 0.74458326 shares of AVROBIO common stock for each share of Tectonic capital stock. The exchange ratio is subject to adjustment as described below, including if AVROBIO’s net cash as of closing is lower than $64.5 million or greater than $65.5 million. AVROBIO management currently anticipates that AVROBIO’s net cash as of closing will be approximately $65.0 million to $75.0 million, and the exchange ratio is currently estimated to be equal to approximately 0.74458326 (assuming (i) $65.0 million in AVROBIO net cash as of closing, (ii) a one-for-ten reverse stock split, and (iii) the private financings (as defined below) in Tectonic being in the amount of $130.7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AVROBIO will assume Tectonic’s Equity Incentive Plan (as defined below). Each outstanding and unexercised option to purchase shares of Tectonic common stock immediately prior to the effective time will be assumed by AVROBIO and will be converted into an option to purchase shares of AVROBIO common stock, with necessary adjustments to the number of shares and exercise price to reflect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certain investors have agreed to purchase shares of Tectonic common stock at a purchase price of $12.39908 per share subject to and immediately prior to the closing, pursuant to the terms of a subscription agreement entered into by such investors and Tectonic (the “Subscription Agreement”), and certain investors have consummated or will consummate certain additional purchases of Tectonic common stock pursuant to the conversion of certain simple agreements for future equity (“SAFEs”) entered into by such investors and Tectonic (the “Company SAFEs”), for an aggregate purchase price among the transactions contemplated by the Subscription Agreement and such Company SAFEs of approximately $130.7 million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(collectively, the “private financings” and such shares of Tectonic common stock issued pursuant thereto, the “private financing shares”). The closing of the private financing contemplated by the Subscription Agreement is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The private financings are more fully described in the section titled “</w:t>
      </w:r>
      <w:r>
        <w:rPr>
          <w:rFonts w:ascii="Times New Roman" w:hAnsi="Times New Roman"/>
          <w:i/>
          <w:sz w:val="20"/>
        </w:rPr>
        <w:t>Agreements Related to the Merger–Subscription Agreement</w:t>
      </w:r>
      <w:r>
        <w:rPr>
          <w:rFonts w:ascii="Times New Roman" w:hAnsi="Times New Roman"/>
          <w:sz w:val="20"/>
        </w:rPr>
        <w:t xml:space="preserv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share of AVROBIO common stock, each option to purchase AVROBIO common stock (each, an “AVROBIO option”) and each award of restricted stock units convertible into AVROBIO common stock (each, an “AVROBIO RSU”) that is issued and outstanding at the effective time will remain issued and outstanding in accordance with its terms and such shares, options and RSUs, subject to the proposed reverse stock split and any extension to the expiration time provided for in connection with the merger, will be unaffected by the merger (subject to, in the case of options and RSUs, the terms of AVROBIO’s existing equity incentive plans and the award agreements thereunder).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$65.0 million in AVROBIO’s net cash as of closing. </w:t>
      </w:r>
    </w:p>
    <w:p>
      <w:pPr>
        <w:pStyle w:val="TextBody"/>
        <w:bidi w:val="0"/>
        <w:spacing w:before="240" w:after="0"/>
        <w:jc w:val="left"/>
        <w:rPr>
          <w:rFonts w:ascii="Times New Roman" w:hAnsi="Times New Roman"/>
          <w:sz w:val="20"/>
        </w:rPr>
      </w:pPr>
      <w:r>
        <w:rPr>
          <w:rFonts w:ascii="Times New Roman" w:hAnsi="Times New Roman"/>
          <w:sz w:val="20"/>
        </w:rPr>
        <w:t>Shares of AVROBIO common stock are currently listed on The Nasdaq Global Select (“Nasdaq”) under the symbol “AVRO.” AVROBIO intends to file an initial listing application for the combined company with Nasdaq. After completion of the merger, AVROBIO will be renamed “Tectonic Therapeutic, Inc.” and it is expected that the common stock of the combined company will trade on Nasdaq under the symbol “TECX.” It is a condition to the consummation of the merger in favor of each of AVROBIO, Tectonic and Merger Sub that the approval of the listing on Nasdaq of the additional shares of AVROBIO common stock will have been obtained and the shares of AVROBIO common stock to be issued in the transactions contemplated by the Merger Agreement pursuant to the Merger Agreement will have been approved for listing (subject to official notice of issuance) on Nasdaq. This condition is waivable but only to the extent permitted by law and only with the written waiver of each of AVROBIO, Tectonic and Merger Sub. In the event the AVROBIO common stock to be issued in the merger is not approved for listing on Nasdaq, it is possible that AVROBIO, Tectonic and Merger Sub may mutually agree to waive the applicable condition and nonetheless proceed with the completion of the merger. If such condition is waived, AVROBIO may not recirculate an updated proxy statement/prospectus or solicit a new vote of AVROBIO stockholders prior to proceeding with the merger. Nasdaq has not yet made a determination with respect to this approval, and the status of such approval may not yet be known at the time that AVROBIO stockholders are expected to vote at the special meeting. For additional information, please see the sections titled “</w:t>
      </w:r>
      <w:r>
        <w:rPr>
          <w:rFonts w:ascii="Times New Roman" w:hAnsi="Times New Roman"/>
          <w:i/>
          <w:sz w:val="20"/>
        </w:rPr>
        <w:t>Risk Factors—Risks Related to Merger—AVROBIO or Tectonic may waive one or more of the conditions to the merger without recirculation of this proxy statement/prospectus or resoliciting stockholder approval</w:t>
      </w:r>
      <w:r>
        <w:rPr>
          <w:rFonts w:ascii="Times New Roman" w:hAnsi="Times New Roman"/>
          <w:sz w:val="20"/>
        </w:rPr>
        <w:t>” on page 37 of this proxy statement/prospectus and “</w:t>
      </w:r>
      <w:r>
        <w:rPr>
          <w:rFonts w:ascii="Times New Roman" w:hAnsi="Times New Roman"/>
          <w:i/>
          <w:sz w:val="20"/>
        </w:rPr>
        <w:t>Risk Factors—Risks Related to the Proposed Reverse Stock Split</w:t>
      </w:r>
      <w:r>
        <w:rPr>
          <w:rFonts w:ascii="Times New Roman" w:hAnsi="Times New Roman"/>
          <w:sz w:val="20"/>
        </w:rPr>
        <w:t>—</w:t>
      </w:r>
      <w:r>
        <w:rPr>
          <w:rFonts w:ascii="Times New Roman" w:hAnsi="Times New Roman"/>
          <w:i/>
          <w:sz w:val="20"/>
        </w:rPr>
        <w:t>The reverse stock split may not increase the combined company’s stock price over the short- or long-term, which may further impact the combined company’s ability to obtain or maintain listing on Nasdaq</w:t>
      </w:r>
      <w:r>
        <w:rPr>
          <w:rFonts w:ascii="Times New Roman" w:hAnsi="Times New Roman"/>
          <w:sz w:val="20"/>
        </w:rPr>
        <w:t xml:space="preserve">” on page 43 of this proxy statement/prospectus. On     , 2024, the last trading day before the date of this proxy statement/prospectus, the closing sale price of AVROBIO common stock as reported on Nasdaq was $    per share.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AVROBIO stockholders (“AVROBIO stockholders”) are cordially invited to attend the special meeting of AVROBIO stockholders (the “special meeting”) on June 11, 2024, at 9:00 a.m. Eastern Time, unless postponed or adjourned to a later date, in order to obtain the stockholder approvals necessary to complete the merger and related matters. The special meeting will be held entirely online. AVROBIO stockholders will be able to attend and participate in the special meeting online by visiting </w:t>
      </w:r>
      <w:r>
        <w:rPr>
          <w:rFonts w:ascii="Times New Roman" w:hAnsi="Times New Roman"/>
          <w:i/>
          <w:sz w:val="20"/>
        </w:rPr>
        <w:t>www.proxydocs.com/AVRO</w:t>
      </w:r>
      <w:r>
        <w:rPr>
          <w:rFonts w:ascii="Times New Roman" w:hAnsi="Times New Roman"/>
          <w:sz w:val="20"/>
        </w:rPr>
        <w:t xml:space="preserve">, where they will be able to listen to the meeting live, submit questions and vote. At the special meeting, AVROBIO will ask its stockholders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AVROBIO common stock, which will represent more than 20% of the shares of AVROBIO common stock outstanding immediately prior to such transaction, to stockholders of Tectonic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such transaction, pursuant to Nasdaq Listing Rules 5635(a) and 5635(b), respectively (the “Nasdaq Stock Issuance Proposal” or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2.</w:t>
            </w:r>
          </w:p>
        </w:tc>
        <w:tc>
          <w:tcPr>
            <w:tcW w:w="9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AVROBIO’s fourth amended and restated certificate of incorporation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of directors (the “AVROBIO Board”) and the Tectonic board of directors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(the “Reverse Stock Split Proposal” or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(the “Officer Exculpation Proposal” or “Proposal No.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Tectonic Therapeutic, Inc. 2024 Equity Incentive Plan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which will become effective as of and contingent on the completion of the merger (the “Incentive Plan Proposal” or “Proposal No. 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Tectonic Therapeutic, Inc. 2024 Employee Stock Purchase Plan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which will become effective as of and contingent on the completion of the merger (the “ESPP Proposal” or “Proposal No. 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 non-binding advisory vote basis, compensation that will or may become payable by AVROBIO to its named executive officers in connection with the merger, each as described in the accompanying proxy statement/prospectus (the “Executive Compensation Arrangements Proposal” or “Proposal No. 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7.</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special meeting, if necessary, to solicit additional proxies if there are not sufficient votes in favor of the Nasdaq Stock Issuance Proposal and/or the Reverse Stock Split Proposal (the “Adjournment Proposal” or “Proposal No. 7”).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collectively referred to as the “Proposals.”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this proxy statement/prospectus, certain AVROBIO stockholders holding shares of AVROBIO capital stock representing approximately 10.8% of the outstanding shares of AVROBIO capital stock of AVROBIO as of January 30, 2024, and certain Tectonic stockholders holding shares of Tectonic capital stock representing approximately 88.0% of the voting power of Tectonic as of January 30, 2024, are parties to stockholder support agreements with AVROBIO and Tectonic, respectively, whereby AVROBIO stockholders have agreed to vote in favor of the Proposals herein and against any alternative acquisition proposals and the Tectonic stockholders have agreed to vote in favor of the adoption of the Merger Agreement and the approval of the merger and related transactions contemplated by the Merger Agreement, subject to the terms of their respective support agreements. Following the effectiveness of the Registration Statement on Form S-4 of which this proxy statement/prospectus is a part and pursuant to the Merger Agreement, Tectonic stockholders holding shares of Tectonic capital stock representing approximately 88.0% of the voting power of Tectonic will be asked to execute a written consent to adopt the Merger Agreement and approve the merger and related transactions.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After careful consideration, each of the AVROBIO Board and Tectonic Board have unanimously approved the Merger Agreement and have determined that it is advisable to consummate the merger. The AVROBIO Board has approved the Proposals described in this proxy statement/prospectus and unanimously recommends that AVROBIO stockholders vote “</w:t>
      </w:r>
      <w:r>
        <w:rPr>
          <w:rFonts w:ascii="Times New Roman" w:hAnsi="Times New Roman"/>
          <w:b/>
          <w:sz w:val="20"/>
        </w:rPr>
        <w:t>FOR</w:t>
      </w:r>
      <w:r>
        <w:rPr>
          <w:rFonts w:ascii="Times New Roman" w:hAnsi="Times New Roman"/>
          <w:sz w:val="20"/>
        </w:rPr>
        <w:t xml:space="preserve">” the Proposals described in this proxy statement/prospectus. </w:t>
      </w:r>
    </w:p>
    <w:p>
      <w:pPr>
        <w:pStyle w:val="TextBody"/>
        <w:bidi w:val="0"/>
        <w:spacing w:before="240" w:after="0"/>
        <w:jc w:val="left"/>
        <w:rPr/>
      </w:pPr>
      <w:r>
        <w:rPr>
          <w:rFonts w:ascii="Times New Roman" w:hAnsi="Times New Roman"/>
          <w:b/>
          <w:sz w:val="24"/>
        </w:rPr>
        <w:t>More information about AVROBIO, Tectonic, the Merger Agreement and transactions contemplated thereby and the foregoing Proposals is contained in this proxy statement/prospectus. AVROBIO urges you to read this proxy statement/prospectus carefully and in its entirety. IN PARTICULAR, YOU SHOULD CAREFULLY CONSIDER THE MATTERS DISCUSSED UNDER “</w:t>
      </w:r>
      <w:hyperlink w:anchor="toc770053_20">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BEGINNING ON PAGE 36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and Tectonic are excited about the opportunities that the merger brings to our respective stockholders and thank you for your consideration and continued support. </w:t>
      </w:r>
    </w:p>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760"/>
        <w:gridCol w:w="120"/>
        <w:gridCol w:w="2165"/>
      </w:tblGrid>
      <w:tr>
        <w:trPr/>
        <w:tc>
          <w:tcPr>
            <w:tcW w:w="7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7760" w:type="dxa"/>
            <w:tcBorders/>
            <w:vAlign w:val="center"/>
          </w:tcPr>
          <w:p>
            <w:pPr>
              <w:pStyle w:val="TableContents"/>
              <w:bidi w:val="0"/>
              <w:spacing w:before="0" w:after="283"/>
              <w:jc w:val="center"/>
              <w:rPr/>
            </w:pPr>
            <w:r>
              <w:rPr/>
              <w:t>Erik Ostrowski</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Alise Reicin, M.D.</w:t>
            </w:r>
          </w:p>
        </w:tc>
      </w:tr>
      <w:tr>
        <w:trPr/>
        <w:tc>
          <w:tcPr>
            <w:tcW w:w="7760" w:type="dxa"/>
            <w:tcBorders/>
            <w:vAlign w:val="center"/>
          </w:tcPr>
          <w:p>
            <w:pPr>
              <w:pStyle w:val="TableContents"/>
              <w:bidi w:val="0"/>
              <w:spacing w:before="0" w:after="283"/>
              <w:jc w:val="center"/>
              <w:rPr>
                <w:i/>
              </w:rPr>
            </w:pPr>
            <w:r>
              <w:rPr>
                <w:i/>
              </w:rPr>
              <w:t>President, Interim Chief Executive Officer, Chief Financial Officer and Treasurer</w:t>
            </w:r>
          </w:p>
        </w:tc>
        <w:tc>
          <w:tcPr>
            <w:tcW w:w="120" w:type="dxa"/>
            <w:vMerge w:val="restart"/>
            <w:tcBorders/>
            <w:vAlign w:val="center"/>
          </w:tcPr>
          <w:p>
            <w:pPr>
              <w:pStyle w:val="TableContents"/>
              <w:bidi w:val="0"/>
              <w:spacing w:before="0" w:after="283"/>
              <w:jc w:val="left"/>
              <w:rPr/>
            </w:pPr>
            <w:r>
              <w:rPr/>
              <w:t>  </w:t>
            </w:r>
          </w:p>
        </w:tc>
        <w:tc>
          <w:tcPr>
            <w:tcW w:w="2165" w:type="dxa"/>
            <w:vMerge w:val="restart"/>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Tectonic Therapeutic, Inc.</w:t>
            </w:r>
          </w:p>
        </w:tc>
      </w:tr>
      <w:tr>
        <w:trPr/>
        <w:tc>
          <w:tcPr>
            <w:tcW w:w="7760" w:type="dxa"/>
            <w:tcBorders/>
            <w:vAlign w:val="center"/>
          </w:tcPr>
          <w:p>
            <w:pPr>
              <w:pStyle w:val="TableContents"/>
              <w:bidi w:val="0"/>
              <w:spacing w:before="0" w:after="283"/>
              <w:jc w:val="center"/>
              <w:rPr/>
            </w:pPr>
            <w:r>
              <w:rPr/>
              <w:t>AVROBIO, Inc.</w:t>
            </w:r>
          </w:p>
        </w:tc>
        <w:tc>
          <w:tcPr>
            <w:tcW w:w="120" w:type="dxa"/>
            <w:vMerge w:val="continue"/>
            <w:tcBorders/>
            <w:vAlign w:val="center"/>
          </w:tcPr>
          <w:p>
            <w:pPr>
              <w:pStyle w:val="Normal"/>
              <w:bidi w:val="0"/>
              <w:jc w:val="left"/>
              <w:rPr/>
            </w:pPr>
            <w:r>
              <w:rPr/>
            </w:r>
          </w:p>
        </w:tc>
        <w:tc>
          <w:tcPr>
            <w:tcW w:w="2165" w:type="dxa"/>
            <w:vMerge w:val="continue"/>
            <w:tcBorders/>
            <w:vAlign w:val="center"/>
          </w:tcPr>
          <w:p>
            <w:pPr>
              <w:pStyle w:val="Normal"/>
              <w:bidi w:val="0"/>
              <w:jc w:val="left"/>
              <w:rPr/>
            </w:pPr>
            <w:r>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proxy statement/prospectus.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proxy statement/prospectus is dated     , 2024, and is first being mailed to AVROBIO stockholders on or about    , 2024.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0" w:after="0"/>
        <w:jc w:val="center"/>
        <w:rPr>
          <w:rFonts w:ascii="Times New Roman" w:hAnsi="Times New Roman"/>
          <w:b/>
          <w:sz w:val="20"/>
        </w:rPr>
      </w:pPr>
      <w:r>
        <w:rPr>
          <w:rFonts w:ascii="Times New Roman" w:hAnsi="Times New Roman"/>
          <w:b/>
          <w:sz w:val="20"/>
        </w:rPr>
        <w:t xml:space="preserve">One Broadway, 14th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02142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AVROBIO stockholders: </w:t>
      </w:r>
    </w:p>
    <w:p>
      <w:pPr>
        <w:pStyle w:val="TextBody"/>
        <w:bidi w:val="0"/>
        <w:spacing w:before="24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the special meeting will be held on June 11, 2024 at 9:00 a.m. Eastern Time, unless postponed or adjourned to a later date. The special meeting will be held entirely online. You will be able to attend and participate in the special meeting online by visiting </w:t>
      </w:r>
      <w:r>
        <w:rPr>
          <w:rFonts w:ascii="Times New Roman" w:hAnsi="Times New Roman"/>
          <w:i/>
          <w:sz w:val="20"/>
        </w:rPr>
        <w:t>www.proxydocs.com/AVRO</w:t>
      </w:r>
      <w:r>
        <w:rPr>
          <w:rFonts w:ascii="Times New Roman" w:hAnsi="Times New Roman"/>
          <w:sz w:val="20"/>
        </w:rPr>
        <w:t xml:space="preserve">, where you will be able to listen to the meeting live, submit questions and vote. </w:t>
      </w:r>
    </w:p>
    <w:p>
      <w:pPr>
        <w:pStyle w:val="TextBody"/>
        <w:bidi w:val="0"/>
        <w:spacing w:before="240" w:after="0"/>
        <w:jc w:val="left"/>
        <w:rPr>
          <w:rFonts w:ascii="Times New Roman" w:hAnsi="Times New Roman"/>
          <w:b/>
          <w:sz w:val="20"/>
        </w:rPr>
      </w:pPr>
      <w:r>
        <w:rPr>
          <w:rFonts w:ascii="Times New Roman" w:hAnsi="Times New Roman"/>
          <w:b/>
          <w:sz w:val="20"/>
        </w:rPr>
        <w:t xml:space="preserve">The special meeting will be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1.</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“Nasdaq Stock Issuance Proposal” or “Proposal No.</w:t>
            </w:r>
            <w:r>
              <w:rPr>
                <w:rFonts w:ascii="Times New Roman" w:hAnsi="Times New Roman"/>
                <w:sz w:val="20"/>
                <w:u w:val="single"/>
              </w:rPr>
              <w:t> </w:t>
            </w:r>
            <w:r>
              <w:rPr>
                <w:rFonts w:ascii="Times New Roman" w:hAnsi="Times New Roman"/>
                <w:b/>
                <w:sz w:val="20"/>
                <w:u w:val="single"/>
              </w:rPr>
              <w:t>1”</w:t>
            </w:r>
            <w:r>
              <w:rPr>
                <w:rFonts w:ascii="Times New Roman" w:hAnsi="Times New Roman"/>
                <w:sz w:val="20"/>
              </w:rPr>
              <w:t xml:space="preserve">: To approve (i) the issuance of shares of AVROBIO common stock, which will represent more than 20% of the shares of AVROBIO common stock outstanding immediately prior to the merger, to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the merger, pursuant to Nasdaq Listing Rules 5635(a) and 5635(b),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2.</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“Reverse Stock Split Proposal” or “Proposal No.</w:t>
            </w:r>
            <w:r>
              <w:rPr>
                <w:rFonts w:ascii="Times New Roman" w:hAnsi="Times New Roman"/>
                <w:sz w:val="20"/>
                <w:u w:val="single"/>
              </w:rPr>
              <w:t> </w:t>
            </w:r>
            <w:r>
              <w:rPr>
                <w:rFonts w:ascii="Times New Roman" w:hAnsi="Times New Roman"/>
                <w:b/>
                <w:sz w:val="20"/>
                <w:u w:val="single"/>
              </w:rPr>
              <w:t>2”</w:t>
            </w:r>
            <w:r>
              <w:rPr>
                <w:rFonts w:ascii="Times New Roman" w:hAnsi="Times New Roman"/>
                <w:sz w:val="20"/>
              </w:rPr>
              <w:t xml:space="preserve">: 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and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“Officer Exculpation Proposal” or “Proposal No.</w:t>
            </w:r>
            <w:r>
              <w:rPr>
                <w:rFonts w:ascii="Times New Roman" w:hAnsi="Times New Roman"/>
                <w:sz w:val="20"/>
                <w:u w:val="single"/>
              </w:rPr>
              <w:t> </w:t>
            </w:r>
            <w:r>
              <w:rPr>
                <w:rFonts w:ascii="Times New Roman" w:hAnsi="Times New Roman"/>
                <w:b/>
                <w:sz w:val="20"/>
                <w:u w:val="single"/>
              </w:rPr>
              <w:t>3”</w:t>
            </w:r>
            <w:r>
              <w:rPr>
                <w:rFonts w:ascii="Times New Roman" w:hAnsi="Times New Roman"/>
                <w:sz w:val="20"/>
              </w:rPr>
              <w:t xml:space="preserve">: To 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4.</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“Incentive Plan Proposal” or “Proposal No.</w:t>
            </w:r>
            <w:r>
              <w:rPr>
                <w:rFonts w:ascii="Times New Roman" w:hAnsi="Times New Roman"/>
                <w:sz w:val="20"/>
                <w:u w:val="single"/>
              </w:rPr>
              <w:t> </w:t>
            </w:r>
            <w:r>
              <w:rPr>
                <w:rFonts w:ascii="Times New Roman" w:hAnsi="Times New Roman"/>
                <w:b/>
                <w:sz w:val="20"/>
                <w:u w:val="single"/>
              </w:rPr>
              <w:t>4”</w:t>
            </w:r>
            <w:r>
              <w:rPr>
                <w:rFonts w:ascii="Times New Roman" w:hAnsi="Times New Roman"/>
                <w:sz w:val="20"/>
              </w:rPr>
              <w:t xml:space="preserve">: To approve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5.</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“ESPP Proposal” or “Proposal No.</w:t>
            </w:r>
            <w:r>
              <w:rPr>
                <w:rFonts w:ascii="Times New Roman" w:hAnsi="Times New Roman"/>
                <w:sz w:val="20"/>
                <w:u w:val="single"/>
              </w:rPr>
              <w:t> </w:t>
            </w:r>
            <w:r>
              <w:rPr>
                <w:rFonts w:ascii="Times New Roman" w:hAnsi="Times New Roman"/>
                <w:b/>
                <w:sz w:val="20"/>
                <w:u w:val="single"/>
              </w:rPr>
              <w:t>5”</w:t>
            </w:r>
            <w:r>
              <w:rPr>
                <w:rFonts w:ascii="Times New Roman" w:hAnsi="Times New Roman"/>
                <w:sz w:val="20"/>
              </w:rPr>
              <w:t xml:space="preserve">: To approve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6.</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“Executive Compensation Arrangements Proposal” or “Proposal No.</w:t>
            </w:r>
            <w:r>
              <w:rPr>
                <w:rFonts w:ascii="Times New Roman" w:hAnsi="Times New Roman"/>
                <w:sz w:val="20"/>
                <w:u w:val="single"/>
              </w:rPr>
              <w:t> </w:t>
            </w:r>
            <w:r>
              <w:rPr>
                <w:rFonts w:ascii="Times New Roman" w:hAnsi="Times New Roman"/>
                <w:b/>
                <w:sz w:val="20"/>
                <w:u w:val="single"/>
              </w:rPr>
              <w:t>6”</w:t>
            </w:r>
            <w:r>
              <w:rPr>
                <w:rFonts w:ascii="Times New Roman" w:hAnsi="Times New Roman"/>
                <w:sz w:val="20"/>
              </w:rPr>
              <w:t xml:space="preserve">: To approve, on a non-binding advisory vote basis, compensation that will or may become payable by AVROBIO to its named executive officers in connection with the merger, each as described in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7.</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“Adjournment Proposal” or “Proposal No.</w:t>
            </w:r>
            <w:r>
              <w:rPr>
                <w:rFonts w:ascii="Times New Roman" w:hAnsi="Times New Roman"/>
                <w:sz w:val="20"/>
                <w:u w:val="single"/>
              </w:rPr>
              <w:t> </w:t>
            </w:r>
            <w:r>
              <w:rPr>
                <w:rFonts w:ascii="Times New Roman" w:hAnsi="Times New Roman"/>
                <w:b/>
                <w:sz w:val="20"/>
                <w:u w:val="single"/>
              </w:rPr>
              <w:t>7”</w:t>
            </w:r>
            <w:r>
              <w:rPr>
                <w:rFonts w:ascii="Times New Roman" w:hAnsi="Times New Roman"/>
                <w:sz w:val="20"/>
              </w:rPr>
              <w:t xml:space="preserve">: To approve an adjournment of the special meeting, if necessary, to solicit additional proxies if there are not sufficient votes in favor of the Nasdaq Stock Issuance Proposal and/or the Reverse Stock Split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8.</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collectively referred to as the “Proposals.”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has fixed April 29, 2024 as the record date (the “record date”) for the determination of AVROBIO stockholders entitled to notice of, and to vote at, the special meeting and any adjournment or postponement thereof. Only holders of record of shares of AVROBIO common stock at the close of business on the record date are entitled to notice of, and to vote at, the special meeting. At the close of business on the record date, AVROBIO had 44,887,995 shares of common stock outstanding and entitled to vote.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Your vote is important. The affirmative vote of a majority of the votes properly cast by the holders of AVROBIO common stock at the special meeting, assuming a quorum is present, is required for approval of Proposal Nos. 1, 2, 4, 5, 6 and 7. The affirmative vote of a majority of the outstanding shares of AVROBIO common stock entitled to vote at the special meeting is required for approval of Proposal No. 3. Proposal Nos. 4 and 5 are conditioned upon the approval of Proposal No. 1. However, approval of each of Proposal Nos. 1 and 2 is a condition to the completion of the merger. Therefore, the merger cannot be consummated without the approval of Proposal Nos. 1 and 2. </w:t>
      </w:r>
    </w:p>
    <w:p>
      <w:pPr>
        <w:pStyle w:val="TextBody"/>
        <w:bidi w:val="0"/>
        <w:spacing w:before="240" w:after="0"/>
        <w:jc w:val="left"/>
        <w:rPr>
          <w:rFonts w:ascii="Times New Roman" w:hAnsi="Times New Roman"/>
          <w:b/>
          <w:sz w:val="20"/>
        </w:rPr>
      </w:pPr>
      <w:r>
        <w:rPr>
          <w:rFonts w:ascii="Times New Roman" w:hAnsi="Times New Roman"/>
          <w:b/>
          <w:sz w:val="20"/>
        </w:rPr>
        <w:t xml:space="preserve">Even if you plan to virtually attend the special meeting, AVROBIO requests that you sign and return the enclosed proxy or vote by mail or online to ensure that your shares will be represented at the special meeting if you are unable to virtually attend. You may change or revoke your proxy at any time before it is voted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AVROBIO BOARD HAS UNANIMOUSLY DETERMINED AND BELIEVES THAT EACH OF THE PROPOSALS OUTLINED ABOVE IS FAIR TO, IN THE BEST INTERESTS OF, AND ADVISABLE TO AVROBIO AND ITS STOCKHOLDERS AND HAS APPROVED EACH SUCH PROPOSAL. THE AVROBIO BOARD UNANIMOUSLY RECOMMENDS THAT AVROBIO STOCKHOLDERS VOTE “FOR” EACH SUCH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June 11, 2024 at 9:00 a.m. Eastern Time via the Internet. </w:t>
      </w:r>
    </w:p>
    <w:p>
      <w:pPr>
        <w:pStyle w:val="TextBody"/>
        <w:bidi w:val="0"/>
        <w:spacing w:before="240" w:after="0"/>
        <w:jc w:val="center"/>
        <w:rPr>
          <w:rFonts w:ascii="Times New Roman" w:hAnsi="Times New Roman"/>
          <w:sz w:val="20"/>
        </w:rPr>
      </w:pPr>
      <w:r>
        <w:rPr>
          <w:rFonts w:ascii="Times New Roman" w:hAnsi="Times New Roman"/>
          <w:sz w:val="20"/>
        </w:rPr>
        <w:t xml:space="preserve">The proxy statement/prospectus and annual report to stockholders are available at </w:t>
      </w:r>
      <w:r>
        <w:rPr>
          <w:rFonts w:ascii="Times New Roman" w:hAnsi="Times New Roman"/>
          <w:i/>
          <w:sz w:val="20"/>
        </w:rPr>
        <w:t>www.proxydocs.com/AVRO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AVROBIO Board, </w:t>
      </w:r>
    </w:p>
    <w:p>
      <w:pPr>
        <w:pStyle w:val="TextBody"/>
        <w:bidi w:val="0"/>
        <w:spacing w:before="960" w:after="0"/>
        <w:jc w:val="left"/>
        <w:rPr>
          <w:rFonts w:ascii="Times New Roman" w:hAnsi="Times New Roman"/>
          <w:sz w:val="20"/>
        </w:rPr>
      </w:pPr>
      <w:r>
        <w:rPr>
          <w:rFonts w:ascii="Times New Roman" w:hAnsi="Times New Roman"/>
          <w:sz w:val="20"/>
        </w:rPr>
        <w:t xml:space="preserve">Erik Ostrowski </w:t>
      </w:r>
    </w:p>
    <w:p>
      <w:pPr>
        <w:pStyle w:val="TextBody"/>
        <w:bidi w:val="0"/>
        <w:spacing w:before="120" w:after="0"/>
        <w:jc w:val="left"/>
        <w:rPr>
          <w:rFonts w:ascii="Times New Roman" w:hAnsi="Times New Roman"/>
          <w:sz w:val="20"/>
        </w:rPr>
      </w:pPr>
      <w:r>
        <w:rPr>
          <w:rFonts w:ascii="Times New Roman" w:hAnsi="Times New Roman"/>
          <w:sz w:val="20"/>
        </w:rPr>
        <w:t xml:space="preserve">President, Interim Chief Executive Officer, Chief Financial Officer and Treasurer </w:t>
      </w:r>
    </w:p>
    <w:p>
      <w:pPr>
        <w:pStyle w:val="TextBody"/>
        <w:bidi w:val="0"/>
        <w:spacing w:before="120" w:after="0"/>
        <w:jc w:val="left"/>
        <w:rPr/>
      </w:pPr>
      <w:r>
        <w:rPr/>
        <w:t>    </w:t>
      </w:r>
      <w:r>
        <w:rPr>
          <w:rFonts w:ascii="Times New Roman" w:hAnsi="Times New Roman"/>
          <w:sz w:val="20"/>
        </w:rPr>
        <w:t xml:space="preserve">, 2024 </w:t>
      </w:r>
    </w:p>
    <w:p>
      <w:pPr>
        <w:pStyle w:val="TextBody"/>
        <w:bidi w:val="0"/>
        <w:spacing w:before="480" w:after="0"/>
        <w:jc w:val="center"/>
        <w:rPr>
          <w:rFonts w:ascii="Times New Roman" w:hAnsi="Times New Roman"/>
          <w:b/>
          <w:sz w:val="20"/>
        </w:rPr>
      </w:pPr>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AVROBIO that is not included in or delivered with this document. You may obtain this information without charge through the Securities and Exchange Commission (“SEC”) website (</w:t>
      </w:r>
      <w:r>
        <w:rPr>
          <w:rFonts w:ascii="Times New Roman" w:hAnsi="Times New Roman"/>
          <w:i/>
          <w:sz w:val="20"/>
        </w:rPr>
        <w:t>www.sec.gov</w:t>
      </w:r>
      <w:r>
        <w:rPr>
          <w:rFonts w:ascii="Times New Roman" w:hAnsi="Times New Roman"/>
          <w:sz w:val="20"/>
        </w:rPr>
        <w:t xml:space="preserve">) or upon your written or oral request by contacting the Corporate Secretary of AVROBIO, Inc. by calling (617) 752-7011 or via email to CorporateSecretary@AVROBIO.com. </w:t>
      </w:r>
    </w:p>
    <w:p>
      <w:pPr>
        <w:pStyle w:val="TextBody"/>
        <w:bidi w:val="0"/>
        <w:spacing w:before="240" w:after="0"/>
        <w:jc w:val="left"/>
        <w:rPr>
          <w:rFonts w:ascii="Times New Roman" w:hAnsi="Times New Roman"/>
          <w:b/>
          <w:sz w:val="20"/>
        </w:rPr>
      </w:pPr>
      <w:r>
        <w:rPr>
          <w:rFonts w:ascii="Times New Roman" w:hAnsi="Times New Roman"/>
          <w:b/>
          <w:sz w:val="20"/>
        </w:rPr>
        <w:t xml:space="preserve">To ensure timely delivery of these documents, any request should be made no later than June 3, 2024 to receive them before the special meeting.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AVROBIO, please see the section titled “</w:t>
      </w:r>
      <w:r>
        <w:rPr>
          <w:rFonts w:ascii="Times New Roman" w:hAnsi="Times New Roman"/>
          <w:i/>
          <w:sz w:val="20"/>
        </w:rPr>
        <w:t>Where You Can Find More Information</w:t>
      </w:r>
      <w:r>
        <w:rPr>
          <w:rFonts w:ascii="Times New Roman" w:hAnsi="Times New Roman"/>
          <w:sz w:val="20"/>
        </w:rPr>
        <w:t xml:space="preserve">” beginning on page 476 of this proxy statement/prospectus.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8738" w:type="dxa"/>
        <w:jc w:val="left"/>
        <w:tblInd w:w="0" w:type="dxa"/>
        <w:tblLayout w:type="fixed"/>
        <w:tblCellMar>
          <w:top w:w="0" w:type="dxa"/>
          <w:left w:w="0" w:type="dxa"/>
          <w:bottom w:w="0" w:type="dxa"/>
          <w:right w:w="0" w:type="dxa"/>
        </w:tblCellMar>
      </w:tblPr>
      <w:tblGrid>
        <w:gridCol w:w="52"/>
        <w:gridCol w:w="82"/>
        <w:gridCol w:w="7969"/>
        <w:gridCol w:w="120"/>
        <w:gridCol w:w="60"/>
        <w:gridCol w:w="380"/>
        <w:gridCol w:w="75"/>
      </w:tblGrid>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79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03" w:type="dxa"/>
            <w:gridSpan w:val="3"/>
            <w:tcBorders/>
            <w:vAlign w:val="center"/>
          </w:tcPr>
          <w:p>
            <w:pPr>
              <w:pStyle w:val="TableContents"/>
              <w:bidi w:val="0"/>
              <w:spacing w:before="0" w:after="283"/>
              <w:jc w:val="left"/>
              <w:rPr/>
            </w:pPr>
            <w:hyperlink w:anchor="toc770053_1">
              <w:r>
                <w:rPr>
                  <w:rStyle w:val="InternetLink"/>
                </w:rPr>
                <w:t xml:space="preserve">QUESTIONS AND ANSWERS ABOUT THE MERGER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2">
              <w:r>
                <w:rPr>
                  <w:rStyle w:val="InternetLink"/>
                </w:rPr>
                <w:t xml:space="preserve">PROSPECTUS SUMMARY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
              <w:r>
                <w:rPr>
                  <w:rStyle w:val="InternetLink"/>
                  <w:rFonts w:ascii="Times New Roman" w:hAnsi="Times New Roman"/>
                  <w:sz w:val="20"/>
                </w:rPr>
                <w:t>The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
              <w:r>
                <w:rPr>
                  <w:rStyle w:val="InternetLink"/>
                  <w:rFonts w:ascii="Times New Roman" w:hAnsi="Times New Roman"/>
                  <w:sz w:val="20"/>
                </w:rPr>
                <w:t>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
              <w:r>
                <w:rPr>
                  <w:rStyle w:val="InternetLink"/>
                  <w:rFonts w:ascii="Times New Roman" w:hAnsi="Times New Roman"/>
                  <w:sz w:val="20"/>
                </w:rPr>
                <w:t>AVROBIO’s Reasons for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6">
              <w:r>
                <w:rPr>
                  <w:rStyle w:val="InternetLink"/>
                  <w:rFonts w:ascii="Times New Roman" w:hAnsi="Times New Roman"/>
                  <w:sz w:val="20"/>
                </w:rPr>
                <w:t>Recommendation of the AVROBIO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7">
              <w:r>
                <w:rPr>
                  <w:rStyle w:val="InternetLink"/>
                  <w:rFonts w:ascii="Times New Roman" w:hAnsi="Times New Roman"/>
                  <w:sz w:val="20"/>
                </w:rPr>
                <w:t>Interests of AVROBIO’s Directors and Executive Officers in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8">
              <w:r>
                <w:rPr>
                  <w:rStyle w:val="InternetLink"/>
                  <w:rFonts w:ascii="Times New Roman" w:hAnsi="Times New Roman"/>
                  <w:sz w:val="20"/>
                </w:rPr>
                <w:t>Interests of Tectonic’s Directors and Executive Officers in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9">
              <w:r>
                <w:rPr>
                  <w:rStyle w:val="InternetLink"/>
                  <w:rFonts w:ascii="Times New Roman" w:hAnsi="Times New Roman"/>
                  <w:sz w:val="20"/>
                </w:rPr>
                <w:t>Opinion of Houlihan Lokey to the AVROBIO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0">
              <w:r>
                <w:rPr>
                  <w:rStyle w:val="InternetLink"/>
                  <w:rFonts w:ascii="Times New Roman" w:hAnsi="Times New Roman"/>
                  <w:sz w:val="20"/>
                </w:rPr>
                <w:t>Management Following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1">
              <w:r>
                <w:rPr>
                  <w:rStyle w:val="InternetLink"/>
                  <w:rFonts w:ascii="Times New Roman" w:hAnsi="Times New Roman"/>
                  <w:sz w:val="20"/>
                </w:rPr>
                <w:t>Material U.S. Federal Income Tax Consequences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2">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3">
              <w:r>
                <w:rPr>
                  <w:rStyle w:val="InternetLink"/>
                  <w:rFonts w:ascii="Times New Roman" w:hAnsi="Times New Roman"/>
                  <w:sz w:val="20"/>
                </w:rPr>
                <w:t>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4">
              <w:r>
                <w:rPr>
                  <w:rStyle w:val="InternetLink"/>
                  <w:rFonts w:ascii="Times New Roman" w:hAnsi="Times New Roman"/>
                  <w:sz w:val="20"/>
                </w:rPr>
                <w:t>Nasdaq Stock Market 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5">
              <w:r>
                <w:rPr>
                  <w:rStyle w:val="InternetLink"/>
                  <w:rFonts w:ascii="Times New Roman" w:hAnsi="Times New Roman"/>
                  <w:sz w:val="20"/>
                </w:rPr>
                <w:t>Anticipated Accounting Treatment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6">
              <w:r>
                <w:rPr>
                  <w:rStyle w:val="InternetLink"/>
                  <w:rFonts w:ascii="Times New Roman" w:hAnsi="Times New Roman"/>
                  <w:sz w:val="20"/>
                </w:rPr>
                <w:t>Appraisal Rights and Dissenters’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7">
              <w:r>
                <w:rPr>
                  <w:rStyle w:val="InternetLink"/>
                  <w:rFonts w:ascii="Times New Roman" w:hAnsi="Times New Roman"/>
                  <w:sz w:val="20"/>
                </w:rPr>
                <w:t>Comparison of Stockholder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18">
              <w:r>
                <w:rPr>
                  <w:rStyle w:val="InternetLink"/>
                </w:rPr>
                <w:t xml:space="preserve">MARKET PRICE AND DIVIDEND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9">
              <w:r>
                <w:rPr>
                  <w:rStyle w:val="InternetLink"/>
                  <w:rFonts w:ascii="Times New Roman" w:hAnsi="Times New Roman"/>
                  <w:sz w:val="20"/>
                </w:rPr>
                <w:t xml:space="preserve">Dividends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20">
              <w:r>
                <w:rPr>
                  <w:rStyle w:val="InternetLink"/>
                </w:rPr>
                <w:t xml:space="preserve">RISK FACTORS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21">
              <w:r>
                <w:rPr>
                  <w:rStyle w:val="InternetLink"/>
                  <w:rFonts w:ascii="Times New Roman" w:hAnsi="Times New Roman"/>
                  <w:sz w:val="20"/>
                </w:rPr>
                <w:t>Risks Related to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22">
              <w:r>
                <w:rPr>
                  <w:rStyle w:val="InternetLink"/>
                  <w:rFonts w:ascii="Times New Roman" w:hAnsi="Times New Roman"/>
                  <w:sz w:val="20"/>
                </w:rPr>
                <w:t>Risks Related to the Proposed Reverse Stock Split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24">
              <w:r>
                <w:rPr>
                  <w:rStyle w:val="InternetLink"/>
                  <w:rFonts w:ascii="Times New Roman" w:hAnsi="Times New Roman"/>
                  <w:sz w:val="20"/>
                </w:rPr>
                <w:t>Risks Related to AVROBIO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3">
              <w:r>
                <w:rPr>
                  <w:rStyle w:val="InternetLink"/>
                  <w:rFonts w:ascii="Times New Roman" w:hAnsi="Times New Roman"/>
                  <w:sz w:val="20"/>
                </w:rPr>
                <w:t>Risks Related to Tectonic</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4">
              <w:r>
                <w:rPr>
                  <w:rStyle w:val="InternetLink"/>
                  <w:rFonts w:ascii="Times New Roman" w:hAnsi="Times New Roman"/>
                  <w:sz w:val="20"/>
                </w:rPr>
                <w:t>Risks Related to the Combined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159</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35">
              <w:r>
                <w:rPr>
                  <w:rStyle w:val="InternetLink"/>
                </w:rPr>
                <w:t xml:space="preserve">CAUTIONARY NOTE REGARDING FORWARD-LOOKING STATEMENTS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171</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36">
              <w:r>
                <w:rPr>
                  <w:rStyle w:val="InternetLink"/>
                </w:rPr>
                <w:t xml:space="preserve">THE SPECIAL MEETING OF AVROBIO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7">
              <w:r>
                <w:rPr>
                  <w:rStyle w:val="InternetLink"/>
                  <w:rFonts w:ascii="Times New Roman" w:hAnsi="Times New Roman"/>
                  <w:sz w:val="20"/>
                </w:rPr>
                <w:t>Date, Time and Place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8">
              <w:r>
                <w:rPr>
                  <w:rStyle w:val="InternetLink"/>
                  <w:rFonts w:ascii="Times New Roman" w:hAnsi="Times New Roman"/>
                  <w:sz w:val="20"/>
                </w:rPr>
                <w:t>Purposes of the Special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9">
              <w:r>
                <w:rPr>
                  <w:rStyle w:val="InternetLink"/>
                  <w:rFonts w:ascii="Times New Roman" w:hAnsi="Times New Roman"/>
                  <w:sz w:val="20"/>
                </w:rPr>
                <w:t>Recommendation of the AVROBIO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0">
              <w:r>
                <w:rPr>
                  <w:rStyle w:val="InternetLink"/>
                  <w:rFonts w:ascii="Times New Roman" w:hAnsi="Times New Roman"/>
                  <w:sz w:val="20"/>
                </w:rPr>
                <w:t>Record Date and Voting Power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175</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1">
              <w:r>
                <w:rPr>
                  <w:rStyle w:val="InternetLink"/>
                  <w:rFonts w:ascii="Times New Roman" w:hAnsi="Times New Roman"/>
                  <w:sz w:val="20"/>
                </w:rPr>
                <w:t>Voting and Revocation of Proxies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175</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2">
              <w:r>
                <w:rPr>
                  <w:rStyle w:val="InternetLink"/>
                  <w:rFonts w:ascii="Times New Roman" w:hAnsi="Times New Roman"/>
                  <w:sz w:val="20"/>
                </w:rPr>
                <w:t>Required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3">
              <w:r>
                <w:rPr>
                  <w:rStyle w:val="InternetLink"/>
                  <w:rFonts w:ascii="Times New Roman" w:hAnsi="Times New Roman"/>
                  <w:sz w:val="20"/>
                </w:rPr>
                <w:t>Solicitation of Proxies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4">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178</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45">
              <w:r>
                <w:rPr>
                  <w:rStyle w:val="InternetLink"/>
                </w:rPr>
                <w:t xml:space="preserve">THE MERGER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179</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6">
              <w:r>
                <w:rPr>
                  <w:rStyle w:val="InternetLink"/>
                  <w:rFonts w:ascii="Times New Roman" w:hAnsi="Times New Roman"/>
                  <w:sz w:val="20"/>
                </w:rPr>
                <w:t>Background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179</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7">
              <w:r>
                <w:rPr>
                  <w:rStyle w:val="InternetLink"/>
                  <w:rFonts w:ascii="Times New Roman" w:hAnsi="Times New Roman"/>
                  <w:sz w:val="20"/>
                </w:rPr>
                <w:t>AVROBIO’s Reasons for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197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8">
              <w:r>
                <w:rPr>
                  <w:rStyle w:val="InternetLink"/>
                  <w:rFonts w:ascii="Times New Roman" w:hAnsi="Times New Roman"/>
                  <w:sz w:val="20"/>
                </w:rPr>
                <w:t>Opinion of Houlihan Lokey to the AVROBIO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208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9">
              <w:r>
                <w:rPr>
                  <w:rStyle w:val="InternetLink"/>
                  <w:rFonts w:ascii="Times New Roman" w:hAnsi="Times New Roman"/>
                  <w:sz w:val="20"/>
                </w:rPr>
                <w:t>Interests of AVROBIO’s Directors and Executive Officers in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9a">
              <w:r>
                <w:rPr>
                  <w:rStyle w:val="InternetLink"/>
                  <w:rFonts w:ascii="Times New Roman" w:hAnsi="Times New Roman"/>
                  <w:sz w:val="20"/>
                </w:rPr>
                <w:t>Interests of Tectonic’s Directors and Executive Officers in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0">
              <w:r>
                <w:rPr>
                  <w:rStyle w:val="InternetLink"/>
                  <w:rFonts w:ascii="Times New Roman" w:hAnsi="Times New Roman"/>
                  <w:sz w:val="20"/>
                </w:rPr>
                <w:t>Form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1">
              <w:r>
                <w:rPr>
                  <w:rStyle w:val="InternetLink"/>
                  <w:rFonts w:ascii="Times New Roman" w:hAnsi="Times New Roman"/>
                  <w:sz w:val="20"/>
                </w:rPr>
                <w:t>Merger Consideration and Adjustment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2">
              <w:r>
                <w:rPr>
                  <w:rStyle w:val="InternetLink"/>
                  <w:rFonts w:ascii="Times New Roman" w:hAnsi="Times New Roman"/>
                  <w:sz w:val="20"/>
                </w:rPr>
                <w:t>Calculation of AVROBIO’s Net Cash</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3">
              <w:r>
                <w:rPr>
                  <w:rStyle w:val="InternetLink"/>
                  <w:rFonts w:ascii="Times New Roman" w:hAnsi="Times New Roman"/>
                  <w:sz w:val="20"/>
                </w:rPr>
                <w:t>Procedures for Exchanging Stock Certificates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230</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4">
              <w:r>
                <w:rPr>
                  <w:rStyle w:val="InternetLink"/>
                  <w:rFonts w:ascii="Times New Roman" w:hAnsi="Times New Roman"/>
                  <w:sz w:val="20"/>
                </w:rPr>
                <w:t>Effective Time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5">
              <w:r>
                <w:rPr>
                  <w:rStyle w:val="InternetLink"/>
                  <w:rFonts w:ascii="Times New Roman" w:hAnsi="Times New Roman"/>
                  <w:sz w:val="20"/>
                </w:rPr>
                <w:t>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6">
              <w:r>
                <w:rPr>
                  <w:rStyle w:val="InternetLink"/>
                  <w:rFonts w:ascii="Times New Roman" w:hAnsi="Times New Roman"/>
                  <w:sz w:val="20"/>
                </w:rPr>
                <w:t>Material U.S. Federal Income Tax Consequences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7">
              <w:r>
                <w:rPr>
                  <w:rStyle w:val="InternetLink"/>
                  <w:rFonts w:ascii="Times New Roman" w:hAnsi="Times New Roman"/>
                  <w:sz w:val="20"/>
                </w:rPr>
                <w:t>Nasdaq Stock Market 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8">
              <w:r>
                <w:rPr>
                  <w:rStyle w:val="InternetLink"/>
                  <w:rFonts w:ascii="Times New Roman" w:hAnsi="Times New Roman"/>
                  <w:sz w:val="20"/>
                </w:rPr>
                <w:t>Anticipated Accounting Treatment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235</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9">
              <w:r>
                <w:rPr>
                  <w:rStyle w:val="InternetLink"/>
                  <w:rFonts w:ascii="Times New Roman" w:hAnsi="Times New Roman"/>
                  <w:sz w:val="20"/>
                </w:rPr>
                <w:t>Appraisal Rights and Dissenters’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61"/>
        <w:gridCol w:w="99"/>
        <w:gridCol w:w="9409"/>
        <w:gridCol w:w="120"/>
        <w:gridCol w:w="60"/>
        <w:gridCol w:w="380"/>
        <w:gridCol w:w="76"/>
      </w:tblGrid>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4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283"/>
              <w:jc w:val="left"/>
              <w:rPr/>
            </w:pPr>
            <w:hyperlink w:anchor="toc770053_60">
              <w:r>
                <w:rPr>
                  <w:rStyle w:val="InternetLink"/>
                </w:rPr>
                <w:t xml:space="preserve">THE MERGER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1">
              <w:r>
                <w:rPr>
                  <w:rStyle w:val="InternetLink"/>
                  <w:rFonts w:ascii="Times New Roman" w:hAnsi="Times New Roman"/>
                  <w:sz w:val="20"/>
                </w:rPr>
                <w:t>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2">
              <w:r>
                <w:rPr>
                  <w:rStyle w:val="InternetLink"/>
                  <w:rFonts w:ascii="Times New Roman" w:hAnsi="Times New Roman"/>
                  <w:sz w:val="20"/>
                </w:rPr>
                <w:t>Completion and Effectiveness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3">
              <w:r>
                <w:rPr>
                  <w:rStyle w:val="InternetLink"/>
                  <w:rFonts w:ascii="Times New Roman" w:hAnsi="Times New Roman"/>
                  <w:sz w:val="20"/>
                </w:rPr>
                <w:t>Merger Consideration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4">
              <w:r>
                <w:rPr>
                  <w:rStyle w:val="InternetLink"/>
                  <w:rFonts w:ascii="Times New Roman" w:hAnsi="Times New Roman"/>
                  <w:sz w:val="20"/>
                </w:rPr>
                <w:t>Exchange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240</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5">
              <w:r>
                <w:rPr>
                  <w:rStyle w:val="InternetLink"/>
                  <w:rFonts w:ascii="Times New Roman" w:hAnsi="Times New Roman"/>
                  <w:sz w:val="20"/>
                </w:rPr>
                <w:t>Calculation of AVROBIO’s Net Cash</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242</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6">
              <w:r>
                <w:rPr>
                  <w:rStyle w:val="InternetLink"/>
                  <w:rFonts w:ascii="Times New Roman" w:hAnsi="Times New Roman"/>
                  <w:sz w:val="20"/>
                </w:rPr>
                <w:t>Treatment of Tectonic Options and the Tectonic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243</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7">
              <w:r>
                <w:rPr>
                  <w:rStyle w:val="InternetLink"/>
                  <w:rFonts w:ascii="Times New Roman" w:hAnsi="Times New Roman"/>
                  <w:sz w:val="20"/>
                </w:rPr>
                <w:t>Treatment of AVROBIO Common Stock, AVROBIO Options and AVROBIO RSUs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8">
              <w:r>
                <w:rPr>
                  <w:rStyle w:val="InternetLink"/>
                  <w:rFonts w:ascii="Times New Roman" w:hAnsi="Times New Roman"/>
                  <w:sz w:val="20"/>
                </w:rPr>
                <w:t>Procedures for Exchanging Tectonic Stock Certificates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9">
              <w:r>
                <w:rPr>
                  <w:rStyle w:val="InternetLink"/>
                  <w:rFonts w:ascii="Times New Roman" w:hAnsi="Times New Roman"/>
                  <w:sz w:val="20"/>
                </w:rPr>
                <w:t>Amendment of the Amended and Restated Certificate of Incorporation of AVROBIO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245</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0">
              <w:r>
                <w:rPr>
                  <w:rStyle w:val="InternetLink"/>
                  <w:rFonts w:ascii="Times New Roman" w:hAnsi="Times New Roman"/>
                  <w:sz w:val="20"/>
                </w:rPr>
                <w:t>Representations and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246</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1">
              <w:r>
                <w:rPr>
                  <w:rStyle w:val="InternetLink"/>
                  <w:rFonts w:ascii="Times New Roman" w:hAnsi="Times New Roman"/>
                  <w:sz w:val="20"/>
                </w:rPr>
                <w:t>Covenants; Conduct of Business Pending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247</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2">
              <w:r>
                <w:rPr>
                  <w:rStyle w:val="InternetLink"/>
                  <w:rFonts w:ascii="Times New Roman" w:hAnsi="Times New Roman"/>
                  <w:sz w:val="20"/>
                </w:rPr>
                <w:t>CVRs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250</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3">
              <w:r>
                <w:rPr>
                  <w:rStyle w:val="InternetLink"/>
                  <w:rFonts w:ascii="Times New Roman" w:hAnsi="Times New Roman"/>
                  <w:sz w:val="20"/>
                </w:rPr>
                <w:t>Non-Solicitation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250</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4">
              <w:r>
                <w:rPr>
                  <w:rStyle w:val="InternetLink"/>
                  <w:rFonts w:ascii="Times New Roman" w:hAnsi="Times New Roman"/>
                  <w:sz w:val="20"/>
                </w:rPr>
                <w:t>Board Recommendation Change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252</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5">
              <w:r>
                <w:rPr>
                  <w:rStyle w:val="InternetLink"/>
                  <w:rFonts w:ascii="Times New Roman" w:hAnsi="Times New Roman"/>
                  <w:sz w:val="20"/>
                </w:rPr>
                <w:t>Required Stockholder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6">
              <w:r>
                <w:rPr>
                  <w:rStyle w:val="InternetLink"/>
                  <w:rFonts w:ascii="Times New Roman" w:hAnsi="Times New Roman"/>
                  <w:sz w:val="20"/>
                </w:rPr>
                <w:t>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7">
              <w:r>
                <w:rPr>
                  <w:rStyle w:val="InternetLink"/>
                  <w:rFonts w:ascii="Times New Roman" w:hAnsi="Times New Roman"/>
                  <w:sz w:val="20"/>
                </w:rPr>
                <w:t>Indemnification and Insurance for Directors and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8">
              <w:r>
                <w:rPr>
                  <w:rStyle w:val="InternetLink"/>
                  <w:rFonts w:ascii="Times New Roman" w:hAnsi="Times New Roman"/>
                  <w:sz w:val="20"/>
                </w:rPr>
                <w:t>Additional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255</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9">
              <w:r>
                <w:rPr>
                  <w:rStyle w:val="InternetLink"/>
                  <w:rFonts w:ascii="Times New Roman" w:hAnsi="Times New Roman"/>
                  <w:sz w:val="20"/>
                </w:rPr>
                <w:t>Conditions to the Completion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256</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0">
              <w:r>
                <w:rPr>
                  <w:rStyle w:val="InternetLink"/>
                  <w:rFonts w:ascii="Times New Roman" w:hAnsi="Times New Roman"/>
                  <w:sz w:val="20"/>
                </w:rPr>
                <w:t>Termination and Termination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1">
              <w:r>
                <w:rPr>
                  <w:rStyle w:val="InternetLink"/>
                  <w:rFonts w:ascii="Times New Roman" w:hAnsi="Times New Roman"/>
                  <w:sz w:val="20"/>
                </w:rPr>
                <w:t>Amendment and Waiver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261</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2">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262</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83">
              <w:r>
                <w:rPr>
                  <w:rStyle w:val="InternetLink"/>
                </w:rPr>
                <w:t xml:space="preserve">AGREEMENTS RELATED TO THE MERGER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263</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4">
              <w:r>
                <w:rPr>
                  <w:rStyle w:val="InternetLink"/>
                  <w:rFonts w:ascii="Times New Roman" w:hAnsi="Times New Roman"/>
                  <w:sz w:val="20"/>
                </w:rPr>
                <w:t>Support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263</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5">
              <w:r>
                <w:rPr>
                  <w:rStyle w:val="InternetLink"/>
                  <w:rFonts w:ascii="Times New Roman" w:hAnsi="Times New Roman"/>
                  <w:sz w:val="20"/>
                </w:rPr>
                <w:t>Lock-Up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6">
              <w:r>
                <w:rPr>
                  <w:rStyle w:val="InternetLink"/>
                  <w:rFonts w:ascii="Times New Roman" w:hAnsi="Times New Roman"/>
                  <w:sz w:val="20"/>
                </w:rPr>
                <w:t>Subscription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7">
              <w:r>
                <w:rPr>
                  <w:rStyle w:val="InternetLink"/>
                  <w:rFonts w:ascii="Times New Roman" w:hAnsi="Times New Roman"/>
                  <w:sz w:val="20"/>
                </w:rPr>
                <w:t>CVR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266</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88">
              <w:r>
                <w:rPr>
                  <w:rStyle w:val="InternetLink"/>
                </w:rPr>
                <w:t xml:space="preserve">AVROBIO DIRECTORS, OFFICERS AND CORPORATE GOVERNANCE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273</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96">
              <w:r>
                <w:rPr>
                  <w:rStyle w:val="InternetLink"/>
                </w:rPr>
                <w:t xml:space="preserve">AVROBIO EXECUTIVE COMPENSATION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284</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98">
              <w:r>
                <w:rPr>
                  <w:rStyle w:val="InternetLink"/>
                </w:rPr>
                <w:t>AVROBIO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294</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99">
              <w:r>
                <w:rPr>
                  <w:rStyle w:val="InternetLink"/>
                </w:rPr>
                <w:t>AVROBIO 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296</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00">
              <w:r>
                <w:rPr>
                  <w:rStyle w:val="InternetLink"/>
                </w:rPr>
                <w:t>TECTONIC EXECUTIVE AND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297</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08">
              <w:r>
                <w:rPr>
                  <w:rStyle w:val="InternetLink"/>
                </w:rPr>
                <w:t xml:space="preserve">MATTERS BEING SUBMITTED TO A VOTE OF AVROBIO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307</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09">
              <w:r>
                <w:rPr>
                  <w:rStyle w:val="InternetLink"/>
                  <w:rFonts w:ascii="Times New Roman" w:hAnsi="Times New Roman"/>
                  <w:sz w:val="20"/>
                </w:rPr>
                <w:t>PROPOSAL NO. 1—THE NASDAQ STOCK ISSUANCE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307</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0">
              <w:r>
                <w:rPr>
                  <w:rStyle w:val="InternetLink"/>
                  <w:rFonts w:ascii="Times New Roman" w:hAnsi="Times New Roman"/>
                  <w:sz w:val="20"/>
                </w:rPr>
                <w:t>PROPOSAL NO. 2—THE REVERSE STOCK SPLIT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1">
              <w:r>
                <w:rPr>
                  <w:rStyle w:val="InternetLink"/>
                  <w:rFonts w:ascii="Times New Roman" w:hAnsi="Times New Roman"/>
                  <w:sz w:val="20"/>
                </w:rPr>
                <w:t>PROPOSAL NO. 3—THE OFFICER EXCULPATION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316</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2">
              <w:r>
                <w:rPr>
                  <w:rStyle w:val="InternetLink"/>
                  <w:rFonts w:ascii="Times New Roman" w:hAnsi="Times New Roman"/>
                  <w:sz w:val="20"/>
                </w:rPr>
                <w:t>PROPOSAL NO. 4—THE INCENTIVE PLAN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318</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3">
              <w:r>
                <w:rPr>
                  <w:rStyle w:val="InternetLink"/>
                  <w:rFonts w:ascii="Times New Roman" w:hAnsi="Times New Roman"/>
                  <w:sz w:val="20"/>
                </w:rPr>
                <w:t>PROPOSAL NO. 5—THE ESPP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328</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4">
              <w:r>
                <w:rPr>
                  <w:rStyle w:val="InternetLink"/>
                  <w:rFonts w:ascii="Times New Roman" w:hAnsi="Times New Roman"/>
                  <w:sz w:val="20"/>
                </w:rPr>
                <w:t>PROPOSAL NO. 6—EXECUTIVE COMPENSATION ARRANGEMENTS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332</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5">
              <w:r>
                <w:rPr>
                  <w:rStyle w:val="InternetLink"/>
                  <w:rFonts w:ascii="Times New Roman" w:hAnsi="Times New Roman"/>
                  <w:sz w:val="20"/>
                </w:rPr>
                <w:t>PROPOSAL NO. 7—THE ADJOURNMENT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333</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16">
              <w:r>
                <w:rPr>
                  <w:rStyle w:val="InternetLink"/>
                </w:rPr>
                <w:t xml:space="preserve">AVROBIO’S BUSINESS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334</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27">
              <w:r>
                <w:rPr>
                  <w:rStyle w:val="InternetLink"/>
                </w:rPr>
                <w:t xml:space="preserve">TECTONIC’S BUSINESS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358</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53">
              <w:r>
                <w:rPr>
                  <w:rStyle w:val="InternetLink"/>
                </w:rPr>
                <w:t xml:space="preserve">AVROBIO’S MANAGEMENT’S DISCUSSION AND ANALYSIS OF FINANCIAL CONDITION AND RESULTS OF OPERATIONS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397</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60">
              <w:r>
                <w:rPr>
                  <w:rStyle w:val="InternetLink"/>
                </w:rPr>
                <w:t xml:space="preserve">TECTONIC MANAGEMENT’S DISCUSSION AND ANALYSIS OF FINANCIAL CONDITION AND RESULTS OF OPERATIONS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410</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70">
              <w:r>
                <w:rPr>
                  <w:rStyle w:val="InternetLink"/>
                </w:rPr>
                <w:t xml:space="preserve">MANAGEMENT FOLLOWING THE MERGER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427</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77">
              <w:r>
                <w:rPr>
                  <w:rStyle w:val="InternetLink"/>
                </w:rPr>
                <w:t xml:space="preserve">CERTAIN RELATIONSHIPS AND RELATED PARTY TRANSACTIONS OF THE COMBINED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434</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80">
              <w:r>
                <w:rPr>
                  <w:rStyle w:val="InternetLink"/>
                </w:rPr>
                <w:t>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440</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81">
              <w:r>
                <w:rPr>
                  <w:rStyle w:val="InternetLink"/>
                </w:rPr>
                <w:t>NOTES TO 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444</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371"/>
        <w:gridCol w:w="2588"/>
        <w:gridCol w:w="2598"/>
        <w:gridCol w:w="120"/>
        <w:gridCol w:w="60"/>
        <w:gridCol w:w="391"/>
        <w:gridCol w:w="77"/>
      </w:tblGrid>
      <w:tr>
        <w:trPr/>
        <w:tc>
          <w:tcPr>
            <w:tcW w:w="4371"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557" w:type="dxa"/>
            <w:gridSpan w:val="3"/>
            <w:tcBorders/>
            <w:vAlign w:val="center"/>
          </w:tcPr>
          <w:p>
            <w:pPr>
              <w:pStyle w:val="TableContents"/>
              <w:bidi w:val="0"/>
              <w:spacing w:before="0" w:after="283"/>
              <w:jc w:val="left"/>
              <w:rPr/>
            </w:pPr>
            <w:hyperlink w:anchor="toc770053_182">
              <w:r>
                <w:rPr>
                  <w:rStyle w:val="InternetLink"/>
                </w:rPr>
                <w:t>DESCRIPTION OF AVROBIO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453</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82a">
              <w:r>
                <w:rPr>
                  <w:rStyle w:val="InternetLink"/>
                </w:rPr>
                <w:t>SECURITIES ACT RESTRICTIONS ON RESALE OF AVROBIO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456</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87">
              <w:r>
                <w:rPr>
                  <w:rStyle w:val="InternetLink"/>
                </w:rPr>
                <w:t xml:space="preserve">COMPARISON OF RIGHTS OF HOLDERS OF AVROBIO CAPITAL STOCK AND TECTONIC CAPITAL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457</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88">
              <w:r>
                <w:rPr>
                  <w:rStyle w:val="InternetLink"/>
                </w:rPr>
                <w:t xml:space="preserve">PRINCIPAL AVROBIO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467</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89">
              <w:r>
                <w:rPr>
                  <w:rStyle w:val="InternetLink"/>
                </w:rPr>
                <w:t xml:space="preserve">PRINCIPAL TECTONIC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469</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0">
              <w:r>
                <w:rPr>
                  <w:rStyle w:val="InternetLink"/>
                </w:rPr>
                <w:t xml:space="preserve">PRINCIPAL STOCKHOLDERS OF THE COMBINED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472</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1">
              <w:r>
                <w:rPr>
                  <w:rStyle w:val="InternetLink"/>
                </w:rPr>
                <w:t xml:space="preserve">LEGAL MATTERS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476</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2">
              <w:r>
                <w:rPr>
                  <w:rStyle w:val="InternetLink"/>
                </w:rPr>
                <w:t xml:space="preserve">EXPERTS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476</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3">
              <w:r>
                <w:rPr>
                  <w:rStyle w:val="InternetLink"/>
                </w:rPr>
                <w:t xml:space="preserve">WHERE YOU CAN FIND MORE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476</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4">
              <w:r>
                <w:rPr>
                  <w:rStyle w:val="InternetLink"/>
                </w:rPr>
                <w:t xml:space="preserve">STOCKHOLDER PROPOSALS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478</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8">
              <w:r>
                <w:rPr>
                  <w:rStyle w:val="InternetLink"/>
                </w:rPr>
                <w:t xml:space="preserve">INDEX TO CONSOLIDATED FINANCIAL STATEMENTS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F-1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1">
              <w:r>
                <w:rPr>
                  <w:rStyle w:val="InternetLink"/>
                  <w:rFonts w:ascii="Times New Roman" w:hAnsi="Times New Roman"/>
                  <w:sz w:val="20"/>
                </w:rPr>
                <w:t>ANNEX A AGREEMENT AND PLAN OF MERGER AND REORGANIZATION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A-1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2">
              <w:r>
                <w:rPr>
                  <w:rStyle w:val="InternetLink"/>
                  <w:rFonts w:ascii="Times New Roman" w:hAnsi="Times New Roman"/>
                  <w:sz w:val="20"/>
                </w:rPr>
                <w:t>ANNEX B OPINION OF HOULIHAN LOKEY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B-1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3">
              <w:r>
                <w:rPr>
                  <w:rStyle w:val="InternetLink"/>
                  <w:rFonts w:ascii="Times New Roman" w:hAnsi="Times New Roman"/>
                  <w:sz w:val="20"/>
                </w:rPr>
                <w:t>ANNEX C FORM OF AVROBIO SUPPORT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C-1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4">
              <w:r>
                <w:rPr>
                  <w:rStyle w:val="InternetLink"/>
                  <w:rFonts w:ascii="Times New Roman" w:hAnsi="Times New Roman"/>
                  <w:sz w:val="20"/>
                </w:rPr>
                <w:t>ANNEX D FORM OF TECTONIC SUPPORT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D-1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5">
              <w:r>
                <w:rPr>
                  <w:rStyle w:val="InternetLink"/>
                  <w:rFonts w:ascii="Times New Roman" w:hAnsi="Times New Roman"/>
                  <w:sz w:val="20"/>
                </w:rPr>
                <w:t>ANNEX E FORM OF LOCK-UP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E-1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6">
              <w:r>
                <w:rPr>
                  <w:rStyle w:val="InternetLink"/>
                  <w:rFonts w:ascii="Times New Roman" w:hAnsi="Times New Roman"/>
                  <w:sz w:val="20"/>
                </w:rPr>
                <w:t>ANNEX F FORM OF CVR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F-1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7">
              <w:r>
                <w:rPr>
                  <w:rStyle w:val="InternetLink"/>
                  <w:rFonts w:ascii="Times New Roman" w:hAnsi="Times New Roman"/>
                  <w:sz w:val="20"/>
                </w:rPr>
                <w:t xml:space="preserve">ANNEX G FORM OF AVROBIO CERTIFICATE OF AMENDMENT FOR THE REVERSE STOCK SPLIT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G-1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8">
              <w:r>
                <w:rPr>
                  <w:rStyle w:val="InternetLink"/>
                  <w:rFonts w:ascii="Times New Roman" w:hAnsi="Times New Roman"/>
                  <w:sz w:val="20"/>
                </w:rPr>
                <w:t>ANNEX H FORM OF AVROBIO CERTIFICATE OF AMENDMENT FOR OFFICER EXCULPATION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H-1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9">
              <w:r>
                <w:rPr>
                  <w:rStyle w:val="InternetLink"/>
                  <w:rFonts w:ascii="Times New Roman" w:hAnsi="Times New Roman"/>
                  <w:sz w:val="20"/>
                </w:rPr>
                <w:t>ANNEX I FORM OF 2024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I-1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10">
              <w:r>
                <w:rPr>
                  <w:rStyle w:val="InternetLink"/>
                  <w:rFonts w:ascii="Times New Roman" w:hAnsi="Times New Roman"/>
                  <w:sz w:val="20"/>
                </w:rPr>
                <w:t>ANNEX J FORM OF 2024 ESPP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J-1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11">
              <w:r>
                <w:rPr>
                  <w:rStyle w:val="InternetLink"/>
                  <w:rFonts w:ascii="Times New Roman" w:hAnsi="Times New Roman"/>
                  <w:sz w:val="20"/>
                </w:rPr>
                <w:t>ANNEX K SECTION 262 OF THE DELAWARE GENERAL CORPORATION LAW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K-1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12">
              <w:r>
                <w:rPr>
                  <w:rStyle w:val="InternetLink"/>
                  <w:rFonts w:ascii="Times New Roman" w:hAnsi="Times New Roman"/>
                  <w:sz w:val="20"/>
                </w:rPr>
                <w:t xml:space="preserve">ANNEX L FORM OF AVROBIO, INC. PROXY CARD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L-1</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 w:name="toc770053_1"/>
      <w:bookmarkEnd w:id="3"/>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sz w:val="20"/>
        </w:rPr>
      </w:pPr>
      <w:r>
        <w:rPr>
          <w:rFonts w:ascii="Times New Roman" w:hAnsi="Times New Roman"/>
          <w:i/>
          <w:sz w:val="20"/>
        </w:rPr>
        <w:t>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rPr>
        <w:t> </w:t>
      </w:r>
      <w:r>
        <w:rPr>
          <w:rFonts w:ascii="Times New Roman" w:hAnsi="Times New Roman"/>
          <w:i/>
          <w:sz w:val="20"/>
        </w:rPr>
        <w:t>2 of this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283"/>
              <w:jc w:val="left"/>
              <w:rPr>
                <w:b/>
              </w:rPr>
            </w:pPr>
            <w:r>
              <w:rPr>
                <w:b/>
              </w:rPr>
              <w:t>Q:</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January 30, 2024, AVROBIO, Tectonic and Merger Sub entered into the Merger Agreement, a copy of which is attached as </w:t>
            </w:r>
            <w:r>
              <w:rPr>
                <w:rFonts w:ascii="Times New Roman" w:hAnsi="Times New Roman"/>
                <w:sz w:val="20"/>
                <w:u w:val="single"/>
              </w:rPr>
              <w:t>Annex A</w:t>
            </w:r>
            <w:r>
              <w:rPr>
                <w:rFonts w:ascii="Times New Roman" w:hAnsi="Times New Roman"/>
                <w:sz w:val="20"/>
              </w:rPr>
              <w:t xml:space="preserve">. The Merger Agreement contains the terms and conditions of the proposed merger. Pursuant to the Merger Agreement, Merger Sub will merge with and into Tectonic, with Tectonic surviving as a wholly owned subsidiary of AVROBIO. After the completion of the merger, AVROBIO will change its corporate name to “Tectonic Therapeutic, Inc.” </w:t>
            </w:r>
          </w:p>
        </w:tc>
      </w:tr>
    </w:tbl>
    <w:p>
      <w:pPr>
        <w:pStyle w:val="TextBody"/>
        <w:bidi w:val="0"/>
        <w:spacing w:before="120" w:after="0"/>
        <w:jc w:val="left"/>
        <w:rPr>
          <w:rFonts w:ascii="Times New Roman" w:hAnsi="Times New Roman"/>
          <w:sz w:val="20"/>
        </w:rPr>
      </w:pPr>
      <w:r>
        <w:rPr>
          <w:rFonts w:ascii="Times New Roman" w:hAnsi="Times New Roman"/>
          <w:sz w:val="20"/>
        </w:rPr>
        <w:t>At the effective time, each share of Tectonic common stock, after giving effect to the conversion of each share of Tectonic preferred stock into Tectonic common stock as well as the issuance of the private financing shares and of the Company SAFEs, will be converted into the right to receive a number of shares of AVROBIO common stock equal to the exchange ratio described in more detail in the section titled “</w:t>
      </w:r>
      <w:r>
        <w:rPr>
          <w:rFonts w:ascii="Times New Roman" w:hAnsi="Times New Roman"/>
          <w:i/>
          <w:sz w:val="20"/>
        </w:rPr>
        <w:t>The Merger Agreement—Exchange Ratio</w:t>
      </w:r>
      <w:r>
        <w:rPr>
          <w:rFonts w:ascii="Times New Roman" w:hAnsi="Times New Roman"/>
          <w:sz w:val="20"/>
        </w:rPr>
        <w:t xml:space="preserve">” beginning on page 240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AVROBIO will assume Tectonic’s Equity Incentive Plan, as amended (the “Tectonic Equity Incentive Plan”). Each outstanding and unexercised option to purchase shares of Tectonic common stock immediately prior to the effective time will be assumed by AVROBIO and will be converted into an option to purchase shares of AVROBIO common stock, with necessary adjustments to the number of shares and exercise price to reflect the exchange ratio. </w:t>
      </w:r>
    </w:p>
    <w:p>
      <w:pPr>
        <w:pStyle w:val="TextBody"/>
        <w:bidi w:val="0"/>
        <w:spacing w:before="120" w:after="0"/>
        <w:jc w:val="left"/>
        <w:rPr>
          <w:rFonts w:ascii="Times New Roman" w:hAnsi="Times New Roman"/>
          <w:sz w:val="20"/>
        </w:rPr>
      </w:pPr>
      <w:r>
        <w:rPr>
          <w:rFonts w:ascii="Times New Roman" w:hAnsi="Times New Roman"/>
          <w:sz w:val="20"/>
        </w:rPr>
        <w:t xml:space="preserve">Each share of AVROBIO common stock that is issued and outstanding at the effective time will remain issued and outstanding subject to the proposed reverse stock split and any extension to the expiration time provided for in connection with the merger, will be unaffected by the merger. </w:t>
      </w:r>
    </w:p>
    <w:p>
      <w:pPr>
        <w:pStyle w:val="TextBody"/>
        <w:bidi w:val="0"/>
        <w:spacing w:before="120" w:after="0"/>
        <w:jc w:val="left"/>
        <w:rPr>
          <w:rFonts w:ascii="Times New Roman" w:hAnsi="Times New Roman"/>
          <w:sz w:val="20"/>
        </w:rPr>
      </w:pPr>
      <w:r>
        <w:rPr>
          <w:rFonts w:ascii="Times New Roman" w:hAnsi="Times New Roman"/>
          <w:sz w:val="20"/>
        </w:rPr>
        <w:t xml:space="preserve">Further, the Merger Agreement provides that (i) the vesting and exercisability of each unexpired, unexercised and unvested “in the money” AVROBIO option outstanding as of immediately prior to the effective time and (A) is held by a current AVROBIO employee, director or consultant as of the date of the Merger Agreement will be accelerated in full effective as of immediately prior to the effective time and (B) each “in the money” AVROBIO option that is unexpired, unexercised, and outstanding as of immediately prior to the effective time and is held by a current AVROBIO employee director or consultant as of the date of the Merger Agreement who is or will be party to a lock-up agreement will remain outstanding and exercisable until six months after the expiration of the applicable “restricted period” and (ii) the vesting and exercisability of 50% of certain unexpired, unexercised and unvested AVROBIO options that remain outstanding as of immediately prior to the effective time (A) that is held by a current AVROBIO employee, director, or consultant as of the date of the Merger Agreement will be accelerated in full effective as of immediately prior to the effective time and (B) each such option held by such person who is or will be party to a lock-up agreement will remain outstanding and exercisable until six months after the expiration of the applicable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AVROBIO RSU that vests solely on the basis of time will be accelerated in full as of immediately prior to the effective time, contingent on the occurrence of the merger.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number of shares of AVROBIO common stock underlying such options and RSUs and the exercise prices for such stock options will be appropriately adjusted to reflect the proposed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$65.0 million in AVROBIO’s net cash as of closing. While Tectonic will assume AVROBIO’s product candidates and related intellectual property rights as part of the merger, the combined company will focus on developing Tectonic’s product candidates and at the present time, it is anticipated that the combined company will not continue to develop AVROBIO’s legacy product candidates.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90"/>
        <w:gridCol w:w="4205"/>
      </w:tblGrid>
      <w:tr>
        <w:trPr/>
        <w:tc>
          <w:tcPr>
            <w:tcW w:w="290" w:type="dxa"/>
            <w:tcBorders/>
            <w:vAlign w:val="center"/>
          </w:tcPr>
          <w:p>
            <w:pPr>
              <w:pStyle w:val="TableContents"/>
              <w:bidi w:val="0"/>
              <w:spacing w:before="0" w:after="283"/>
              <w:jc w:val="left"/>
              <w:rPr>
                <w:b/>
              </w:rPr>
            </w:pPr>
            <w:r>
              <w:rPr>
                <w:b/>
              </w:rPr>
              <w:t>Q:</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Why are the two companies proposing to merge?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AVROBIO and Tectonic believe that combining the two companies will result in a company with a promising pipeline, a strong leadership team and capital resources, positioning it to become a company focusing on transforming the discovery of antibodies and other biologic drugs targeting G-protein coupled receptors (“GPCRs”) to develop novel therapies for patients inadequately served by current treatments. For a more complete description of the reasons for the merger, please see the sections titled “</w:t>
            </w:r>
            <w:r>
              <w:rPr>
                <w:rFonts w:ascii="Times New Roman" w:hAnsi="Times New Roman"/>
                <w:i/>
                <w:sz w:val="20"/>
              </w:rPr>
              <w:t>The Merger—AVROBIO’s Reasons for the Merger</w:t>
            </w:r>
            <w:r>
              <w:rPr>
                <w:rFonts w:ascii="Times New Roman" w:hAnsi="Times New Roman"/>
                <w:sz w:val="20"/>
              </w:rPr>
              <w:t>” and “</w:t>
            </w:r>
            <w:r>
              <w:rPr>
                <w:rFonts w:ascii="Times New Roman" w:hAnsi="Times New Roman"/>
                <w:i/>
                <w:sz w:val="20"/>
              </w:rPr>
              <w:t>The Merger—Tectonic’s Reasons for the Merger</w:t>
            </w:r>
            <w:r>
              <w:rPr>
                <w:rFonts w:ascii="Times New Roman" w:hAnsi="Times New Roman"/>
                <w:sz w:val="20"/>
              </w:rPr>
              <w:t xml:space="preserve">” beginning on pages 197 and 200, respectively, of this proxy statement/prospectus.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290"/>
        <w:gridCol w:w="4580"/>
      </w:tblGrid>
      <w:tr>
        <w:trPr/>
        <w:tc>
          <w:tcPr>
            <w:tcW w:w="290" w:type="dxa"/>
            <w:tcBorders/>
            <w:vAlign w:val="center"/>
          </w:tcPr>
          <w:p>
            <w:pPr>
              <w:pStyle w:val="TableContents"/>
              <w:bidi w:val="0"/>
              <w:spacing w:before="0" w:after="283"/>
              <w:jc w:val="left"/>
              <w:rPr>
                <w:b/>
              </w:rPr>
            </w:pPr>
            <w:r>
              <w:rPr>
                <w:b/>
              </w:rPr>
              <w:t>Q:</w:t>
            </w:r>
          </w:p>
        </w:tc>
        <w:tc>
          <w:tcPr>
            <w:tcW w:w="4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an AVROBIO stockholder and/or a Tectonic stockholder as of the applicable record date, and you are entitled to vote to approve the matters set forth herein. This document serves as: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AVROBIO used to solicit proxies for the special meeting to vote on the matters set forth herein;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AVROBIO used to offer shares of AVROBIO common stock in exchange for shares of Tectonic common stock (including shares of Tectonic common stock issued upon conversion of Tectonic preferred stock as well as the private financing shares and the Company SAFEs) in the merger.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290"/>
        <w:gridCol w:w="2855"/>
      </w:tblGrid>
      <w:tr>
        <w:trPr/>
        <w:tc>
          <w:tcPr>
            <w:tcW w:w="290" w:type="dxa"/>
            <w:tcBorders/>
            <w:vAlign w:val="center"/>
          </w:tcPr>
          <w:p>
            <w:pPr>
              <w:pStyle w:val="TableContents"/>
              <w:bidi w:val="0"/>
              <w:spacing w:before="0" w:after="283"/>
              <w:jc w:val="left"/>
              <w:rPr>
                <w:b/>
              </w:rPr>
            </w:pPr>
            <w:r>
              <w:rPr>
                <w:b/>
              </w:rPr>
              <w:t>Q:</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private financings?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January 30, 2024, concurrently with the execution and delivery of the Merger Agreement, Tectonic entered into the Subscription Agreement with certain investors named therein, pursuant to which such investors agreed to purchase shares of Tectonic common stock, at a purchase price of $12.39908 per share, and certain investors have consummated or will consummate certain additional purchases of Tectonic common stock pursuant to the conversion of the Company SAFEs entered into by such investors and Tectonic, for an aggregate purchase price among the private financings contemplated by such Subscription Agreement and such Company SAFEs of approximately $130.7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after the merger, the shares of Tectonic common stock issued in the private financings are expected to represent approximately 38.0% of the outstanding shares of capital stock of the combined company, subject to certain assumptions. The closings of the private financings are conditioned upon the satisfaction or waiver of the conditions to the closing as well as certain other conditions. As such, at the time that AVROBIO stockholders are expected to vote at the special meeting, whether the private financings will close in a timely manner or at all will not be known.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condition, there can be no assurance that AVROBIO and Tectonic will ultimately determine, in their sole discretion, not to waive this or any other condition to the merger. In the event the merger closes without receipt of the $114.5 million from the private financings, the combined company would not have the same liquidity at closing as it would have had if the condition was satisfied. Without taking into account any portion of the proceeds from the private financings, AVROBIO’s estimated cash at closing of $65.0 million to $75.0 million will permit the combined company to continue its operations, but its ability to fund its operating expenses and capital expenditure requirements into mid-2027 would be adversely affected. If the Company does not receive any portion of the $114.5 million proceeds from the private financings, the combined company would have to raise significant additional capital by issuing equity securities or through additional debt or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private financings, please see the section titled “</w:t>
      </w:r>
      <w:r>
        <w:rPr>
          <w:rFonts w:ascii="Times New Roman" w:hAnsi="Times New Roman"/>
          <w:i/>
          <w:sz w:val="20"/>
        </w:rPr>
        <w:t>Agreements Related to the Merger—Subscription Agreement</w:t>
      </w:r>
      <w:r>
        <w:rPr>
          <w:rFonts w:ascii="Times New Roman" w:hAnsi="Times New Roman"/>
          <w:sz w:val="20"/>
        </w:rPr>
        <w:t>” beginning on page 264 of this proxy statement/prospectus. For more information related to risks related to the merger and private financings, see the section titled “</w:t>
      </w:r>
      <w:r>
        <w:rPr>
          <w:rFonts w:ascii="Times New Roman" w:hAnsi="Times New Roman"/>
          <w:i/>
          <w:sz w:val="20"/>
        </w:rPr>
        <w:t>Risk Factors—Risks Related to the Merger.</w:t>
      </w:r>
      <w:r>
        <w:rPr>
          <w:rFonts w:ascii="Times New Roman" w:hAnsi="Times New Roman"/>
          <w:sz w:val="20"/>
        </w:rPr>
        <w:t xml:space="preserve">”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90"/>
        <w:gridCol w:w="7295"/>
      </w:tblGrid>
      <w:tr>
        <w:trPr/>
        <w:tc>
          <w:tcPr>
            <w:tcW w:w="290" w:type="dxa"/>
            <w:tcBorders/>
            <w:vAlign w:val="center"/>
          </w:tcPr>
          <w:p>
            <w:pPr>
              <w:pStyle w:val="TableContents"/>
              <w:bidi w:val="0"/>
              <w:spacing w:before="0" w:after="283"/>
              <w:jc w:val="left"/>
              <w:rPr>
                <w:b/>
              </w:rPr>
            </w:pPr>
            <w:r>
              <w:rPr>
                <w:b/>
              </w:rPr>
              <w:t>Q:</w:t>
            </w:r>
          </w:p>
        </w:tc>
        <w:tc>
          <w:tcPr>
            <w:tcW w:w="7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voted on at the special meeting in connection with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requisite stockholder vote at the special meeting in order for the merger to close: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Proposal No. 1—The Nasdaq Stock Issuance Proposal </w:t>
            </w:r>
            <w:r>
              <w:rPr>
                <w:rFonts w:ascii="Times New Roman" w:hAnsi="Times New Roman"/>
                <w:sz w:val="20"/>
              </w:rPr>
              <w:t xml:space="preserve">to approve (i) the issuance of shares of AVROBIO common stock, which will represent more than 20% of the shares of AVROBIO common stock outstanding immediately prior to such transaction, to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such transaction, pursuant to Nasdaq Listing Rules 5635(a) and 5635(b);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2—The Reverse Stock Split Proposal</w:t>
            </w:r>
            <w:r>
              <w:rPr>
                <w:rFonts w:ascii="Times New Roman" w:hAnsi="Times New Roman"/>
                <w:sz w:val="20"/>
              </w:rPr>
              <w:t xml:space="preserve"> 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and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AVROBIO common stock in connection with the merger and the change of control of AVROBIO resulting from the merger will not take place unless Proposal No. 1 is approved by AVROBIO stockholders and the merger is consummated. The amendment to AVROBIO’s charter to effect a reverse stock split of AVROBIO’s issued and outstanding common stock will not take place unless Proposal No. 2 is approved by the requisite AVROBIO stockholders. The AVROBIO Board may determine, following the special meeting, to effect the reverse stock split if Proposal No. 2 is approved by AVROBIO stockholders even if Proposal No. 1 is not approved by AVROBIO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addition to the requirement of obtaining AVROBIO stockholder approval of Proposal Nos. 1 and 2, the closing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Agreement—Conditions to the Completion of the Merger</w:t>
      </w:r>
      <w:r>
        <w:rPr>
          <w:rFonts w:ascii="Times New Roman" w:hAnsi="Times New Roman"/>
          <w:sz w:val="20"/>
        </w:rPr>
        <w:t xml:space="preserve">” beginning on page 256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presence, by accessing online or being represented by proxy, at the special meeting of the holders of a majority of the shares of AVROBIO common stock outstanding and entitled to vote at the special meeting is necessary to constitute a quorum at the special meeting for the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rPr>
            </w:pPr>
            <w:r>
              <w:rPr>
                <w:b/>
              </w:rPr>
              <w:t>Q:</w:t>
            </w:r>
          </w:p>
        </w:tc>
        <w:tc>
          <w:tcPr>
            <w:tcW w:w="99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are to be voted on at the special meeting, other than the Nasdaq Stock Issuance Proposal and the Reverse Stock Split Proposal?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275"/>
        <w:gridCol w:w="9695"/>
      </w:tblGrid>
      <w:tr>
        <w:trPr/>
        <w:tc>
          <w:tcPr>
            <w:tcW w:w="275" w:type="dxa"/>
            <w:tcBorders/>
            <w:vAlign w:val="center"/>
          </w:tcPr>
          <w:p>
            <w:pPr>
              <w:pStyle w:val="TableContents"/>
              <w:bidi w:val="0"/>
              <w:spacing w:before="0" w:after="283"/>
              <w:jc w:val="left"/>
              <w:rPr/>
            </w:pPr>
            <w:r>
              <w:rPr/>
              <w:t>A:</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special meeting, the holders of AVROBIO common stock will also be asked to consider the following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3—The Officer Exculpation Proposal</w:t>
            </w:r>
            <w:r>
              <w:rPr>
                <w:rFonts w:ascii="Times New Roman" w:hAnsi="Times New Roman"/>
                <w:sz w:val="20"/>
              </w:rPr>
              <w:t xml:space="preserve"> to 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4—Incentive Plan Proposal</w:t>
            </w:r>
            <w:r>
              <w:rPr>
                <w:rFonts w:ascii="Times New Roman" w:hAnsi="Times New Roman"/>
                <w:sz w:val="20"/>
              </w:rPr>
              <w:t xml:space="preserve"> to approve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which will become effective as of and contingent on the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5—ESPP Proposal</w:t>
            </w:r>
            <w:r>
              <w:rPr>
                <w:rFonts w:ascii="Times New Roman" w:hAnsi="Times New Roman"/>
                <w:sz w:val="20"/>
              </w:rPr>
              <w:t xml:space="preserve"> to approve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which will become effective as of and contingent on the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Proposal No. 6—Executive Compensation Arrangements Proposal </w:t>
            </w:r>
            <w:r>
              <w:rPr>
                <w:rFonts w:ascii="Times New Roman" w:hAnsi="Times New Roman"/>
                <w:sz w:val="20"/>
              </w:rPr>
              <w:t xml:space="preserve">to approve, on a non-binding advisory vote basis, compensation that will or may become payable by AVROBIO to its named executive officers in connection with the merger, each as described in the accompanying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7—The Adjournment Proposal</w:t>
            </w:r>
            <w:r>
              <w:rPr>
                <w:rFonts w:ascii="Times New Roman" w:hAnsi="Times New Roman"/>
                <w:sz w:val="20"/>
              </w:rPr>
              <w:t xml:space="preserve"> to approve an adjournment of the special meeting, if necessary, to solicit additional proxies if there are not sufficient votes in favor of Nasdaq Stock Issuance Proposal and/or the Reverse Stock Split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 of Proposal Nos. 3, 4, 5, 6 and 7 are not a condition to the merger. AVROBIO does not expect that any matter other than the Proposals will be brought before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presence, by accessing online or being represented by proxy, at the special meeting of the holders of a majority of the shares of AVROBIO common stock outstanding and entitled to vote at the special meeting is necessary to constitute a quorum at the special meeting for the purpose of approving the Proposals.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90"/>
        <w:gridCol w:w="7280"/>
      </w:tblGrid>
      <w:tr>
        <w:trPr/>
        <w:tc>
          <w:tcPr>
            <w:tcW w:w="290" w:type="dxa"/>
            <w:tcBorders/>
            <w:vAlign w:val="center"/>
          </w:tcPr>
          <w:p>
            <w:pPr>
              <w:pStyle w:val="TableContents"/>
              <w:bidi w:val="0"/>
              <w:spacing w:before="0" w:after="283"/>
              <w:jc w:val="left"/>
              <w:rPr>
                <w:b/>
              </w:rPr>
            </w:pPr>
            <w:r>
              <w:rPr>
                <w:b/>
              </w:rPr>
              <w:t>Q:</w:t>
            </w:r>
          </w:p>
        </w:tc>
        <w:tc>
          <w:tcPr>
            <w:tcW w:w="7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stockholder votes are required to approve the Proposals at the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A:</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at the special meeting, assuming a quorum is present, is required for approval of Proposal Nos. 1, 2, 4, 5, 6 and 7. The affirmative vote of a majority of the outstanding shares of AVROBIO common stock entitled to vote at the special meeting is required for approval of Proposal No. 3. Proposal Nos. 4 and 5 is conditioned upon the approval of Proposal No. 1. </w:t>
            </w:r>
          </w:p>
        </w:tc>
      </w:tr>
    </w:tbl>
    <w:p>
      <w:pPr>
        <w:pStyle w:val="TextBody"/>
        <w:bidi w:val="0"/>
        <w:spacing w:before="120" w:after="0"/>
        <w:jc w:val="left"/>
        <w:rPr>
          <w:rFonts w:ascii="Times New Roman" w:hAnsi="Times New Roman"/>
          <w:sz w:val="20"/>
        </w:rPr>
      </w:pPr>
      <w:r>
        <w:rPr>
          <w:rFonts w:ascii="Times New Roman" w:hAnsi="Times New Roman"/>
          <w:sz w:val="20"/>
        </w:rPr>
        <w:t>Votes will be counted by the inspector of election appointed for the meeting, who will separately count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and “</w:t>
      </w:r>
      <w:r>
        <w:rPr>
          <w:rFonts w:ascii="Times New Roman" w:hAnsi="Times New Roman"/>
          <w:b/>
          <w:sz w:val="20"/>
        </w:rPr>
        <w:t>WITHHOLD</w:t>
      </w:r>
      <w:r>
        <w:rPr>
          <w:rFonts w:ascii="Times New Roman" w:hAnsi="Times New Roman"/>
          <w:sz w:val="20"/>
        </w:rPr>
        <w:t xml:space="preserve">” votes, abstentions and broker non-votes, if any, as applicable to each proposal. Abstentions do not count as votes cast for or against a matter, and therefore will have no effect on Proposal Nos. 1, 2, 4, 5, 6 and 7. Broker non-votes, if any, will not be counted as “votes properly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cast for or against a matter” and will therefore have no effect on Proposal Nos. 1, 2, 4, 5, 6 and 7. Abstentions and broker non-votes will be counted as “shares entitled to vote” and will therefore have the same effect of a vote “</w:t>
      </w:r>
      <w:r>
        <w:rPr>
          <w:rFonts w:ascii="Times New Roman" w:hAnsi="Times New Roman"/>
          <w:b/>
          <w:sz w:val="20"/>
        </w:rPr>
        <w:t>AGAINST</w:t>
      </w:r>
      <w:r>
        <w:rPr>
          <w:rFonts w:ascii="Times New Roman" w:hAnsi="Times New Roman"/>
          <w:sz w:val="20"/>
        </w:rPr>
        <w:t xml:space="preserve">” Proposal No.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b/>
              </w:rPr>
            </w:pPr>
            <w:r>
              <w:rPr>
                <w:b/>
              </w:rPr>
              <w:t>Q:</w:t>
            </w:r>
          </w:p>
        </w:tc>
        <w:tc>
          <w:tcPr>
            <w:tcW w:w="99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Why is AVROBIO seeking stockholder approval to issue shares of AVROBIO common stock to Tectonic stockholders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pPr>
            <w:r>
              <w:rPr/>
              <w:t>A:</w:t>
            </w:r>
          </w:p>
        </w:tc>
        <w:tc>
          <w:tcPr>
            <w:tcW w:w="9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AVROBIO common stock is listed on Nasdaq, AVROBIO is subject to the Nasdaq Listing Rules. Nasdaq Listing Rule 5635(a) requires stockholder approval with respect to the issuance of AVROBIO common stock, among other instances, (i) when the shares to be issued are being issued in connection with the acquisition of the stock or assets of another company and are equal to 20% or more of the outstanding shares of AVROBIO common stock before the issuance. Nasdaq Listing Rule 5635(b) also requires stockholder approval when any issuance or potential issuance will result in a “change of control” of the issuer. Although Nasdaq has not adopted any rule on what constitutes a “change of control” for purposes of Nasdaq Listing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Listing Rule 5635(d) also requires stockholder approval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be equal to 20% or more of the common equity securities, or 20% or more of the voting power, outstanding before the issuance.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AVROBIO expects to issue approximately 16,076,821 shares of AVROBIO common stock on a fully diluted basis (after giving effect to, and assuming, a one-for-ten reverse stock split), and AVROBIO common stock to be issued pursuant to the Merger Agreement will represent greater than 20% of its voting stock. Accordingly, AVROBIO is seeking stockholder approval of the issuance pursuant to the Merger Agreement under the Nasdaq rules. </w:t>
      </w:r>
    </w:p>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290"/>
        <w:gridCol w:w="4925"/>
      </w:tblGrid>
      <w:tr>
        <w:trPr/>
        <w:tc>
          <w:tcPr>
            <w:tcW w:w="290" w:type="dxa"/>
            <w:tcBorders/>
            <w:vAlign w:val="center"/>
          </w:tcPr>
          <w:p>
            <w:pPr>
              <w:pStyle w:val="TableContents"/>
              <w:bidi w:val="0"/>
              <w:spacing w:before="0" w:after="283"/>
              <w:jc w:val="left"/>
              <w:rPr>
                <w:b/>
              </w:rPr>
            </w:pPr>
            <w:r>
              <w:rPr>
                <w:b/>
              </w:rPr>
              <w:t>Q:</w:t>
            </w:r>
          </w:p>
        </w:tc>
        <w:tc>
          <w:tcPr>
            <w:tcW w:w="49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AVROBIO stockholders receive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pPr>
            <w:r>
              <w:rPr/>
              <w:t>A:</w:t>
            </w:r>
          </w:p>
        </w:tc>
        <w:tc>
          <w:tcPr>
            <w:tcW w:w="9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will continue to own and hold their existing shares of AVROBIO common stock issued and outstanding at the time of the merger and such shares will remain issued and outstanding, and, subject to the proposed reverse stock split and any acceleration provided for in connection with the merger, will be unaffected by the merger. In addition, (i) each AVROBIO in-the-money option and 50% of certain additional AVROBIO options held by a current employee, director, or consultant of AVROBIO as of the date of the Merger Agreement will be accelerated in full as of immediately prior to the effective time, (ii) each such AVROBIO option as of the effective time that is held by a current employee, director or consultant of AVROBIO as of the date of the Merger Agreement who is or will be party to a lock-up agreement will remain outstanding and exercisable until six months after the expiration of the applicable “restricted period” (as defined in the applicable lock-up agreement) and (iii) each outstanding AVROBIO RSU that is issued, outstanding and unvested and vests solely on the basis of time will be accelerated in full effective as of immediately prior to the effective time. In addition, for each outstanding and unsettled RSU that vests solely on the basis of time (including any RSUs accelerated in connection with this merger), AVROBIO stockholders will receive, immediately prior to the effective time a number of shares of AVROBIO common stock equal to the number of vested and unsettled shares underlying such RSUs. Further, AVRO stockholders of record as of the close of business on the last business day prior to the day on which the effective time occurs will receive one contingent value right (“CVR”) for each outstanding share of AVRO common stock held by such stockholder on such date, as described in more detail below.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AVROBIO securities in the merger, please see the sections titled “</w:t>
      </w:r>
      <w:r>
        <w:rPr>
          <w:rFonts w:ascii="Times New Roman" w:hAnsi="Times New Roman"/>
          <w:i/>
          <w:sz w:val="20"/>
        </w:rPr>
        <w:t>The Merger Agreement</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239 and 35, respectively,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tbl>
      <w:tblPr>
        <w:tblW w:w="9625" w:type="dxa"/>
        <w:jc w:val="left"/>
        <w:tblInd w:w="0" w:type="dxa"/>
        <w:tblLayout w:type="fixed"/>
        <w:tblCellMar>
          <w:top w:w="0" w:type="dxa"/>
          <w:left w:w="0" w:type="dxa"/>
          <w:bottom w:w="0" w:type="dxa"/>
          <w:right w:w="0" w:type="dxa"/>
        </w:tblCellMar>
      </w:tblPr>
      <w:tblGrid>
        <w:gridCol w:w="290"/>
        <w:gridCol w:w="9335"/>
      </w:tblGrid>
      <w:tr>
        <w:trPr/>
        <w:tc>
          <w:tcPr>
            <w:tcW w:w="290" w:type="dxa"/>
            <w:tcBorders/>
            <w:vAlign w:val="center"/>
          </w:tcPr>
          <w:p>
            <w:pPr>
              <w:pStyle w:val="TableContents"/>
              <w:bidi w:val="0"/>
              <w:spacing w:before="0" w:after="283"/>
              <w:jc w:val="left"/>
              <w:rPr>
                <w:b/>
              </w:rPr>
            </w:pPr>
            <w:r>
              <w:rPr>
                <w:b/>
              </w:rPr>
              <w:t>Q:</w:t>
            </w:r>
          </w:p>
        </w:tc>
        <w:tc>
          <w:tcPr>
            <w:tcW w:w="9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Tectonic stockholders and participants in the Tectonic Equity Incentive Plan receive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pPr>
            <w:r>
              <w:rPr/>
              <w:t>A:</w:t>
            </w:r>
          </w:p>
        </w:tc>
        <w:tc>
          <w:tcPr>
            <w:tcW w:w="9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stockholders will receive shares of AVROBIO common stock. AVROBIO will assume the Tectonic Equity Incentive Plan. Tectonic option holders’ outstanding and unexercised options to purchase shares of Tectonic common stock immediately prior to the effective time will be assumed by AVROBIO and converted into an option to purchase shares of AVROBIO common stock, with necessary adjustments to the number of shares and exercise price to reflect the exchange ratio. 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AVROBIO’s net cash of approximately $65.0 million as of closing.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Tectonic common stock, options and the Tectonic Equity Incentive Plan in the merger, please see the sections titled “</w:t>
      </w:r>
      <w:r>
        <w:rPr>
          <w:rFonts w:ascii="Times New Roman" w:hAnsi="Times New Roman"/>
          <w:i/>
          <w:sz w:val="20"/>
        </w:rPr>
        <w:t>The Merger Agreement—Merger</w:t>
      </w:r>
      <w:r>
        <w:rPr>
          <w:rFonts w:ascii="Times New Roman" w:hAnsi="Times New Roman"/>
          <w:sz w:val="20"/>
        </w:rPr>
        <w:t xml:space="preserve"> </w:t>
      </w:r>
      <w:r>
        <w:rPr>
          <w:rFonts w:ascii="Times New Roman" w:hAnsi="Times New Roman"/>
          <w:i/>
          <w:sz w:val="20"/>
        </w:rPr>
        <w:t>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beginning on pages 239 and 240, respectively, of this proxy statement/prospectus. For a description of the effect of the private financings on the current securityholders of AVROBIO and Tectonic, please see the section titled “</w:t>
      </w:r>
      <w:r>
        <w:rPr>
          <w:rFonts w:ascii="Times New Roman" w:hAnsi="Times New Roman"/>
          <w:i/>
          <w:sz w:val="20"/>
        </w:rPr>
        <w:t>Agreements Related to the Merger—Subscription Agreement</w:t>
      </w:r>
      <w:r>
        <w:rPr>
          <w:rFonts w:ascii="Times New Roman" w:hAnsi="Times New Roman"/>
          <w:sz w:val="20"/>
        </w:rPr>
        <w:t xml:space="preserve">” beginning on page 264 of this proxy statement/prospectus.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290"/>
        <w:gridCol w:w="1505"/>
      </w:tblGrid>
      <w:tr>
        <w:trPr/>
        <w:tc>
          <w:tcPr>
            <w:tcW w:w="290" w:type="dxa"/>
            <w:tcBorders/>
            <w:vAlign w:val="center"/>
          </w:tcPr>
          <w:p>
            <w:pPr>
              <w:pStyle w:val="TableContents"/>
              <w:bidi w:val="0"/>
              <w:spacing w:before="0" w:after="283"/>
              <w:jc w:val="left"/>
              <w:rPr>
                <w:b/>
              </w:rPr>
            </w:pPr>
            <w:r>
              <w:rPr>
                <w:b/>
              </w:rPr>
              <w:t>Q:</w:t>
            </w:r>
          </w:p>
        </w:tc>
        <w:tc>
          <w:tcPr>
            <w:tcW w:w="1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pPr>
            <w:r>
              <w:rPr/>
              <w:t>A:</w:t>
            </w:r>
          </w:p>
        </w:tc>
        <w:tc>
          <w:tcPr>
            <w:tcW w:w="99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order for AVROBIO stockholders to benefit from any post-closing transactions to monetize AVROBIO’s pre-closing assets, as provided in the Merger Agreement, AVROBIO intends to declare a dividend to its common stockholders of record providing for the right to receive one non-transferable CVR for each outstanding share of AVROBIO common stock held by such stockholder. At or prior to the effective time, AVROBIO and a rights agent will enter into a Contingent Value Rights Agreement (the “CVR Agreement”), pursuant to which AVROBIO stockholders of record as of immediately prior to the effective time (including holders of AVROBIO common stock issued upon settlement of the AVROBIO RSUs) will receive one non-transferable CVR for each outstanding share of AVROBIO common stock held by such stockholder on such date. A copy of the form of CVR Agreement is included as Annex F to this proxy statement/prospectus. Pursuant to the CVR Agreement, each CVR holder is entitled to certain rights to receive a pro rata portion of 80% of the net proceeds (as defined in the CVR Agreement), if any, received by AVROBIO as a result of an AVROBIO disposition (including a license) of AVROBIO’s pre-closing assets after the effective date and prior to the 18-month anniversary of the closing, received within a 10-year period following the closing. Such proceeds are subject to certain permitted deductions, including for applicable tax payments, certain expenses incurred by AVROBIO or its affiliates, losses incurred or reasonably expected to be incurred by AVROBIO or its subsidiaries due to a third party proceeding in connection with a disposition and certain wind-down costs. The contingent payments under the CVR Agreement, if they become payable, will become payable to the rights agent for subsequent distribution to the holders of the CVRs; provided that no contingent payment will be payable to any holder of the CVRs until such time as the then-outstanding and undistributed proceeds exceeds $350,000 in the aggregate. In the event that no proceeds are received, holders of the CVRs will not receive any payment pursuant to the CVR Agreement. There can be no assurance that holders of CVRs will receive any payments with respect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AVROBIO or the combined company or any of its affiliates. No interest will accrue on any amounts payable in respect of the CVRs.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After such 18-month period, no CVR holders will be entitled to any payments under the CVR Agreement (except to the extent that any payments were earned prior to the end of such period). </w:t>
      </w:r>
    </w:p>
    <w:p>
      <w:pPr>
        <w:pStyle w:val="TextBody"/>
        <w:bidi w:val="0"/>
        <w:spacing w:before="120" w:after="0"/>
        <w:jc w:val="left"/>
        <w:rPr>
          <w:rFonts w:ascii="Times New Roman" w:hAnsi="Times New Roman"/>
          <w:sz w:val="20"/>
        </w:rPr>
      </w:pPr>
      <w:r>
        <w:rPr>
          <w:rFonts w:ascii="Times New Roman" w:hAnsi="Times New Roman"/>
          <w:sz w:val="20"/>
        </w:rPr>
        <w:t>For a more detailed description of the CVRs and the CVR Agreement, see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290"/>
        <w:gridCol w:w="4655"/>
      </w:tblGrid>
      <w:tr>
        <w:trPr/>
        <w:tc>
          <w:tcPr>
            <w:tcW w:w="290" w:type="dxa"/>
            <w:tcBorders/>
            <w:vAlign w:val="center"/>
          </w:tcPr>
          <w:p>
            <w:pPr>
              <w:pStyle w:val="TableContents"/>
              <w:bidi w:val="0"/>
              <w:spacing w:before="0" w:after="283"/>
              <w:jc w:val="left"/>
              <w:rPr>
                <w:b/>
              </w:rPr>
            </w:pPr>
            <w:r>
              <w:rPr>
                <w:b/>
              </w:rPr>
              <w:t>Q:</w:t>
            </w:r>
          </w:p>
        </w:tc>
        <w:tc>
          <w:tcPr>
            <w:tcW w:w="4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reverse stock split and why is it necessary?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approval of the Reverse Stock Split Proposal, concurrently with the effective time, by virtue of filing the amendment to AVROBIO’s charter in the form attached hereto as </w:t>
            </w:r>
            <w:r>
              <w:rPr>
                <w:rFonts w:ascii="Times New Roman" w:hAnsi="Times New Roman"/>
                <w:sz w:val="20"/>
                <w:u w:val="single"/>
              </w:rPr>
              <w:t>Annex G</w:t>
            </w:r>
            <w:r>
              <w:rPr>
                <w:rFonts w:ascii="Times New Roman" w:hAnsi="Times New Roman"/>
                <w:sz w:val="20"/>
              </w:rPr>
              <w:t xml:space="preserve"> and incorporated herein by reference, the outstanding shares of AVROBIO common stock will be combined into a lesser number of shares, at a reverse split ratio to be mutually agreed by the AVROBIO Board and the Tectonic Board prior to the effective time and publicly announced by AVROBIO and identified in the amendment to AVROBIO’s charter so filed. Upon the effectiveness of such amendment to effect the reverse stock split (as defined in this proxy statement/prospectus), the issued shares of AVROBIO common stock immediately prior to the reverse stock split effective time will automatically without further action on the part of AVROBIO be combined into a smaller number of shares such that a AVROBIO stockholder will own one new share of AVROBIO common stock for every three to thirty shares of issued AVROBIO common stock held by such stockholder immediately prior to the effective time of the reverse stock split.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AVROBIO Board believes that a reverse stock split is desirable for a number of reasons. AVROBIO common stock is currently, and is expected to continue to be following the completion of the merger, listed on Nasdaq. According to the applicable Nasdaq rules, in order for AVROBIO common stock to continue to be listed on Nasdaq, AVROBIO must satisfy certain requirements established by Nasdaq, including a $1.00 minimum bid price requirement. The AVROBIO Board also believes a higher stock price may help generate investor interest in the combined company as analysts at many brokerage firms do not monitor the trading activity or otherwise provide coverage of lower priced stocks, help the combined company attract and retain employees, increase trading volume in the combined company’s common stock and facilitate future financings by the combined company. </w:t>
      </w:r>
    </w:p>
    <w:p>
      <w:pPr>
        <w:pStyle w:val="TextBody"/>
        <w:bidi w:val="0"/>
        <w:spacing w:before="120" w:after="0"/>
        <w:jc w:val="left"/>
        <w:rPr>
          <w:rFonts w:ascii="Times New Roman" w:hAnsi="Times New Roman"/>
          <w:sz w:val="20"/>
        </w:rPr>
      </w:pPr>
      <w:r>
        <w:rPr>
          <w:rFonts w:ascii="Times New Roman" w:hAnsi="Times New Roman"/>
          <w:sz w:val="20"/>
        </w:rPr>
        <w:t>Please see the discussion in the section titled “</w:t>
      </w:r>
      <w:r>
        <w:rPr>
          <w:rFonts w:ascii="Times New Roman" w:hAnsi="Times New Roman"/>
          <w:i/>
          <w:sz w:val="20"/>
        </w:rPr>
        <w:t>Proposal No. 2–The Reverse Stock Split Proposal</w:t>
      </w:r>
      <w:r>
        <w:rPr>
          <w:rFonts w:ascii="Times New Roman" w:hAnsi="Times New Roman"/>
          <w:sz w:val="20"/>
        </w:rPr>
        <w:t xml:space="preserve">” beginning on page 309 of this proxy statement/prospectus for additional details regarding and reasons for the proposed reverse stock split.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290"/>
        <w:gridCol w:w="6170"/>
      </w:tblGrid>
      <w:tr>
        <w:trPr/>
        <w:tc>
          <w:tcPr>
            <w:tcW w:w="290" w:type="dxa"/>
            <w:tcBorders/>
            <w:vAlign w:val="center"/>
          </w:tcPr>
          <w:p>
            <w:pPr>
              <w:pStyle w:val="TableContents"/>
              <w:bidi w:val="0"/>
              <w:spacing w:before="0" w:after="283"/>
              <w:jc w:val="left"/>
              <w:rPr>
                <w:b/>
              </w:rPr>
            </w:pPr>
            <w:r>
              <w:rPr>
                <w:b/>
              </w:rPr>
              <w:t>Q:</w:t>
            </w:r>
          </w:p>
        </w:tc>
        <w:tc>
          <w:tcPr>
            <w:tcW w:w="61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common stock of the combined company trade on an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AVROBIO common stock are currently listed on Nasdaq under the symbol “AVRO.” AVROBIO intends to file an initial listing application for the common stock of the combined company with Nasdaq. After completion of the merger, AVROBIO will be renamed “Tectonic Therapeutic, Inc.” and it is expected that the common stock of the combined company will trade on Nasdaq under the symbol “TECX.” It is a condition to the consummation of the merger in favor of each of AVROBIO, Tectonic and Merger Sub that the approval of the listing on Nasdaq of the additional shares of AVROBIO common stock will have been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obtained and the shares of AVROBIO common stock to be issued in the transactions contemplated by the Merger Agreement pursuant to the Merger Agreement will have been approved for listing (subject to official notice of issuance) on Nasdaq. This condition is waivable but only to the extent permitted by law and only with the written waiver of each of AVROBIO, Tectonic and Merger Sub. In the event the AVROBIO common stock to be issued in the merger is not approved for listing on Nasdaq, it is possible that AVROBIO, Tectonic and Merger Sub may mutually agree to waive the applicable condition and nonetheless proceed with the completion of the merger. If such condition is waived, AVROBIO may not recirculate an updated proxy statement/prospectus or solicit a new vote of AVROBIO stockholders prior to proceeding with the merger. Nasdaq has not yet made a determination with respect to this approval, and the status of such approval may not yet be known at the time that AVROBIO stockholders are expected to vote at the special meeting. For additional information, please see the sections titled “</w:t>
            </w:r>
            <w:r>
              <w:rPr>
                <w:i/>
              </w:rPr>
              <w:t>Risk Factors—Risks Related to Merger—AVROBIO or Tectonic may waive one or more of the conditions to the merger without recirculation of this proxy statement/prospectus or resoliciting stockholder approval</w:t>
            </w:r>
            <w:r>
              <w:rPr/>
              <w:t>” on page 37 of this proxy statement/prospectus and “</w:t>
            </w:r>
            <w:r>
              <w:rPr>
                <w:i/>
              </w:rPr>
              <w:t xml:space="preserve">Risk Factors — Risks Related to the Proposed Reverse Stock Split </w:t>
            </w:r>
            <w:r>
              <w:rPr/>
              <w:t xml:space="preserve">— </w:t>
            </w:r>
            <w:r>
              <w:rPr>
                <w:i/>
              </w:rPr>
              <w:t>The reverse stock split may not increase the combined company’s stock price over the short-or long-term, which may further impact the combined company’s ability to obtain or maintain listing on Nasdaq</w:t>
            </w:r>
            <w:r>
              <w:rPr/>
              <w:t xml:space="preserve">” on page 43 of this proxy statement/prospectus. On    , 2024, the last trading day before the date of this proxy statement/prospectus, the closing sale price of AVROBIO common stock was $    per share.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290"/>
        <w:gridCol w:w="6320"/>
      </w:tblGrid>
      <w:tr>
        <w:trPr/>
        <w:tc>
          <w:tcPr>
            <w:tcW w:w="290" w:type="dxa"/>
            <w:tcBorders/>
            <w:vAlign w:val="center"/>
          </w:tcPr>
          <w:p>
            <w:pPr>
              <w:pStyle w:val="TableContents"/>
              <w:bidi w:val="0"/>
              <w:spacing w:before="0" w:after="283"/>
              <w:jc w:val="left"/>
              <w:rPr>
                <w:b/>
              </w:rPr>
            </w:pPr>
            <w:r>
              <w:rPr>
                <w:b/>
              </w:rPr>
              <w:t>Q:</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directors of the combined company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combined company’s board of directors will be composed of six members, one of whom will be designated by AVROBIO and five of whom will be designated by Tectonic. The staggered structure of three classes of directors of the AVROBIO Board will remain in place for the combined company following the completion of the merger. The division of our board into three classes with staggered three year terms will be decided by mutual agreement following the completion of the merger. The number of directors will be distributed among the three classes so that, as nearly as possible, each class will consist of one-third of the directors. All of AVROBIO’s current directors, other than Phillip Donenberg, are expected to resign from their positions as directors of AVROBIO, effective as of the effective time.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290"/>
        <w:gridCol w:w="8135"/>
      </w:tblGrid>
      <w:tr>
        <w:trPr/>
        <w:tc>
          <w:tcPr>
            <w:tcW w:w="290" w:type="dxa"/>
            <w:tcBorders/>
            <w:vAlign w:val="center"/>
          </w:tcPr>
          <w:p>
            <w:pPr>
              <w:pStyle w:val="TableContents"/>
              <w:bidi w:val="0"/>
              <w:spacing w:before="0" w:after="283"/>
              <w:jc w:val="left"/>
              <w:rPr>
                <w:b/>
              </w:rPr>
            </w:pPr>
            <w:r>
              <w:rPr>
                <w:b/>
              </w:rPr>
              <w:t>Q:</w:t>
            </w:r>
          </w:p>
        </w:tc>
        <w:tc>
          <w:tcPr>
            <w:tcW w:w="8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executive officers of the combined company immediately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executive management team of the combined company is expected to consist of members of the Tectonic executive management team prior to the merger, including: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2075"/>
        <w:gridCol w:w="120"/>
        <w:gridCol w:w="495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9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Executive Officer</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Operating Officer and Chief Financial Officer</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Scientific Officer</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Medical Officer</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Business Officer</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90"/>
        <w:gridCol w:w="7295"/>
      </w:tblGrid>
      <w:tr>
        <w:trPr/>
        <w:tc>
          <w:tcPr>
            <w:tcW w:w="290" w:type="dxa"/>
            <w:tcBorders/>
            <w:vAlign w:val="center"/>
          </w:tcPr>
          <w:p>
            <w:pPr>
              <w:pStyle w:val="TableContents"/>
              <w:bidi w:val="0"/>
              <w:spacing w:before="0" w:after="283"/>
              <w:jc w:val="left"/>
              <w:rPr>
                <w:b/>
              </w:rPr>
            </w:pPr>
            <w:r>
              <w:rPr>
                <w:b/>
              </w:rPr>
              <w:t>Q:</w:t>
            </w:r>
          </w:p>
        </w:tc>
        <w:tc>
          <w:tcPr>
            <w:tcW w:w="7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As an AVROBIO stockholder, how does the AVROBIO Board recommend that I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A:</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in consultation with financial and legal advisors and AVROBIO management, evaluated the terms of the Merger Agreement and the related transactions contemplated thereby and unanimously: (i) determined that the merger and the other transactions contemplated by the Merger Agreement, including the CVR Agreement, the AVROBIO pre-closing transaction and the private financings, are fair to, advisable and in the best interests of AVROBIO and its stockholders; (ii)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and declared advisable the Merger Agreement and the other transactions contemplated by the Merger Agreement, including the issuance of shares of AVROBIO common stock in connection with the merger; and (iii) recommends that AVROBIO stockholders vote “</w:t>
            </w:r>
            <w:r>
              <w:rPr>
                <w:b/>
              </w:rPr>
              <w:t>FOR</w:t>
            </w:r>
            <w:r>
              <w:rPr/>
              <w:t xml:space="preserve">” all of the Proposals.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b/>
              </w:rPr>
            </w:pPr>
            <w:r>
              <w:rPr>
                <w:b/>
              </w:rPr>
              <w:t>Q:</w:t>
            </w:r>
          </w:p>
        </w:tc>
        <w:tc>
          <w:tcPr>
            <w:tcW w:w="6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I consider in deciding whether to vote in favor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pPr>
            <w:r>
              <w:rPr/>
              <w:t>A:</w:t>
            </w:r>
          </w:p>
        </w:tc>
        <w:tc>
          <w:tcPr>
            <w:tcW w:w="9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considered a variety of risks and other potentially negative factors concerning the merger, including the risk that the merger may not be completed. Failure to complete the merger could harm the AVROBIO common stock price, harm the future business and operations of each company and, under specified circumstances pursuant to the Merger Agreement, may result in either (i) AVROBIO being required to pay Tectonic a termination fee of $2,712,500 or (ii) Tectonic being required to pay AVROBIO a termination fee of $4,900,000. In addition, if the Merger Agreement is terminated by AVROBIO or Tectonic due to AVROBIO stockholders voting on and failing to approve Proposal Nos. 1 and 2 at the special meeting (or any adjournment thereof), AVROBIO will be required to reimburse Tectonic for merger-related expenses up to $650,000. The expense reimbursement, to the extent paid, will be credited against any termination fee payable by AVROBIO in the transaction. You should carefully review the section titled “</w:t>
            </w:r>
            <w:r>
              <w:rPr>
                <w:rFonts w:ascii="Times New Roman" w:hAnsi="Times New Roman"/>
                <w:i/>
                <w:sz w:val="20"/>
              </w:rPr>
              <w:t>Risk Factors</w:t>
            </w:r>
            <w:r>
              <w:rPr>
                <w:rFonts w:ascii="Times New Roman" w:hAnsi="Times New Roman"/>
                <w:sz w:val="20"/>
              </w:rPr>
              <w:t xml:space="preserve">” beginning on page 36 of this proxy statement/prospectus and the documents incorporated by reference herein, which set forth certain additional risks and uncertainties related to the merger, risks and uncertainties to which the combined company’s business will be subject, and risks and uncertainties to which each of AVROBIO and Tectonic, as independent companies, are subject.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290"/>
        <w:gridCol w:w="4520"/>
      </w:tblGrid>
      <w:tr>
        <w:trPr/>
        <w:tc>
          <w:tcPr>
            <w:tcW w:w="290" w:type="dxa"/>
            <w:tcBorders/>
            <w:vAlign w:val="center"/>
          </w:tcPr>
          <w:p>
            <w:pPr>
              <w:pStyle w:val="TableContents"/>
              <w:bidi w:val="0"/>
              <w:spacing w:before="0" w:after="283"/>
              <w:jc w:val="left"/>
              <w:rPr>
                <w:b/>
              </w:rPr>
            </w:pPr>
            <w:r>
              <w:rPr>
                <w:b/>
              </w:rPr>
              <w:t>Q:</w:t>
            </w:r>
          </w:p>
        </w:tc>
        <w:tc>
          <w:tcPr>
            <w:tcW w:w="45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A:</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merger is anticipated to close in the second quarter of 2024, but the exact timing cannot be predicted. For more information, please see the section titled “</w:t>
            </w:r>
            <w:r>
              <w:rPr>
                <w:rFonts w:ascii="Times New Roman" w:hAnsi="Times New Roman"/>
                <w:i/>
                <w:sz w:val="20"/>
              </w:rPr>
              <w:t>The Merger Agreement—Conditions to the Completion of the Merger</w:t>
            </w:r>
            <w:r>
              <w:rPr>
                <w:rFonts w:ascii="Times New Roman" w:hAnsi="Times New Roman"/>
                <w:sz w:val="20"/>
              </w:rPr>
              <w:t xml:space="preserve">” beginning on page 256 of this proxy statement/prospectus.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290"/>
        <w:gridCol w:w="2315"/>
      </w:tblGrid>
      <w:tr>
        <w:trPr/>
        <w:tc>
          <w:tcPr>
            <w:tcW w:w="290" w:type="dxa"/>
            <w:tcBorders/>
            <w:vAlign w:val="center"/>
          </w:tcPr>
          <w:p>
            <w:pPr>
              <w:pStyle w:val="TableContents"/>
              <w:bidi w:val="0"/>
              <w:spacing w:before="0" w:after="283"/>
              <w:jc w:val="left"/>
              <w:rPr>
                <w:b/>
              </w:rPr>
            </w:pPr>
            <w:r>
              <w:rPr>
                <w:b/>
              </w:rPr>
              <w:t>Q:</w:t>
            </w:r>
          </w:p>
        </w:tc>
        <w:tc>
          <w:tcPr>
            <w:tcW w:w="2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urges you to read this proxy statement/prospectus carefully, including the annexes and the documents incorporated by reference, and to consider how the merger affects you.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an AVROBIO stockholder of record, you may provide your proxy instructions in one of four different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using the proxy card. Simply complete, sign and date the accompanying proxy card and return it promptly in the envelope provided. If you return your signed proxy card before the special meeting, the designated proxies will vote your shares in accordance with the proxy card.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telephone by calling the toll-free number found on the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virtual special meeting and vote online during the meeting by following the instructions at </w:t>
            </w:r>
            <w:r>
              <w:rPr>
                <w:rFonts w:ascii="Times New Roman" w:hAnsi="Times New Roman"/>
                <w:i/>
                <w:sz w:val="20"/>
              </w:rPr>
              <w:t>www.proxydocs.com/AVRO</w:t>
            </w:r>
            <w:r>
              <w:rPr>
                <w:rFonts w:ascii="Times New Roman" w:hAnsi="Times New Roman"/>
                <w:sz w:val="20"/>
              </w:rPr>
              <w:t xml:space="preserve">. You will need to enter the Control Number found on your Notice or in the email sending you the proxy statement. Simply attending the special meeting will not, by itself, revoke your proxy and/or change your vote. Even if you plan to attend the special meeting virtually, we recommend that you also submit your proxy or voting instructions or vote in advance of the special meeting by telephone or through the internet so that your vote will be counted if you later decide not to attend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signed proxy card, telephonic proxy instructions, or internet proxy instructions must be received by June 10, 2024 at 11:59 p.m. Eastern Time to be counted.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hold your shares in “street name” (as described below), you may provide your proxy instructions via telephone or the internet by following the instructions on your vote instruction form provided by your bank, broker or other nominee, referred to herein as “broker.” Please provide your proxy instructions only once, unless you are revoking a previously delivered proxy instruction, and as soon as possible so that your shares can be voted at the special meeting. </w:t>
      </w:r>
    </w:p>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290"/>
        <w:gridCol w:w="9200"/>
      </w:tblGrid>
      <w:tr>
        <w:trPr/>
        <w:tc>
          <w:tcPr>
            <w:tcW w:w="290" w:type="dxa"/>
            <w:tcBorders/>
            <w:vAlign w:val="center"/>
          </w:tcPr>
          <w:p>
            <w:pPr>
              <w:pStyle w:val="TableContents"/>
              <w:bidi w:val="0"/>
              <w:spacing w:before="0" w:after="283"/>
              <w:jc w:val="left"/>
              <w:rPr>
                <w:b/>
              </w:rPr>
            </w:pPr>
            <w:r>
              <w:rPr>
                <w:b/>
              </w:rPr>
              <w:t>Q:</w:t>
            </w:r>
          </w:p>
        </w:tc>
        <w:tc>
          <w:tcPr>
            <w:tcW w:w="9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you are an AVROBIO stockholder, the failure to return your proxy card or otherwise vote or provide proxy instructions will have no effect on Proposal Nos. 1, 2, 4, 5, 6 and 7, and will have the same effect as a vote “</w:t>
            </w:r>
            <w:r>
              <w:rPr>
                <w:rFonts w:ascii="Times New Roman" w:hAnsi="Times New Roman"/>
                <w:b/>
                <w:sz w:val="20"/>
              </w:rPr>
              <w:t>AGAINST</w:t>
            </w:r>
            <w:r>
              <w:rPr>
                <w:rFonts w:ascii="Times New Roman" w:hAnsi="Times New Roman"/>
                <w:sz w:val="20"/>
              </w:rPr>
              <w:t xml:space="preserve">” Proposal No. 3.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290"/>
        <w:gridCol w:w="7205"/>
      </w:tblGrid>
      <w:tr>
        <w:trPr/>
        <w:tc>
          <w:tcPr>
            <w:tcW w:w="290" w:type="dxa"/>
            <w:tcBorders/>
            <w:vAlign w:val="center"/>
          </w:tcPr>
          <w:p>
            <w:pPr>
              <w:pStyle w:val="TableContents"/>
              <w:bidi w:val="0"/>
              <w:spacing w:before="0" w:after="283"/>
              <w:jc w:val="left"/>
              <w:rPr>
                <w:b/>
              </w:rPr>
            </w:pPr>
            <w:r>
              <w:rPr>
                <w:b/>
              </w:rPr>
              <w:t>Q:</w:t>
            </w:r>
          </w:p>
        </w:tc>
        <w:tc>
          <w:tcPr>
            <w:tcW w:w="7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attend, participate in, and ask questions during the virtual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be hosting the special meeting via live webcast only. Any AVROBIO shareholder can attend the virtual special meeting live online by registering at www.proxydocs.com/AVRO. The Annual Meeting will start at 9:00 a.m., Eastern Time, on June 11, 2024. AVROBIO shareholders attending the special meeting will be afforded the same rights and opportunities to participate as they would at an in-person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order to attend, you must register in advance at www.proxydocs.com/AVRO prior to the deadline of 5:00 p.m., Eastern Time on June 10, 2024. Upon completing your registration, you will receive further instructions via email, including your unique links that will allow you access to the special meeting and will permit you to submit questions. In order to register for the special meeting, you will need the control number, which is included in the Notice or on your proxy card if you are a shareholder of record of AVROBIO common stock, or included with your voting instruction card and voting instructions received from your broker, bank or other agent if you hold AVROBIO common stock in a “street name.” We recommend that you log in a few minutes before 9:00 a.m., Eastern Time to ensure you are logged in when the special meeting starts. The virtual meeting room will open 15 minutes before the start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would like to submit a question during the special meeting, you may log in at www.proxydocs.com/AVRO using your control number, type your question into the “Ask a Question” field, and click “Submit.” </w:t>
      </w:r>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290"/>
        <w:gridCol w:w="7145"/>
      </w:tblGrid>
      <w:tr>
        <w:trPr/>
        <w:tc>
          <w:tcPr>
            <w:tcW w:w="290" w:type="dxa"/>
            <w:tcBorders/>
            <w:vAlign w:val="center"/>
          </w:tcPr>
          <w:p>
            <w:pPr>
              <w:pStyle w:val="TableContents"/>
              <w:bidi w:val="0"/>
              <w:spacing w:before="0" w:after="283"/>
              <w:jc w:val="left"/>
              <w:rPr>
                <w:b/>
              </w:rPr>
            </w:pPr>
            <w:r>
              <w:rPr>
                <w:b/>
              </w:rPr>
              <w:t>Q:</w:t>
            </w:r>
          </w:p>
        </w:tc>
        <w:tc>
          <w:tcPr>
            <w:tcW w:w="7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have technical difficulties or trouble accessing the virtual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A:</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virtual special meeting. If you encounter any difficulties accessing the virtual special meeting during the check-in or meeting time, please call the technical support number that will be provided in your email prior to the start of the special meeting.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290"/>
        <w:gridCol w:w="3785"/>
      </w:tblGrid>
      <w:tr>
        <w:trPr/>
        <w:tc>
          <w:tcPr>
            <w:tcW w:w="290" w:type="dxa"/>
            <w:tcBorders/>
            <w:vAlign w:val="center"/>
          </w:tcPr>
          <w:p>
            <w:pPr>
              <w:pStyle w:val="TableContents"/>
              <w:bidi w:val="0"/>
              <w:spacing w:before="0" w:after="283"/>
              <w:jc w:val="left"/>
              <w:rPr>
                <w:b/>
              </w:rPr>
            </w:pPr>
            <w:r>
              <w:rPr>
                <w:b/>
              </w:rPr>
              <w:t>Q:</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May I vote in person at the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Yes, AVROBIO stockholders entitled to vote at the virtual-only format special meeting may vote their shares during the live audio webcast. AVROBIO stockholders of record as of April 29, 2024 will be able to attend and participate in the special meeting online by accessing www.proxydocs.com/AVRO. To join the special meeting, you will need to have your control number which is included on your Notice of Internet Availability of Proxy Materials and your proxy card. If your shares are held in “street name,” you should contact your broker if you did not receive a control number.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tbl>
      <w:tblPr>
        <w:tblW w:w="2380" w:type="dxa"/>
        <w:jc w:val="left"/>
        <w:tblInd w:w="0" w:type="dxa"/>
        <w:tblLayout w:type="fixed"/>
        <w:tblCellMar>
          <w:top w:w="0" w:type="dxa"/>
          <w:left w:w="0" w:type="dxa"/>
          <w:bottom w:w="0" w:type="dxa"/>
          <w:right w:w="0" w:type="dxa"/>
        </w:tblCellMar>
      </w:tblPr>
      <w:tblGrid>
        <w:gridCol w:w="290"/>
        <w:gridCol w:w="2090"/>
      </w:tblGrid>
      <w:tr>
        <w:trPr/>
        <w:tc>
          <w:tcPr>
            <w:tcW w:w="290" w:type="dxa"/>
            <w:tcBorders/>
            <w:vAlign w:val="center"/>
          </w:tcPr>
          <w:p>
            <w:pPr>
              <w:pStyle w:val="TableContents"/>
              <w:bidi w:val="0"/>
              <w:spacing w:before="0" w:after="283"/>
              <w:jc w:val="left"/>
              <w:rPr>
                <w:b/>
              </w:rPr>
            </w:pPr>
            <w:r>
              <w:rPr>
                <w:b/>
              </w:rPr>
              <w:t>Q:</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How are votes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A:</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Votes will be counted by the inspector of elections appointed for the special meeting. If you are a stockholder of record, your executed proxy card is returned directly to such inspector of elections for tabulation. If you hold your shares through a broker, your broker returns one proxy card to the inspector of elections on behalf of all its clients.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290"/>
        <w:gridCol w:w="8810"/>
      </w:tblGrid>
      <w:tr>
        <w:trPr/>
        <w:tc>
          <w:tcPr>
            <w:tcW w:w="290" w:type="dxa"/>
            <w:tcBorders/>
            <w:vAlign w:val="center"/>
          </w:tcPr>
          <w:p>
            <w:pPr>
              <w:pStyle w:val="TableContents"/>
              <w:bidi w:val="0"/>
              <w:spacing w:before="0" w:after="283"/>
              <w:jc w:val="left"/>
              <w:rPr>
                <w:b/>
              </w:rPr>
            </w:pPr>
            <w:r>
              <w:rPr>
                <w:b/>
              </w:rPr>
              <w:t>Q:</w:t>
            </w:r>
          </w:p>
        </w:tc>
        <w:tc>
          <w:tcPr>
            <w:tcW w:w="8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If my AVROBIO shares are held in “street name” by my broker, will my broker vote my shares for 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A:</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beneficially in street name and do not provide your broker or other agent with voting instructions, your shares may constitute “broker non-votes.” A “broker non-vote” occurs when shares held by a 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bidi w:val="0"/>
        <w:spacing w:before="120" w:after="0"/>
        <w:jc w:val="left"/>
        <w:rPr>
          <w:rFonts w:ascii="Times New Roman" w:hAnsi="Times New Roman"/>
          <w:sz w:val="20"/>
        </w:rPr>
      </w:pPr>
      <w:r>
        <w:rPr>
          <w:rFonts w:ascii="Times New Roman" w:hAnsi="Times New Roman"/>
          <w:sz w:val="20"/>
        </w:rPr>
        <w:t>Broker non-votes, if any, will not be treated as shares that are present at the special meeting for purposes of determining whether a quorum exists and will not have any effect for the purpose of voting on Proposal Nos. 1, 2, 4, 5, 6 and 7. Broker non-votes, if any, will have the same effect as “</w:t>
      </w:r>
      <w:r>
        <w:rPr>
          <w:rFonts w:ascii="Times New Roman" w:hAnsi="Times New Roman"/>
          <w:b/>
          <w:sz w:val="20"/>
        </w:rPr>
        <w:t>AGAINST</w:t>
      </w:r>
      <w:r>
        <w:rPr>
          <w:rFonts w:ascii="Times New Roman" w:hAnsi="Times New Roman"/>
          <w:sz w:val="20"/>
        </w:rPr>
        <w:t xml:space="preserve">” votes for Proposal No. 3. </w:t>
      </w:r>
    </w:p>
    <w:p>
      <w:pPr>
        <w:pStyle w:val="TextBody"/>
        <w:bidi w:val="0"/>
        <w:spacing w:before="120" w:after="0"/>
        <w:jc w:val="left"/>
        <w:rPr>
          <w:rFonts w:ascii="Times New Roman" w:hAnsi="Times New Roman"/>
          <w:sz w:val="20"/>
        </w:rPr>
      </w:pPr>
      <w:r>
        <w:rPr>
          <w:rFonts w:ascii="Times New Roman" w:hAnsi="Times New Roman"/>
          <w:sz w:val="20"/>
        </w:rPr>
        <w:t xml:space="preserve">If an AVROBIO stockholder does not return voting instructions to their broker on how to vote their shares of AVROBIO common stock, such broker may be prevented from voting, or may otherwise choose not to vote, such shares held by such broker, resulting in broker non-votes with respect to such shares. To make sure that your vote is counted, you should instruct your broker to vote your shares of AVROBIO common stock, following the procedures provided by your broker.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290"/>
        <w:gridCol w:w="6245"/>
      </w:tblGrid>
      <w:tr>
        <w:trPr/>
        <w:tc>
          <w:tcPr>
            <w:tcW w:w="290" w:type="dxa"/>
            <w:tcBorders/>
            <w:vAlign w:val="center"/>
          </w:tcPr>
          <w:p>
            <w:pPr>
              <w:pStyle w:val="TableContents"/>
              <w:bidi w:val="0"/>
              <w:spacing w:before="0" w:after="283"/>
              <w:jc w:val="left"/>
              <w:rPr>
                <w:b/>
              </w:rPr>
            </w:pPr>
            <w:r>
              <w:rPr>
                <w:b/>
              </w:rPr>
              <w:t>Q:</w:t>
            </w:r>
          </w:p>
        </w:tc>
        <w:tc>
          <w:tcPr>
            <w:tcW w:w="62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t>A:</w:t>
            </w:r>
          </w:p>
        </w:tc>
        <w:tc>
          <w:tcPr>
            <w:tcW w:w="99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matters deemed to be “non-routine.” These un-voted shares are counted as “broker non-votes.” </w:t>
            </w:r>
          </w:p>
        </w:tc>
      </w:tr>
    </w:tbl>
    <w:p>
      <w:pPr>
        <w:pStyle w:val="TextBody"/>
        <w:bidi w:val="0"/>
        <w:spacing w:before="120" w:after="0"/>
        <w:jc w:val="left"/>
        <w:rPr>
          <w:rFonts w:ascii="Times New Roman" w:hAnsi="Times New Roman"/>
          <w:sz w:val="20"/>
        </w:rPr>
      </w:pPr>
      <w:r>
        <w:rPr>
          <w:rFonts w:ascii="Times New Roman" w:hAnsi="Times New Roman"/>
          <w:sz w:val="20"/>
        </w:rPr>
        <w:t>Broker non-votes, if any, will not be treated as shares present for the purpose of determining the presence of a quorum for the transaction of business at the special meeting. Broker non-votes, if any, will not be counted as “votes properly cast for or against” a matter and will therefore have no effect on Proposal Nos. 1, 2, 4, 5, 6 and 7 but will be counted as “shares entitled to vote” and will therefore have the same effect of a vote “</w:t>
      </w:r>
      <w:r>
        <w:rPr>
          <w:rFonts w:ascii="Times New Roman" w:hAnsi="Times New Roman"/>
          <w:b/>
          <w:sz w:val="20"/>
        </w:rPr>
        <w:t>AGAINST</w:t>
      </w:r>
      <w:r>
        <w:rPr>
          <w:rFonts w:ascii="Times New Roman" w:hAnsi="Times New Roman"/>
          <w:sz w:val="20"/>
        </w:rPr>
        <w:t xml:space="preserve">” Proposal No. 3. </w:t>
      </w:r>
    </w:p>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290"/>
        <w:gridCol w:w="8540"/>
      </w:tblGrid>
      <w:tr>
        <w:trPr/>
        <w:tc>
          <w:tcPr>
            <w:tcW w:w="290" w:type="dxa"/>
            <w:tcBorders/>
            <w:vAlign w:val="center"/>
          </w:tcPr>
          <w:p>
            <w:pPr>
              <w:pStyle w:val="TableContents"/>
              <w:bidi w:val="0"/>
              <w:spacing w:before="0" w:after="283"/>
              <w:jc w:val="left"/>
              <w:rPr>
                <w:b/>
              </w:rPr>
            </w:pPr>
            <w:r>
              <w:rPr>
                <w:b/>
              </w:rPr>
              <w:t>Q:</w:t>
            </w:r>
          </w:p>
        </w:tc>
        <w:tc>
          <w:tcPr>
            <w:tcW w:w="8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May I revoke and/or change my vote after I have submitted a proxy or provided proxy instructions?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of record, unless such stockholder’s vote is subject to a support agreement, may revoke and/or change their vote at any time before their proxy is voted at the special meeting in one of four ways: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notice that you are revoking your proxy over the internet, following the instructions provided on your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online and vote during the meeting by following the instructions at </w:t>
            </w:r>
            <w:r>
              <w:rPr>
                <w:rFonts w:ascii="Times New Roman" w:hAnsi="Times New Roman"/>
                <w:i/>
                <w:sz w:val="20"/>
              </w:rPr>
              <w:t>www.proxydocs.com/AVRO</w:t>
            </w:r>
            <w:r>
              <w:rPr>
                <w:rFonts w:ascii="Times New Roman" w:hAnsi="Times New Roman"/>
                <w:sz w:val="20"/>
              </w:rPr>
              <w:t xml:space="preserve">. Simply attending the special meeting will not, by itself, revoke your proxy and/or change your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June 10, 2024 at 11:59 p.m. Eastern Time to be counted. </w:t>
      </w:r>
    </w:p>
    <w:p>
      <w:pPr>
        <w:pStyle w:val="TextBody"/>
        <w:bidi w:val="0"/>
        <w:spacing w:before="120" w:after="0"/>
        <w:jc w:val="left"/>
        <w:rPr>
          <w:rFonts w:ascii="Times New Roman" w:hAnsi="Times New Roman"/>
          <w:sz w:val="20"/>
        </w:rPr>
      </w:pPr>
      <w:r>
        <w:rPr>
          <w:rFonts w:ascii="Times New Roman" w:hAnsi="Times New Roman"/>
          <w:sz w:val="20"/>
        </w:rPr>
        <w:t xml:space="preserve">If an AVROBIO stockholder who owns AVROBIO shares in “street name” has instructed a broker to vote its shares of AVROBIO common stock, the stockholder must follow directions received from its broker to change those instructions.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290"/>
        <w:gridCol w:w="3590"/>
      </w:tblGrid>
      <w:tr>
        <w:trPr/>
        <w:tc>
          <w:tcPr>
            <w:tcW w:w="290" w:type="dxa"/>
            <w:tcBorders/>
            <w:vAlign w:val="center"/>
          </w:tcPr>
          <w:p>
            <w:pPr>
              <w:pStyle w:val="TableContents"/>
              <w:bidi w:val="0"/>
              <w:spacing w:before="0" w:after="283"/>
              <w:jc w:val="left"/>
              <w:rPr>
                <w:b/>
              </w:rPr>
            </w:pPr>
            <w:r>
              <w:rPr>
                <w:b/>
              </w:rPr>
              <w:t>Q:</w:t>
            </w:r>
          </w:p>
        </w:tc>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and Tectonic will share equally the cost of printing and filing of this proxy statement/prospectus and the proxy card. Arrangements will also be made with brokerage firms and other custodians, nominees and fiduciaries who are record holders of AVROBIO common stock for the forwarding of solicitation materials to the beneficial owners of AVROBIO common stock. AVROBIO will reimburse these brokers, custodians, nominees and fiduciaries for the reasonable out-of-pocket expenses they incur in connection with the forwarding of solicitation materials. AVROBIO has retained Innisfree M&amp;A Incorporated (the “proxy solicitor”), to assist it in soliciting proxies using the means referred to above. AVROBIO will pay the fees of the proxy solicitor, which AVROBIO expects to be up to $50,000, plus reimbursement of out-of-pocket expenses.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290"/>
        <w:gridCol w:w="9725"/>
      </w:tblGrid>
      <w:tr>
        <w:trPr/>
        <w:tc>
          <w:tcPr>
            <w:tcW w:w="290" w:type="dxa"/>
            <w:tcBorders/>
            <w:vAlign w:val="center"/>
          </w:tcPr>
          <w:p>
            <w:pPr>
              <w:pStyle w:val="TableContents"/>
              <w:bidi w:val="0"/>
              <w:spacing w:before="0" w:after="283"/>
              <w:jc w:val="left"/>
              <w:rPr>
                <w:b/>
              </w:rPr>
            </w:pPr>
            <w:r>
              <w:rPr>
                <w:b/>
              </w:rPr>
              <w:t>Q:</w:t>
            </w:r>
          </w:p>
        </w:tc>
        <w:tc>
          <w:tcPr>
            <w:tcW w:w="9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to holders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will not sell, exchange or dispose of any shares of AVROBIO common stock as a result of the merger. Thus, there will be no material U.S. federal income tax consequences to AVROBIO stockholders as a result of solely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b/>
              </w:rPr>
            </w:pPr>
            <w:r>
              <w:rPr>
                <w:b/>
              </w:rPr>
              <w:t>Q:</w:t>
            </w:r>
          </w:p>
        </w:tc>
        <w:tc>
          <w:tcPr>
            <w:tcW w:w="991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to U.S. Holders of Tectonic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pPr>
            <w:r>
              <w:rPr/>
              <w:t>A:</w:t>
            </w:r>
          </w:p>
        </w:tc>
        <w:tc>
          <w:tcPr>
            <w:tcW w:w="99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merger is intended to qualify as a “reorganization” within the meaning of Section 368(a) of the Internal Revenue Code of 1986, as amended (the “Code”), for U.S. federal income tax purposes. In reliance on the representation letters of AVROBIO and Tectonic that will be delivered to each of Goodwin and Cooley, and subject to the assumptions, qualifications and limitations described herein and in the opinions included as Exhibit 8.1 and Exhibit 8.2 hereto, each of Goodwin, as counsel to AVROBIO, and Cooley, as counsel to Tectonic, is of the opinion that the merger will qualify as a “reorganization” within the meaning of Section 368(a) of the Code. It is not, however, a condition to AVROBIO’s obligation or Tectonic’s obligation to complete the merger that the merger so qualifies. Additionally, the opinions described above are based on the law in effect on the dates of the opinions and assume that there will be no change in applicable law between such date and the time of the merger. If any of the assumptions, representations or covenants on which any opinion is based is or becomes incorrect, incomplete, inaccurate or is otherwise not complied with, the validity of the opinions described above may be adversely affected and the tax consequences of the merger could differ from those described herein. Assuming, consistent with such tax opinions, that the merger qualifies as a “reorganization” within the meaning of Section 368(a) of the Code, subject to the limitations and qualifications described in the section titled “</w:t>
            </w:r>
            <w:r>
              <w:rPr>
                <w:rFonts w:ascii="Times New Roman" w:hAnsi="Times New Roman"/>
                <w:i/>
                <w:sz w:val="20"/>
              </w:rPr>
              <w:t>The Merger—Material U.S. Federal Income Tax Consequences of the Merger</w:t>
            </w:r>
            <w:r>
              <w:rPr>
                <w:rFonts w:ascii="Times New Roman" w:hAnsi="Times New Roman"/>
                <w:sz w:val="20"/>
              </w:rPr>
              <w:t>” beginning on page 231 of this proxy statement/prospectus, holders of shares of Tectonic common stock generally would not recognize any gain or loss for U.S. federal income tax purposes on the exchange of their shares of Tectonic common stock for shares of AVROBIO common stock in the merger. However, if the merger does not qualify as a “reorganization” within the meaning of Section 368(a) of the Code, the merger would be a taxable transaction to U.S. Holders (as defined in the section 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231 of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AVROBIO, Tectonic, nor Merger Sub intends to obtain a ruling from the Internal Revenue Service (the “IRS”) on the tax consequences of the merger, including any ruling regarding qualification of the merger as a reorganization within the meaning of Section 368(a) of the Code. An opinion of counsel represents counsel’s legal judgment but is not binding on the IRS or any court. Accordingly, there can be no assurance that the IRS will not assert that the merger fails to qualify as a reorganization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disagree with the conclusions set forth in such opinions) or that a court would not sustain such a challenge. If the IRS were to successfully challenge the “reorganization” status of the merger, the tax consequences would vary significantly from those set forth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The tax consequences to you of the merger will depend on your particular facts and circumstances. Please consult your tax advisor as to the tax consequences of the merger in your particular circumstances, including the applicability and effect of U.S. federal, state, local and foreign income and other tax laws. For a more complete discussion of the material U.S. federal income tax consequences of the merger, see the section 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231 of this proxy statement/prospectus.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b/>
              </w:rPr>
            </w:pPr>
            <w:r>
              <w:rPr>
                <w:b/>
              </w:rPr>
              <w:t>Q:</w:t>
            </w:r>
          </w:p>
        </w:tc>
        <w:tc>
          <w:tcPr>
            <w:tcW w:w="994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issuance of the CVRs and of the receipt of payments on the CVRs (if any) to holders of AVROBIO common stock under the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 is substantial uncertainty as to the U.S. federal income tax treatment of the CVRs and payments (if any) thereon. AVROBIO does not intend to report the issuance of the CVRs as a current distribution and instead intends to report each future cash payment (if any) on the CVRs as a distribution by the combined company for U.S. federal income tax purposes, with each such payment being reported as a dividend to the extent of the combined company’s current and accumulated earnings and profits in the year in which such payment is made. This position may be challenged by the IRS in which case holders of AVROBIO common stock could be required to recognize taxable income in respect of the issuance of the CVRs without a corresponding receipt of cash. Please review the information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for a discussion of the material U.S. federal income tax consequences of the issuance of the CVRs and the receipt of payments (if any) thereon to holders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b/>
              </w:rPr>
            </w:pPr>
            <w:r>
              <w:rPr>
                <w:b/>
              </w:rPr>
              <w:t>Q:</w:t>
            </w:r>
          </w:p>
        </w:tc>
        <w:tc>
          <w:tcPr>
            <w:tcW w:w="992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reverse stock split to holders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holder of AVROBIO common stock generally should not recognize gain or loss upon the reverse stock split, except to the extent such holder receives cash in lieu of a fractional share of AVROBIO common stock, and subject to the discussion, limitations and qualifications described in the section titled “</w:t>
            </w:r>
            <w:r>
              <w:rPr>
                <w:rFonts w:ascii="Times New Roman" w:hAnsi="Times New Roman"/>
                <w:i/>
                <w:sz w:val="20"/>
              </w:rPr>
              <w:t>Proposal No. 2—The Reverse Stock Split Proposal—Material U.S. Federal Income Tax Consequences of the Reverse Stock Split</w:t>
            </w:r>
            <w:r>
              <w:rPr>
                <w:rFonts w:ascii="Times New Roman" w:hAnsi="Times New Roman"/>
                <w:sz w:val="20"/>
              </w:rPr>
              <w:t>” beginning on page 313 of this proxy statement/prospectus. Please review the information in the section titled “</w:t>
            </w:r>
            <w:r>
              <w:rPr>
                <w:rFonts w:ascii="Times New Roman" w:hAnsi="Times New Roman"/>
                <w:i/>
                <w:sz w:val="20"/>
              </w:rPr>
              <w:t>Proposal No. 2—The Reverse Stock Split Proposal—Material U.S. Federal Income Tax</w:t>
            </w:r>
            <w:r>
              <w:rPr>
                <w:rFonts w:ascii="Times New Roman" w:hAnsi="Times New Roman"/>
                <w:sz w:val="20"/>
              </w:rPr>
              <w:t xml:space="preserve"> </w:t>
            </w:r>
            <w:r>
              <w:rPr>
                <w:rFonts w:ascii="Times New Roman" w:hAnsi="Times New Roman"/>
                <w:i/>
                <w:sz w:val="20"/>
              </w:rPr>
              <w:t>Consequences of the Reverse Stock Split</w:t>
            </w:r>
            <w:r>
              <w:rPr>
                <w:rFonts w:ascii="Times New Roman" w:hAnsi="Times New Roman"/>
                <w:sz w:val="20"/>
              </w:rPr>
              <w:t xml:space="preserve">” beginning on page 313 of this proxy statement/prospectus for a more complete description of the material U.S. federal income tax consequences of the reverse stock split to holders of AVROBIO common stock. </w:t>
            </w:r>
          </w:p>
        </w:tc>
      </w:tr>
    </w:tbl>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290"/>
        <w:gridCol w:w="3125"/>
      </w:tblGrid>
      <w:tr>
        <w:trPr/>
        <w:tc>
          <w:tcPr>
            <w:tcW w:w="290" w:type="dxa"/>
            <w:tcBorders/>
            <w:vAlign w:val="center"/>
          </w:tcPr>
          <w:p>
            <w:pPr>
              <w:pStyle w:val="TableContents"/>
              <w:bidi w:val="0"/>
              <w:spacing w:before="0" w:after="283"/>
              <w:jc w:val="left"/>
              <w:rPr>
                <w:b/>
              </w:rPr>
            </w:pPr>
            <w:r>
              <w:rPr>
                <w:b/>
              </w:rPr>
              <w:t>Q:</w:t>
            </w:r>
          </w:p>
        </w:tc>
        <w:tc>
          <w:tcPr>
            <w:tcW w:w="31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are an AVROBIO stockholder and would like additional copies of this proxy statement/prospectus without charge or if you have questions about the merger or related matters, including the procedures for voting your shares, you should contact: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1130" cy="38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130" cy="38100"/>
                    </a:xfrm>
                    <a:prstGeom prst="rect">
                      <a:avLst/>
                    </a:prstGeom>
                  </pic:spPr>
                </pic:pic>
              </a:graphicData>
            </a:graphic>
          </wp:inline>
        </w:drawing>
      </w: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Shareholders may call toll free: (877) 456-3513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toc770053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proxy statement/prospectus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“Where You Can Find More Information” beginning on page 476 of this proxy statement/prospectus for further information. 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360" w:after="0"/>
        <w:jc w:val="left"/>
        <w:rPr>
          <w:rFonts w:ascii="Times New Roman" w:hAnsi="Times New Roman"/>
          <w:b/>
          <w:sz w:val="20"/>
          <w:bdr w:val="single" w:sz="8" w:space="1" w:color="000000"/>
        </w:rPr>
      </w:pPr>
      <w:bookmarkStart w:id="5" w:name="toc770053_3"/>
      <w:bookmarkEnd w:id="5"/>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AVROBIO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is a gene therapy company with a purpose to free people from a lifetime of genetic disease. AVROBIO has been focused on developing potentially curative hematopoietic stem cell (“HSC”) gene therapies to treat patients with rare diseases following a single dose treatment regimen. The gene therapies AVROBIO had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enzyme replacement therapies (“ERTs”).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12, 2023, following a comprehensive review of AVROBIO’s business by the AVROBIO Board, AVROBIO announced its intention to halt development of its programs and explore strategic alternatives focused on maximizing stockholder value, which may include, but is not limited to, an acquisition, a merger, business combination or divestiture.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a comprehensive review of strategic alternatives, including identifying and reviewing potential candidates for a strategic transaction, on January 30, 2024, AVROBIO entered into the Merger Agreement with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certain investors have agreed to purchase shares of Tectonic common stock at a purchase price of $12.39908 per share, subject to and immediately prior to the closing, pursuant to the terms of the Subscription Agreement, and certain investors have consummated or will consummate certain additional purchases of Tectonic common stock pursuant to the conversion of certain Company SAFEs entered into by such investors and Tectonic, for an aggregate purchase price among the private financings contemplated by the Subscription Agreement and such Company SAFEs of approximately $130.7 million. While Tectonic will assume AVROBIO’s product candidates and related intellectual property rights as part of the merger, the combined company will focus on developing Tectonic’s product candidates, and at the present time, it is anticipated that the combined company will not continue to develop AVROBIO’s legacy product candidates.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closing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common stock to be issued in connection with the proposed transaction. The closings of the private financings are conditioned upon the satisfaction or waiver of the conditions to the closing as well as certain other conditions. If the transactions are completed, the business of Tectonic will continue as the business of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(as defined below),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AVROBIO’s principal executive offices are located at One Broadway, 14th Floor, Cambridge, Massachusetts 02142, and its telephone number is (617) 914-8420. AVROBIO’s website address is </w:t>
      </w:r>
      <w:r>
        <w:rPr>
          <w:rFonts w:ascii="Times New Roman" w:hAnsi="Times New Roman"/>
          <w:i/>
          <w:sz w:val="20"/>
          <w:bdr w:val="single" w:sz="8" w:space="1" w:color="000000"/>
        </w:rPr>
        <w:t>www.avrobio.com</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Tectonic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Tectonic uses its proprietary GEODe™ technology platform in an attempt to overcome the known challenges of GPCR-targeted drug discovery. The initial platform components, first generation yeast library design and initial yeast selection protocols, were developed in Dr. Andrew Kruse’s lab at Harvard Medical School. However,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last few years the Tectonic team has made many improvements and modifications to all aspects of the platform including second and third generation library designs, optimized GPCR engineering strategies and yeast selection protocols better suited to GPCR antibody discovery. These modifications have resulted in selection campaigns that have a higher hit rate with molecules that have higher affinity and potency compared to hits identified from initial antibody selection campaigns. The GEODe™ platform includes components aimed at optimizing the expression, purification, and stabilization of GPCRs and pairs these advances with Tectonic’s protein engineering and structural biology capabilities. While the current libraries, receptor engineering and selection strategies are producing GPCR-targeted antibodies, the Tectonic team continues to evolve and modify aspects of the platform, which the Tectonic team believes will lead to even better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Tectonic’s lead asset, TX000045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 Tectonic believes TX45’s pharmacological profile, the direct result of applying Tectonic’s protein engineering capabilities, has the potential to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 HFpEF hereafter, as the initial disease setting. Tectonic hypothesizes that in this setting, treatment with relaxin could improve hemodynamics through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that the platform may never result in the regulatory approval of a product candidate.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Tectonic’s principal executive offices are located at 490 Arsenal Way, Suite 210, Watertown, Massachusetts 02472, and its telephone number is (339) 666-3320. Tectonic’s website address is </w:t>
      </w:r>
      <w:r>
        <w:rPr>
          <w:rFonts w:ascii="Times New Roman" w:hAnsi="Times New Roman"/>
          <w:i/>
          <w:sz w:val="20"/>
          <w:bdr w:val="single" w:sz="8" w:space="1" w:color="000000"/>
        </w:rPr>
        <w:t>www.tectonictx.com</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Merger Sub is a direct, wholly owned subsidiary of AVROBIO and was formed solely for the purpose of carrying out the merger. Merger Sub’s principal executive offices are located at One Broadway, 14th Floor, Cambridge, Massachusetts 02142, and its telephone number is (617) 914-8420.</w:t>
      </w:r>
    </w:p>
    <w:p>
      <w:pPr>
        <w:pStyle w:val="TextBody"/>
        <w:bidi w:val="0"/>
        <w:spacing w:before="360" w:after="0"/>
        <w:jc w:val="left"/>
        <w:rPr>
          <w:rFonts w:ascii="Times New Roman" w:hAnsi="Times New Roman"/>
          <w:b/>
          <w:sz w:val="20"/>
          <w:bdr w:val="single" w:sz="8" w:space="1" w:color="000000"/>
        </w:rPr>
      </w:pPr>
      <w:bookmarkStart w:id="6" w:name="toc770053_4"/>
      <w:bookmarkEnd w:id="6"/>
      <w:r>
        <w:rPr>
          <w:rFonts w:ascii="Times New Roman" w:hAnsi="Times New Roman"/>
          <w:b/>
          <w:sz w:val="20"/>
          <w:bdr w:val="single" w:sz="8" w:space="1" w:color="000000"/>
        </w:rPr>
        <w:t xml:space="preserve">The Merger (see page 179)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completed, Merger Sub will merge with and into Tectonic, with Tectonic surviving as a wholly owned subsidiary of AVROBIO.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30, 2024, AVROBIO, Merger Sub, and Tectonic entered into the Merger Agreement, pursuant to which Merger Sub will merge with and into Tectonic, with Tectonic surviving as a wholly-owned subsidiary of AVROBIO. Tectonic will assume AVROBIO’s product candidates and related intellectual property rights as part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and Tectonic expect the merger to be consummated during the second quarter of 2024, subject to the satisfaction or waiver of certain conditions to the closing, including, among other things, approval by the AVROBIO stockholders of the Nasdaq Stock Issuance Proposal and the Reverse Stock Split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after the merger, and prior to giving effect to the proposed private financings, on a pro forma basis and based upon the number of shares of AVROBIO common stock expected to be issued in the merger, AVROBIO securityholders as of immediately prior to the merger are expected to own approximately 35.6% of the combined company on a fully-diluted basis (prior to giving effect to the private financings and excluding shares reserved for future grants under the 2024 Plan and the 2024 ESPP), and after giving further effect to the proposed private financings, assuming a subscription amount of $130.7 million, AVROBIO securityholders as of immediately prior to the merger are expected to own approximately 22.3% of the outstanding shares of capital stock of the combined company on a fully-diluted basis. Immediately after the merger, and prior to giving effect to the proposed private financings, on a pro forma basis and based upon the number of shares of AVROBIO common stock expected to be issued in the merger, Tectonic securityholders as of immediately prior to the merger are expected to own approximately 64.4% of the combined company on a fully-diluted basis (prior to giving effect to the private financings and excluding shares reserved for future grants under the 2024 Plan and the 2024 ESPP), and after giving further effect to the proposed private financings, assuming a subscription amount of $130.7 million, Tectonic securityholders as of immediately prior to the merger are expected to own approximately 39.8% of the outstanding shares of capital stock of the combined company on a fully-diluted basis.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complete description of the merger and the exchange ratio, please see the sections titled “</w:t>
      </w:r>
      <w:r>
        <w:rPr>
          <w:rFonts w:ascii="Times New Roman" w:hAnsi="Times New Roman"/>
          <w:i/>
          <w:sz w:val="20"/>
          <w:bdr w:val="single" w:sz="8" w:space="1" w:color="000000"/>
        </w:rPr>
        <w:t>The Merger”</w:t>
      </w:r>
      <w:r>
        <w:rPr>
          <w:rFonts w:ascii="Times New Roman" w:hAnsi="Times New Roman"/>
          <w:sz w:val="20"/>
          <w:bdr w:val="single" w:sz="8" w:space="1" w:color="000000"/>
        </w:rPr>
        <w:t xml:space="preserve"> and “</w:t>
      </w:r>
      <w:r>
        <w:rPr>
          <w:rFonts w:ascii="Times New Roman" w:hAnsi="Times New Roman"/>
          <w:i/>
          <w:sz w:val="20"/>
          <w:bdr w:val="single" w:sz="8" w:space="1" w:color="000000"/>
        </w:rPr>
        <w:t>The Merger Agreement—The Exchange Ratio</w:t>
      </w:r>
      <w:r>
        <w:rPr>
          <w:rFonts w:ascii="Times New Roman" w:hAnsi="Times New Roman"/>
          <w:sz w:val="20"/>
          <w:bdr w:val="single" w:sz="8" w:space="1" w:color="000000"/>
        </w:rPr>
        <w:t xml:space="preserve">” beginning on pages 179 and 240, respectively, of this proxy statement/prospectus. </w:t>
      </w:r>
    </w:p>
    <w:p>
      <w:pPr>
        <w:pStyle w:val="TextBody"/>
        <w:bidi w:val="0"/>
        <w:spacing w:before="360" w:after="0"/>
        <w:jc w:val="left"/>
        <w:rPr>
          <w:rFonts w:ascii="Times New Roman" w:hAnsi="Times New Roman"/>
          <w:b/>
          <w:sz w:val="20"/>
          <w:bdr w:val="single" w:sz="8" w:space="1" w:color="000000"/>
        </w:rPr>
      </w:pPr>
      <w:bookmarkStart w:id="7" w:name="toc770053_5"/>
      <w:bookmarkEnd w:id="7"/>
      <w:r>
        <w:rPr>
          <w:rFonts w:ascii="Times New Roman" w:hAnsi="Times New Roman"/>
          <w:b/>
          <w:sz w:val="20"/>
          <w:bdr w:val="single" w:sz="8" w:space="1" w:color="000000"/>
        </w:rPr>
        <w:t xml:space="preserve">AVROBIO’s Reasons for the Merger (see page 197)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the course of its evaluation of the Merger Agreement and the transactions contemplated by the Merger Agreement, the AVROBIO Board (including the Transaction Committee of the AVROBIO Board (the “Transaction Committee”)) held numerous meetings, consulted with AVROBIO’s senior management, AVROBIO’s legal and financial advisors, and reviewed and assessed a significant amount of information. In reaching its decision to approve the Merger Agreement and the transactions contemplated by the Merger Agreement, the AVROBIO Board took into account the input of the Transaction Committee and considered a number of factors that it viewed as supporting its decision to approve the Merger Agreement, including (without limitation):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AVROBIO and the risks associated with continuing to operate AVROBIO on a standalone basis, including in light of (without limitation):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decision, announced in July 2023, to discontinue its clinical and research programs which resulted in a corporate restructuring and a reduction in AVROBIO’s workforce by 50% (followed by additional reductions in force in October, November and December of 2023);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 interest and value perception for possible further development of its programs, the product candidates’ efficacy profile, stage of development, regulatory agencies’ feedback regarding development pathways, and probability of success in relation to the requisite time and costs, including the relative absence of meaningful, near-term regulatory and clinical inflection points for AVROBIO’s ongoing programs following the Cystinosis Sale (as defined in this proxy statement/prospectus);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encountered in AVROBIO’s related business development efforts to license, sell or otherwise partner its assets that could result in meaningful new capital or shared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 costs, and to generate sufficient investor interest despite two separate attempts at capital raising, which further exacerbated the lack of opportunities to achieve meaningful near-term regulatory and clinical inflection points for AVROBIO’s ongoing programs.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AVROBIO Board and the Transaction Committee, with the assistance of AVROBIO’s management and legal and financial advisors, undertook a comprehensive and thorough process of reviewing and analyzing potential strategic alternatives and strategic transaction partner candidates, which included the public announcement of AVROBIO’s exploration of strategic alternatives on July 12, 2023, subsequent outreach to approximately 60 strategic and reverse merger candidates and review by the AVROBIO Board of other alternatives (including remaining a standalone company, a liquidation or dissolution of AVROBIO to distribute any available cash and alternative strategic transactions);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Committee and the AVROBIO Board’s belief, after a thorough review of strategic alternatives, including engagement with numerous strategic parties with respect to various types of strategic transactions (including whole-company sales, “reverse merger” transactions and “merger of equals” transactions), attempts at two capital raising financings, both of which were unable to generate sufficient investor interest, engagement with certain counterparties on potential partnership opportunities, including in Japan, and the completion of the Cystinosis Sale to Novartis, that the merger is more favorable to AVROBIO stockholders than the potential value that might have resulted from other strategic alternatives available to AVROBIO;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the $77.5 million value ascribed to AVROBIO by Tectonic would provide the existing AVROBIO stockholders significant value for AVROBIO and afford AVROBIO stockholders a significant opportunity to participate in the potential growth of the combined company following the merger at the negotiated exchange ratio, and the AVROBIO Board’s understanding that such $77.5 million value was based on a targeted $65 million of net cash at closing and that the actual valuation ascribed to AVROBIO at closing would be increased or decreased subject to actual deviations in AVROBIO’s net cash at closing in excess of a $0.5 million “hurdle” in both directions (as described more fully in the section titled ”</w:t>
            </w:r>
            <w:r>
              <w:rPr>
                <w:rFonts w:ascii="Times New Roman" w:hAnsi="Times New Roman"/>
                <w:i/>
                <w:sz w:val="20"/>
              </w:rPr>
              <w:t>The Merger Agreement</w:t>
            </w:r>
            <w:r>
              <w:rPr>
                <w:rFonts w:ascii="Times New Roman" w:hAnsi="Times New Roman"/>
                <w:sz w:val="20"/>
              </w:rPr>
              <w:t xml:space="preserve">” beginning on page 239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view, following a review with AVROBIO’s senior management and advisors of Tectonic’s current development and clinical trial plans, of the likelihood that the combined company would possess sufficient cash resources at the closing of the merger, or have access to sufficient resources, to fund continued development of Tectonic’s product candidates through certain anticipated upcoming value inflection points;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positive view, based on the scientific, regulatory and technical due diligence conducted by AVROBIO’s senior management and advisors, of the regulatory pathway for, and potential significant market opportunity of, Tectonic’s product candidates, which will be the focus of the combined company;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consideration of the expected cash and cash equivalents of the combined company as of the closing of the merger, including the anticipated aggregate proceeds of $130.7 million to be received by Tectonic between the Subscription Agreement and the Company SAFEs, and the quality of the investor syndicate offered by Tectonic;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Tectonic constituted the most compelling “reverse merger” counterparty as it pertains to each of the Criteria enumerated by the AVROBIO Board (for additional information, please see the section titled “—</w:t>
            </w:r>
            <w:r>
              <w:rPr>
                <w:rFonts w:ascii="Times New Roman" w:hAnsi="Times New Roman"/>
                <w:i/>
                <w:sz w:val="20"/>
              </w:rPr>
              <w:t>Background of the Merger</w:t>
            </w:r>
            <w:r>
              <w:rPr>
                <w:rFonts w:ascii="Times New Roman" w:hAnsi="Times New Roman"/>
                <w:sz w:val="20"/>
              </w:rPr>
              <w:t xml:space="preserve">” beginning on page 179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AVROBIO’s common stock;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AVROBIO stockholders to receive cash or other marketable proceeds in respect of AVROBIO’s pre-closing assets following the closing of the merger pursuant to the CVR Agreement;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liquidation analysis prepared by AVROBIO’s management for the AVROBIO Board’s review, which implied an equity value of AVROBIO in the reverse merger case of approximately $87.5 million, as compared to approximately $72.6 million in the July 2024 liquidation case and approximately $68.7 million in the October 2024 liquidation case (for additional information, please see the sections titled “—</w:t>
            </w:r>
            <w:r>
              <w:rPr>
                <w:rFonts w:ascii="Times New Roman" w:hAnsi="Times New Roman"/>
                <w:i/>
                <w:sz w:val="20"/>
              </w:rPr>
              <w:t>Background of the Merger</w:t>
            </w:r>
            <w:r>
              <w:rPr>
                <w:rFonts w:ascii="Times New Roman" w:hAnsi="Times New Roman"/>
                <w:sz w:val="20"/>
              </w:rPr>
              <w:t>” and “—</w:t>
            </w:r>
            <w:r>
              <w:rPr>
                <w:rFonts w:ascii="Times New Roman" w:hAnsi="Times New Roman"/>
                <w:i/>
                <w:sz w:val="20"/>
              </w:rPr>
              <w:t>AVROBIO Liquidation Analysis</w:t>
            </w:r>
            <w:r>
              <w:rPr>
                <w:rFonts w:ascii="Times New Roman" w:hAnsi="Times New Roman"/>
                <w:sz w:val="20"/>
              </w:rPr>
              <w:t xml:space="preserve">” beginning on pages 179 and 203, respectively,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and delays associated with, and uncertain value and costs to AVROBIO stockholders of, liquidating AVROBIO, including, without limitation, the uncertainties of continuing cash burn while contingent liabilities are resolved, the uncertainty of timing of release of cash until contingent liabilities are resolved and AVROBIO’s continuing contractual obligations as of the date of the Merger Agreement that extend through June 2024;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financial analysis reviewed by Houlihan Lokey with the AVROBIO Board as well as the oral opinion of Houlihan Lokey rendered to the AVROBIO Board on January 29, 2024 (which was subsequently confirmed in writing by delivery of Houlihan Lokey’s written opinion addressed to the AVROBIO Board), to the effect that, as of January 29, 2024, based upon and subject to the assumptions, qualifications, limitations and other matters considered as set forth in the Opinion (as defined below), the Exchange Ratio provided for in the Merger pursuant to the Merger Agreement, after giving effect to the Related Transactions, is fair, from a financial point of view to AVROBIO (for additional information, please see the section titled “—</w:t>
            </w:r>
            <w:r>
              <w:rPr>
                <w:rFonts w:ascii="Times New Roman" w:hAnsi="Times New Roman"/>
                <w:i/>
                <w:sz w:val="20"/>
              </w:rPr>
              <w:t>Opinion of Houlihan Lokey to the AVROBIO Board</w:t>
            </w:r>
            <w:r>
              <w:rPr>
                <w:rFonts w:ascii="Times New Roman" w:hAnsi="Times New Roman"/>
                <w:sz w:val="20"/>
              </w:rPr>
              <w:t xml:space="preserve">” beginning on page 208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AVROBIO common stock to be issued in the merger may be reduced or increased to the extent AVROBIO’s net cash position at the closing differs by more than $0.5 million from the anticipated $65.0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nature of the conditions to Tectonic’s and AVROBIO’s respective obligations to complete the merger and the likelihood that the merger will be completed on a timely basis, including the fact that Tectonic’s obligation to complete the merger is conditioned on AVROBIO having a specified level of closing net cash being not less than $50.0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rights of, and limitations on, AVROBIO and Tectonic under the Merger Agreement to consider and engage in discussions regarding unsolicited acquisition proposals under certain circumstances, and the limitations on the board of directors of each party to change its recommendation in favor of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termination fee of $2.712 million, in the case of the fee payable by AVROBIO, or $4.9 million, in the case of the fee payable by Tectonic, if the Merger Agreement is terminated in certain circumstances, and the potential reimbursement of transaction expenses payable by AVROBIO of up to $650,000 if the special meeting has been held and completed and AVROBIO stockholders have taken a final vote on Proposal Nos. 1 and 2, and such proposals have not been approved by the AVROBIO stockholders at the AVROBIO special meeting (or any adjournment or postponement thereof);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pursuant to which certain Tectonic stockholder and AVROBIO stockholders have, subject to certain exceptions, agreed not to transfer their shares of AVROBIO common stock during the period of 180 days following the completion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stockholders of AVROBIO and Tectonic have agreed, solely in their capacities as stockholders, to vote all of their shares of AVROBIO common stock or Tectonic common stock (as applicable) in favor of the proposals submitted to them in connection with the merger and against any alternative acquisition proposals;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agreement of Tectonic to provide the written consent of Tectonic stockholders necessary to adopt the Merger Agreement and approve the Merger and the contemplated transactions;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CVR Agreement, pursuant to which AVROBIO stockholders of record as of immediately prior to the effective time (including holders of shares of AVROBIO common stock issued upon settlment of the AVROBIO RSUs), will receive a CVR for each outstanding share of AVROBIO common stock held by such AVROBIO stockholders representing the contractual right to receive cash payments, if any, upon the receipt by AVROBIO of certain net proceeds payable to the combined company, as more fully described in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would qualify as a reorganization within the meaning of Section 368(a) of the Code, and will constitute a “plan of reorganization” within the meaning of Treasury Regulations Section 1.368 2(g), with the result that Tectonic stockholders would generally not recognize taxable gain or loss for U.S. federal income tax purposes upon the exchange of Tectonic common stock for AVROBIO common stock pursuant to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please see the section titled “</w:t>
      </w:r>
      <w:r>
        <w:rPr>
          <w:rFonts w:ascii="Times New Roman" w:hAnsi="Times New Roman"/>
          <w:i/>
          <w:sz w:val="20"/>
          <w:bdr w:val="single" w:sz="8" w:space="1" w:color="000000"/>
        </w:rPr>
        <w:t>The Merger—AVROBIO’S Reasons for the Merger</w:t>
      </w:r>
      <w:r>
        <w:rPr>
          <w:rFonts w:ascii="Times New Roman" w:hAnsi="Times New Roman"/>
          <w:sz w:val="20"/>
          <w:bdr w:val="single" w:sz="8" w:space="1" w:color="000000"/>
        </w:rPr>
        <w:t xml:space="preserve">” beginning on page 197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Tectonic’s Reasons for the Merger (see page 200)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the Tectonic Board held meetings and conducted discussions, consulted with Tectonic’s senior management, its financial advisors and legal counsel, and considered a wide variety of factors. Ultimately, the Tectonic Board concluded that a merger with AVROBIO, together with the additional financing committed by the investors in the Tectonic pre-closing financing, was the best option to generate capital resources to support the advancement of Tectonic’s pipeline and fund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Tectonic Board considered, among others, the following material factors (which factors are not necessarily presented in any order or relevant importance):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provide Tectonic’s current stockholders with greater liquidity by owning publicly-traded stock, and expanding the range of investors potentially available as a public company, compared to the investors Tectonic could otherwise gain access to if it continued to operate as a privately-held company;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Tectonic’s business, including its financial performance and condition, operations, management and pre-clinical data generated to date; </w:t>
            </w:r>
          </w:p>
        </w:tc>
      </w:tr>
    </w:tbl>
    <w:p>
      <w:pPr>
        <w:pStyle w:val="TextBody"/>
        <w:bidi w:val="0"/>
        <w:spacing w:before="0" w:after="0"/>
        <w:jc w:val="left"/>
        <w:rPr>
          <w:bdr w:val="single" w:sz="8" w:space="1" w:color="000000"/>
        </w:rPr>
      </w:pPr>
      <w:r>
        <w:rPr>
          <w:bdr w:val="single" w:sz="8" w:space="1" w:color="000000"/>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Tectonic operates; </w:t>
            </w:r>
          </w:p>
        </w:tc>
      </w:tr>
    </w:tbl>
    <w:p>
      <w:pPr>
        <w:pStyle w:val="TextBody"/>
        <w:bidi w:val="0"/>
        <w:spacing w:before="0" w:after="0"/>
        <w:jc w:val="left"/>
        <w:rPr>
          <w:bdr w:val="single" w:sz="8" w:space="1" w:color="000000"/>
        </w:rPr>
      </w:pPr>
      <w:r>
        <w:rPr>
          <w:bdr w:val="single" w:sz="8" w:space="1" w:color="000000"/>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Board’s fiduciary duties to Tectonic stockholders;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Tectonic’s Board’s belief that no alternatives to the merger were reasonably likely to create greater value for the Tectonic stockholders, after reviewing the various financing and other strategic options to enhance stockholder value that were considered by the Tectonic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projected financial position, operations, management structure, geographic locations, operating plans, cash burn rate and financial projections of the combined company, including the expected cash resources of the combined company (including the ability to support the combined company’s current and planned clinical trials and operations); </w:t>
            </w:r>
          </w:p>
        </w:tc>
      </w:tr>
    </w:tbl>
    <w:p>
      <w:pPr>
        <w:pStyle w:val="TextBody"/>
        <w:bidi w:val="0"/>
        <w:spacing w:before="0" w:after="0"/>
        <w:jc w:val="left"/>
        <w:rPr>
          <w:bdr w:val="single" w:sz="8" w:space="1" w:color="000000"/>
        </w:rPr>
      </w:pPr>
      <w:r>
        <w:rPr>
          <w:bdr w:val="single" w:sz="8" w:space="1" w:color="000000"/>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AVROBIO;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Delaware General Corporation Law (“DGCL”) to holders of Tectonic’s capital stock who comply with the required procedures under the DGCL, which allow such holders to seek appraisal of the fair value of their shares of Tectonic capital stock as determined by the Delaware Court of Chancery; and </w:t>
            </w:r>
          </w:p>
        </w:tc>
      </w:tr>
    </w:tbl>
    <w:p>
      <w:pPr>
        <w:pStyle w:val="TextBody"/>
        <w:bidi w:val="0"/>
        <w:spacing w:before="0" w:after="0"/>
        <w:jc w:val="left"/>
        <w:rPr>
          <w:bdr w:val="single" w:sz="8" w:space="1" w:color="000000"/>
        </w:rPr>
      </w:pPr>
      <w:r>
        <w:rPr>
          <w:bdr w:val="single" w:sz="8" w:space="1" w:color="000000"/>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please see the section titled “</w:t>
      </w:r>
      <w:r>
        <w:rPr>
          <w:rFonts w:ascii="Times New Roman" w:hAnsi="Times New Roman"/>
          <w:i/>
          <w:sz w:val="20"/>
          <w:bdr w:val="single" w:sz="8" w:space="1" w:color="000000"/>
        </w:rPr>
        <w:t>The Merger—Tectonic’s Reasons for the Merger</w:t>
      </w:r>
      <w:r>
        <w:rPr>
          <w:rFonts w:ascii="Times New Roman" w:hAnsi="Times New Roman"/>
          <w:sz w:val="20"/>
          <w:bdr w:val="single" w:sz="8" w:space="1" w:color="000000"/>
        </w:rPr>
        <w:t xml:space="preserve">” beginning on page 200 of this proxy statement/prospectus. </w:t>
      </w:r>
    </w:p>
    <w:p>
      <w:pPr>
        <w:pStyle w:val="TextBody"/>
        <w:bidi w:val="0"/>
        <w:spacing w:before="240" w:after="0"/>
        <w:jc w:val="left"/>
        <w:rPr>
          <w:rFonts w:ascii="Times New Roman" w:hAnsi="Times New Roman"/>
          <w:sz w:val="20"/>
          <w:bdr w:val="single" w:sz="8" w:space="1" w:color="000000"/>
        </w:rPr>
      </w:pPr>
      <w:bookmarkStart w:id="8" w:name="toc770053_6"/>
      <w:bookmarkEnd w:id="8"/>
      <w:r>
        <w:rPr>
          <w:rFonts w:ascii="Times New Roman" w:hAnsi="Times New Roman"/>
          <w:b/>
          <w:sz w:val="20"/>
          <w:bdr w:val="single" w:sz="8" w:space="1" w:color="000000"/>
        </w:rPr>
        <w:t xml:space="preserve">Recommendation of the AVROBIO Board </w:t>
      </w:r>
      <w:r>
        <w:rPr>
          <w:rFonts w:ascii="Times New Roman" w:hAnsi="Times New Roman"/>
          <w:sz w:val="20"/>
          <w:bdr w:val="single" w:sz="8" w:space="1" w:color="000000"/>
        </w:rPr>
        <w:t xml:space="preserve">(see page 174)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the issuance of shares of AVROBIO common stock pursuant to the Merger Agreement is fair to, in the best interests of, and advisable to, AVROBIO 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Nasdaq Stock Issuance Proposal as described on page 307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fair to, in the best interests of, and advisable to, AVROBIO and its stockholders to approve the amendment to AVROBIO’s charter to effect the reverse stock split, as described on page 309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Reverse Stock Split Proposal as described on page 309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advisable to, and in the best interests of, AVROBIO and its stockholders to approve the amendment to AVROBIO’s charter to provide for the exculpation of officers, as described on page 316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Officer Exculpation Proposal as described on page 316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Plan, as described on page 318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Incentive Plan Proposal as described on page 318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ESPP, as described on page 328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ESPP Proposal as described on page 328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the compensation that will or may become payable to the named executive officers of AVROBIO in connection with the merger is fair to, in the best interests of, and advisable to, AVROBIO 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Executive Compensation Arrangements Proposal as described on page 332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adjourning the special meeting, if necessary, to solicit additional proxies if there are not sufficient votes in favor of the Nasdaq Stock Issuance Proposal and/or the Reverse Stock Split Proposal is fair to, in the best interests of, and advisable to, AVROBIO and its stockholders and has approved and adopted the proposal. The AVROBIO Board unanimously recommends that AVROBIO stockholders vote “</w:t>
            </w:r>
            <w:r>
              <w:rPr>
                <w:rFonts w:ascii="Times New Roman" w:hAnsi="Times New Roman"/>
                <w:b/>
                <w:sz w:val="20"/>
              </w:rPr>
              <w:t>FOR</w:t>
            </w:r>
            <w:r>
              <w:rPr>
                <w:rFonts w:ascii="Times New Roman" w:hAnsi="Times New Roman"/>
                <w:sz w:val="20"/>
              </w:rPr>
              <w:t xml:space="preserve">” the Adjournment Proposal, if necessary, as described on page 333 of this proxy statement/prospectus. </w:t>
            </w:r>
          </w:p>
        </w:tc>
      </w:tr>
    </w:tbl>
    <w:p>
      <w:pPr>
        <w:pStyle w:val="TextBody"/>
        <w:bidi w:val="0"/>
        <w:spacing w:before="360" w:after="0"/>
        <w:jc w:val="left"/>
        <w:rPr>
          <w:rFonts w:ascii="Times New Roman" w:hAnsi="Times New Roman"/>
          <w:b/>
          <w:sz w:val="20"/>
          <w:bdr w:val="single" w:sz="8" w:space="1" w:color="000000"/>
        </w:rPr>
      </w:pPr>
      <w:bookmarkStart w:id="9" w:name="toc770053_7"/>
      <w:bookmarkEnd w:id="9"/>
      <w:r>
        <w:rPr>
          <w:rFonts w:ascii="Times New Roman" w:hAnsi="Times New Roman"/>
          <w:b/>
          <w:sz w:val="20"/>
          <w:bdr w:val="single" w:sz="8" w:space="1" w:color="000000"/>
        </w:rPr>
        <w:t xml:space="preserve">Interests of AVROBIO’s Directors and Executive Officers in the Merger (see page 221)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AVROBIO Board with respect to issuing shares of AVROBIO common stock in the merger and the other matters to be acted upon by the AVROBIO stockholders at the special meeting, the AVROBIO stockholders should be aware that AVROBIO’s directors and executive officers have interests in the merger that are different from, or in addition to, the interests of AVROBIO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Phillip Donenberg will continue as a director of the combined company after the effective time, and, following the closing, will be eligible to be compensated as a non-employee director of the combined company pursuant to the non-employee director compensation policy in place following the effective time of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the vesting and exercisability of each in-the-money unexpired, unexercised and unvested option to purchase AVROBIO common stock and the vesting and exercisability of 50% of certain additional unexpired, unexercised and unvested option to purchase AVROBIO common stock will be accelerated as of immediately prior to the effective time and each such AVROBIO option that is held by AVROBIO’s directors and executive officers as of the effective time who is or will be party to a lock-up agreement will remain outstanding and exercisable until six months after the expiration of the applicable “restricted period” (as defined in the applicable lock-up agreement);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all outstanding AVROBIO RSUs that vest solely on the basis of time will be accelerated in full as of immediately prior to the effective time and for each outstanding and unsettled AVROBIO RSU that vests solely on the basis of time (including any AVROBIO RSUs accelerated in connection with this merger), the AVROBIO’s directors and officers will receive a number of shares of AVROBIO common stock equal to the number of vested and unsettled shares underlying such AVROBIO RSUs; certain of AVROBIO’s executive officers are parties to either, or a combination of, an employment agreement, separation agreement and/or retention agreement that provide for severance benefits, including accelerated vesting of outstanding equity awards and certain cash payments, in connection with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AVROBIO’s directors and executive officers are entitled to continued indemnification, expense advancement and insurance coverage;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employment agreements may result in the receipt by such executive officers of cash severance payments and other benefits with a total value of approximately $2.8 million (collectively, not individually) in connection with this merger and the associated termination of their employment from AVROBIO, which reflects, among other things, (i) conversion of Ms. Ridha’s cash severance payments and other benefits from GBP to USD using the exchange rate as of February 1, 2024 (1 GBP = 1.2745 USD), (ii) each executive officer’s base salary and target bonus as of March 15, 2024, and (iii) the value of COBRA premium reimbursements for health benefit coverage equal to the amount AVROBIO would pay absent a termination of employment for up to 12 months. Such payments and other benefits will be deducted from AVROBIO’s net cash at closing in accordance with the terms of the Merger Agreement; however, after taking into account any such deductions, AVROBIO management currently anticipates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net cash as of closing will be approximately $65.0 million to $75.0 million, and the ownership percentages may be adjusted up or down on account of AVROBIO’s net cash as of closing only if AVROBIO’s net cash as of closing is lower than $64.5 million or greater than $65.5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value of in-the-money AVROBIO options and RSUs that will be subject to accelerated vesting is $1.1 million for executive officers and $0.1 million for directors, assuming $1.33 per share of AVROBIO common stock, which reflects the average closing market price of AVROBIO’s common stock over the first five trading days ending three trading days prior to the first public announcement of the transaction; and </w:t>
            </w:r>
          </w:p>
        </w:tc>
      </w:tr>
    </w:tbl>
    <w:p>
      <w:pPr>
        <w:pStyle w:val="TextBody"/>
        <w:bidi w:val="0"/>
        <w:spacing w:before="0" w:after="0"/>
        <w:jc w:val="left"/>
        <w:rPr>
          <w:bdr w:val="single" w:sz="8" w:space="1" w:color="000000"/>
        </w:rPr>
      </w:pPr>
      <w:r>
        <w:rPr>
          <w:bdr w:val="single" w:sz="8" w:space="1" w:color="000000"/>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officers and directors hold an aggregate of 447,500 shares subject to Specified Options (as defined below).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AVROBIO Board was aware of these potential conflicts of interest and considered them, among other matters, in reaching its decision to approve the Merger Agreement and the merger, and to recommend that the AVROBIO stockholders approve the proposals to be presented to the AVROBIO stockholders for consideration at the special meeting as contemplated by this proxy statement/prospectus. </w:t>
      </w:r>
    </w:p>
    <w:p>
      <w:pPr>
        <w:pStyle w:val="TextBody"/>
        <w:bidi w:val="0"/>
        <w:spacing w:before="360" w:after="0"/>
        <w:jc w:val="left"/>
        <w:rPr>
          <w:rFonts w:ascii="Times New Roman" w:hAnsi="Times New Roman"/>
          <w:b/>
          <w:sz w:val="20"/>
          <w:bdr w:val="single" w:sz="8" w:space="1" w:color="000000"/>
        </w:rPr>
      </w:pPr>
      <w:bookmarkStart w:id="10" w:name="toc770053_8"/>
      <w:bookmarkEnd w:id="10"/>
      <w:r>
        <w:rPr>
          <w:rFonts w:ascii="Times New Roman" w:hAnsi="Times New Roman"/>
          <w:b/>
          <w:sz w:val="20"/>
          <w:bdr w:val="single" w:sz="8" w:space="1" w:color="000000"/>
        </w:rPr>
        <w:t xml:space="preserve">Interests of Tectonic’s Directors and Executive Officers in the Merger (see page 227)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Tectonic Board with respect to approving the merger, AVROBIO stockholders should be aware that Tectonic’s directors and executive officers have interests in the merger that are different from, or in addition to, the interests of Tectonic stockholders generally. These interests may present them with actual or potential conflicts of interest, and these interests, to the extent material, are described below: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Tectonic’s current non-employee directors and executive officers beneficially owned, in the aggregate, approximately 90.5% of the outstanding shares of Tectonic capital stock, which for purposes of this subsection excludes any Tectonic shares issuable upon exercise or settlement of Tectonic stock options held by such individual;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Merger Agreement, each option to purchase shares of Tectonic common stock that is outstanding and unexercised immediately prior to the effective time under the Tectonic Equity Incentive Plan and that, following assumption by AVROBIO at the effective time, whether or not vested, will be converted into an option to purchase shares of AVROBIO common stock;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Tectonic’s directors and executive officers are expected to become the directors and executive officers of the combined company upon the closing of the merger;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AVROBIO’s directors and executive officers are entitled to continued indemnification, expense advancement and insurance coverage.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titled “</w:t>
      </w:r>
      <w:r>
        <w:rPr>
          <w:rFonts w:ascii="Times New Roman" w:hAnsi="Times New Roman"/>
          <w:i/>
          <w:sz w:val="20"/>
          <w:bdr w:val="single" w:sz="8" w:space="1" w:color="000000"/>
        </w:rPr>
        <w:t>The Merger—Interests of Tectonic’s Directors and Executive Officers in the Merger</w:t>
      </w:r>
      <w:r>
        <w:rPr>
          <w:rFonts w:ascii="Times New Roman" w:hAnsi="Times New Roman"/>
          <w:sz w:val="20"/>
          <w:bdr w:val="single" w:sz="8" w:space="1" w:color="000000"/>
        </w:rPr>
        <w:t xml:space="preserve">” beginning on page 227 of this proxy statement/prospectus. The Tectonic Board was aware of these potential conflicts of interest and considered them, among other matters, in reaching its decision to approve the Merger Agreement and the merger, and to recommend that the Tectonic stockholders approve the merger. </w:t>
      </w:r>
    </w:p>
    <w:p>
      <w:pPr>
        <w:pStyle w:val="TextBody"/>
        <w:bidi w:val="0"/>
        <w:spacing w:before="360" w:after="0"/>
        <w:jc w:val="left"/>
        <w:rPr>
          <w:rFonts w:ascii="Times New Roman" w:hAnsi="Times New Roman"/>
          <w:b/>
          <w:sz w:val="20"/>
          <w:bdr w:val="single" w:sz="8" w:space="1" w:color="000000"/>
        </w:rPr>
      </w:pPr>
      <w:bookmarkStart w:id="11" w:name="toc770053_9"/>
      <w:bookmarkEnd w:id="11"/>
      <w:r>
        <w:rPr>
          <w:rFonts w:ascii="Times New Roman" w:hAnsi="Times New Roman"/>
          <w:b/>
          <w:sz w:val="20"/>
          <w:bdr w:val="single" w:sz="8" w:space="1" w:color="000000"/>
        </w:rPr>
        <w:t xml:space="preserve">Opinion of Houlihan Lokey to the AVROBIO Board (see page 208)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29, 2024, Houlihan Lokey Capital, Inc. (“Houlihan Lokey”) orally rendered its opinion to the AVROBIO Board (which was subsequently confirmed in writing by delivery of Houlihan Lokey’s written opinion addressed to the AVROBIO Board dated January 29, 2024 (the “Opinion”), to the effect that, as of January 29, 2024, based upon and subject to the assumptions, qualifications, limitations and other matters considered as set forth in the Opinion, the Exchange Ratio provided for in the Merger pursuant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Agreement, after giving effect to the Related Transactions, was fair, from a financial point of view, to AVROBIO. “Related Transactions” refers to any sale, license or other monetization of AVROBIO’s legacy business prior to the Merger, the private financings including the Company SAFEs, the distribution of the CVRs and the reverse stock split, collectively, and the “Transaction” refers to the Merger, together with the Related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Houlihan Lokey’s opinion was directed to the AVROBIO Board and only addressed the fairness, from a financial point of view, to AVROBIO of the Exchange Ratio provided for in the Merger pursuant</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to the Merger Agreement after giving effect to the Related Transactions and did not address, among other things, the terms of any arrangements, understandings, agreements or documents related to, or the form, structure or any other portion or aspect of, the Transaction or otherwise (other than the Exchange Ratio to the extent expressly specified in the Opinion), including, without limitation, the support agreements or the lock-up agreements to be entered into in connection with the Transaction, the CVRs, the CVR Agreement or any Related Transaction. The summary of Houlihan Lokey’s opinion in this proxy statement/prospectus is qualified in its entirety by reference to the full text of its written opinion, which is attached as </w:t>
      </w:r>
      <w:r>
        <w:rPr>
          <w:rFonts w:ascii="Times New Roman" w:hAnsi="Times New Roman"/>
          <w:b/>
          <w:sz w:val="20"/>
          <w:u w:val="single"/>
          <w:bdr w:val="single" w:sz="8" w:space="1" w:color="000000"/>
        </w:rPr>
        <w:t>Annex B</w:t>
      </w:r>
      <w:r>
        <w:rPr>
          <w:rFonts w:ascii="Times New Roman" w:hAnsi="Times New Roman"/>
          <w:b/>
          <w:sz w:val="20"/>
          <w:bdr w:val="single" w:sz="8" w:space="1" w:color="000000"/>
        </w:rPr>
        <w:t xml:space="preserve"> to this proxy statement/prospectus and describes the procedures followed, assumptions made, qualifications and limitations on the review undertaken and other matters considered by Houlihan Lokey in connection with the preparation of the Opinion. However, neither the Opinion nor the summary of the Opinion and the related analyses set forth in this proxy statement/prospectus are intended to be, and do not constitute, a recommendation to the AVROBIO Board, any security holder of AVROBIO or any other party as to how to act or vote with respect to any matter relating to the Transaction.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The Merger Agreement (see page 239)</w:t>
      </w:r>
    </w:p>
    <w:p>
      <w:pPr>
        <w:pStyle w:val="TextBody"/>
        <w:bidi w:val="0"/>
        <w:spacing w:before="12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Merger Consideration </w:t>
      </w:r>
      <w:r>
        <w:rPr>
          <w:rFonts w:ascii="Times New Roman" w:hAnsi="Times New Roman"/>
          <w:sz w:val="20"/>
          <w:bdr w:val="single" w:sz="8" w:space="1" w:color="000000"/>
        </w:rPr>
        <w:t xml:space="preserve">(see page 239)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upon the terms and subject to the conditions set forth in the Merger Agreement, each outstanding share of Tectonic common stock (including shares of Tectonic common stock issued upon conversion of Tectonic preferred stock as well as the private financing shares and the Company SAFEs) (excluding shares to be canceled pursuant to the Merger Agreement and excluding dissenting shares) will be automatically converted solely into the right to receive a number of shares of AVROBIO common stock equal to the product of the exchange ratio multiplied by each share of Tectonic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Exchange Ratio </w:t>
      </w:r>
      <w:r>
        <w:rPr>
          <w:rFonts w:ascii="Times New Roman" w:hAnsi="Times New Roman"/>
          <w:sz w:val="20"/>
          <w:bdr w:val="single" w:sz="8" w:space="1" w:color="000000"/>
        </w:rPr>
        <w:t xml:space="preserve">(see page 240)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ratio is calculated using a formula intended to allocate existing AVROBIO and Tectonic securityholders a percentage of the combined company. Based on AVROBIO’s and Tectonic’s capitalization as of January 30, 2024, the date the Merger Agreement was executed, and certain other assumptions the exchange ratio is estimated to be equal to approximately 0.74458326 shares of AVROBIO common stock. This estimate is subject to adjustment prior to the closing for net cash at the cash determination time (and as a result, AVROBIO securityholders could own more, and Tectonic securityholders could own less, or vice versa, of the combined company). AVROBIO management currently anticipates that AVROBIO’s net cash as of closing will be approximately $65.0 million to $75.0 million and therefore the exchange ratio is currently estimated to be approximately 0.74458326 (assuming (i) $65.0 million in AVROBIO’s net cash as of closing, (ii) a one-for-ten reverse stock split, and (iii) the private financings in Tectonic being in the amount of $130.7 million).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Treatment of Tectonic Options and the Tectonic Equity Incentive Plan</w:t>
      </w:r>
      <w:r>
        <w:rPr>
          <w:rFonts w:ascii="Times New Roman" w:hAnsi="Times New Roman"/>
          <w:sz w:val="20"/>
          <w:bdr w:val="single" w:sz="8" w:space="1" w:color="000000"/>
        </w:rPr>
        <w:t xml:space="preserve"> (see page 243)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option to purchase shares of Tectonic common stock that is outstanding and unexercised immediately prior to the effective time, whether or not vested, will be assumed and converted into an option to purchase shares of AVROBIO common stock. Accordingly, from and after the effective time: (i) each outstanding Tectonic stock option assumed by AVROBIO may be exercised solely for shares of AVROBIO common stock; (ii) the number of shares of AVROBIO common stock subject to each outstanding Tectonic stock option assumed by AVROBIO will be determined by multiplying (A) the number of shares of Tectonic common stock that were subject to such Tectonic stock option assumed by AVROBIO, as in effect immediately prior to the effective time, by (B) the exchange ratio, and rounding the resulting number down to the nearest whole number of shares of AVROBIO common stock; and (iii) the per share exercise price of each Tectonic stock option assumed by AVROBIO will be determined by dividing (A) the per share exercise price of such Tectonic stock option, as in effect immediately prior to the effective time, by (B) the exchange ratio and rounding the resulting exercise price up to the nearest whole cent. Each Tectonic stock option assumed by AVROBIO will otherwise continue in full force and effect and the term, exercisability, vesting schedule, acceleration rights and other terms and conditions of such Tectonic stock option will otherwise remain unchanged.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will assume the Tectonic Equity Incentive Plan. Each Tectonic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AVROBIO common stock subsequent to the effective time. In addition, the compensation committee of the AVROBIO Board (the “AVROBIO Compensation Committee”) will succeed to the authority and responsibility of the Tectonic Board as administrator of the Tectonic Equity Incentive Plan.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Treatment of AVROBIO Common Stock, AVROBIO Options and AVROBIO RSUs </w:t>
      </w:r>
      <w:r>
        <w:rPr>
          <w:rFonts w:ascii="Times New Roman" w:hAnsi="Times New Roman"/>
          <w:sz w:val="20"/>
          <w:bdr w:val="single" w:sz="8" w:space="1" w:color="000000"/>
        </w:rPr>
        <w:t xml:space="preserve">(see page 244)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AVROBIO common stock issued and outstanding at the time of the merger will remain issued and outstanding, and, subject to the proposed reverse stock split and any extension to the expiration time provided for in connection with the merger, will be unaffected by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each AVROBIO in-the-money option that is outstanding immediately prior to the effective time that is held by a current AVROBIO employee, director, or consultant of AVROBIO as of the date of the Merger Agreement will be accelerated in full effective as of the effective time and each AVROBIO in-the-money option that is unexpired, unexercised and outstanding as of immediately prior to the effective time and is held by a current AVROBIO employee, director or consultant as of the date of the execution of the Merger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who is a signatory to the lock-up agreement, will survive the closing and remain outstanding and exercisable until six months after the expiration of the Restricted Period (as defined in the signatory’s respective lock-up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the Merger Agreement provides that the vesting and exercisability of 50% of certain unexpired and unexercised AVROBIO options that remain outstanding as of immediately prior to the effective time that (i) are held by a current AVROBIO employee, director or consultant as of the date of the Merger Agreement will be accelerated in full effective as of immediately prior to the effective time and (ii) each such AVROBIO option that is unexpired, unexercised, and outstanding as of immediately prior to the effective time and is held by a current AVROBIO employee director or consultant as of the date of the Merger Agreement who is or will be party to a lock-up agreement will remain outstanding and exercisable until six months after the expiration of the applicable “restricted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outstanding AVROBIO RSU that vests solely on the basis of time will be accelerated in full as of immediately prior to the effective time, contingent on the occurrence of the merger.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AVROBIO common stock underlying such options and RSUs and the exercise prices for such stock options will be appropriately adjusted to reflect the proposed reverse stock split.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Conditions to the Completion of the Merger </w:t>
      </w:r>
      <w:r>
        <w:rPr>
          <w:rFonts w:ascii="Times New Roman" w:hAnsi="Times New Roman"/>
          <w:sz w:val="20"/>
          <w:bdr w:val="single" w:sz="8" w:space="1" w:color="000000"/>
        </w:rPr>
        <w:t xml:space="preserve">(see page 256)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AVROBIO stockholders must approve Proposal Nos. 1 and 2 and Tectonic stockholders must adopt the Merger Agreement and approve the merger and the related transactions contemplated by the Merger Agreement. Additionally, each party’s obligation to complete the Merger is subject to the satisfaction or, to the extent permitted by applicable law, the written waiver by each of the parties, at or prior to the closing, of various closing conditions set forth in the Merger Agreement.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Non-Solicitation </w:t>
      </w:r>
      <w:r>
        <w:rPr>
          <w:rFonts w:ascii="Times New Roman" w:hAnsi="Times New Roman"/>
          <w:sz w:val="20"/>
          <w:bdr w:val="single" w:sz="8" w:space="1" w:color="000000"/>
        </w:rPr>
        <w:t xml:space="preserve">(see page 250)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AVROBIO and Tectonic from inquiring about or seeking a competing transaction in lieu of the proposed transactions. Each of AVROBIO and Tectonic have agreed that AVROBIO and Tectonic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 initiate or knowingly encourage, induce or facilitate the communication, making or submission of any Acquisition Proposal (as defined in the section titled “</w:t>
            </w:r>
            <w:r>
              <w:rPr>
                <w:rFonts w:ascii="Times New Roman" w:hAnsi="Times New Roman"/>
                <w:i/>
                <w:sz w:val="20"/>
              </w:rPr>
              <w:t>The Merger Agreement—Non-Solicitation</w:t>
            </w:r>
            <w:r>
              <w:rPr>
                <w:rFonts w:ascii="Times New Roman" w:hAnsi="Times New Roman"/>
                <w:sz w:val="20"/>
              </w:rPr>
              <w:t>” beginning on page 250 of this proxy statement/prospectus) or Acquisition Inquiry (as defined in the section titled “</w:t>
            </w:r>
            <w:r>
              <w:rPr>
                <w:rFonts w:ascii="Times New Roman" w:hAnsi="Times New Roman"/>
                <w:i/>
                <w:sz w:val="20"/>
              </w:rPr>
              <w:t>The Merger Agreement—Non-Solicitation</w:t>
            </w:r>
            <w:r>
              <w:rPr>
                <w:rFonts w:ascii="Times New Roman" w:hAnsi="Times New Roman"/>
                <w:sz w:val="20"/>
              </w:rPr>
              <w:t xml:space="preserve">” beginning on page 250 of this proxy statement/prospectus) or take any action that could reasonably be expected to lead to an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(other than to inform any person of the existence of the provisions of the Merger Agreement) with any person with respect to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 Acquisition Proposal (subject to certain exceptions);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(subject to certain exceptions); or </w:t>
            </w:r>
          </w:p>
        </w:tc>
      </w:tr>
    </w:tbl>
    <w:p>
      <w:pPr>
        <w:pStyle w:val="TextBody"/>
        <w:bidi w:val="0"/>
        <w:spacing w:before="0" w:after="0"/>
        <w:jc w:val="left"/>
        <w:rPr>
          <w:bdr w:val="single" w:sz="8" w:space="1" w:color="000000"/>
        </w:rPr>
      </w:pPr>
      <w:r>
        <w:rPr>
          <w:bdr w:val="single" w:sz="8" w:space="1" w:color="000000"/>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resolve or agree to do any of the foregoing (subject to certain exceptions).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Board Recommendation Change </w:t>
      </w:r>
      <w:r>
        <w:rPr>
          <w:rFonts w:ascii="Times New Roman" w:hAnsi="Times New Roman"/>
          <w:sz w:val="20"/>
          <w:bdr w:val="single" w:sz="8" w:space="1" w:color="000000"/>
        </w:rPr>
        <w:t xml:space="preserve">(see page 252)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Under the Merger Agreement, AVROBIO agreed to make the AVROBIO Board recommendation (as defined in the section titled “</w:t>
      </w:r>
      <w:r>
        <w:rPr>
          <w:rFonts w:ascii="Times New Roman" w:hAnsi="Times New Roman"/>
          <w:i/>
          <w:sz w:val="20"/>
          <w:bdr w:val="single" w:sz="8" w:space="1" w:color="000000"/>
        </w:rPr>
        <w:t>The Merger Agreement—Board Recommendation Change</w:t>
      </w:r>
      <w:r>
        <w:rPr>
          <w:rFonts w:ascii="Times New Roman" w:hAnsi="Times New Roman"/>
          <w:sz w:val="20"/>
          <w:bdr w:val="single" w:sz="8" w:space="1" w:color="000000"/>
        </w:rPr>
        <w:t>” beginning on page 252 of this proxy statement/prospectus) and that the AVROBIO Board will also make the Second AVROBIO Board recommendation (as defined in the section titled “</w:t>
      </w:r>
      <w:r>
        <w:rPr>
          <w:rFonts w:ascii="Times New Roman" w:hAnsi="Times New Roman"/>
          <w:i/>
          <w:sz w:val="20"/>
          <w:bdr w:val="single" w:sz="8" w:space="1" w:color="000000"/>
        </w:rPr>
        <w:t>The Merger Agreement—Board Recommendation Change</w:t>
      </w:r>
      <w:r>
        <w:rPr>
          <w:rFonts w:ascii="Times New Roman" w:hAnsi="Times New Roman"/>
          <w:sz w:val="20"/>
          <w:bdr w:val="single" w:sz="8" w:space="1" w:color="000000"/>
        </w:rPr>
        <w:t xml:space="preserve">” beginning on page 252 of this proxy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Tectonic Board may not change the Tectonic board recommendation (as defined in the section titled “</w:t>
      </w:r>
      <w:r>
        <w:rPr>
          <w:rFonts w:ascii="Times New Roman" w:hAnsi="Times New Roman"/>
          <w:i/>
          <w:sz w:val="20"/>
          <w:bdr w:val="single" w:sz="8" w:space="1" w:color="000000"/>
        </w:rPr>
        <w:t>The Merger Agreement—Board Recommendation Change</w:t>
      </w:r>
      <w:r>
        <w:rPr>
          <w:rFonts w:ascii="Times New Roman" w:hAnsi="Times New Roman"/>
          <w:sz w:val="20"/>
          <w:bdr w:val="single" w:sz="8" w:space="1" w:color="000000"/>
        </w:rPr>
        <w:t xml:space="preserve">” beginning on page 252 of this proxy statement/prospectus) and the AVROBIO Board may not change the AVROBIO Board recommendation, except that, prior to receipt by such party of its stockholder approval, such party’s board of directors may effect a change in recommendation with respect to a Superior Offer that did not result from a material breach of the Merger Agreement if: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(or committee thereof) shall have determined in good faith, after consultation with its outside legal counsel, that the failure to effect such change in recommendation would be inconsistent with its fiduciary duties under applicable law;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and has caused its financial advisors and outside legal counsel to, during the required four business day notice period, negotiated with the other party in good faith to make such adjustments to the terms and conditions of the Merger Agreement so that the Acquisition Proposal ceases to constitute a Superior Offer;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In the event of any material amendment to any superior offer, such party would be required to provide the other party with notice of such material amendment and there would be a new four-business day period following such notification during which the parties would be obligated to comply again with the requirements described above.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anything to the contrary in the Merger Agreement, at any time prior to the AVROBIO stockholders adopting the Merger Agreement, the AVROBIO board may withhold, amend, withdraw or modify the Second AVROBIO Board recommendation in its exercise of its fiduciary duties.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of the Merger Agreement </w:t>
      </w:r>
      <w:r>
        <w:rPr>
          <w:rFonts w:ascii="Times New Roman" w:hAnsi="Times New Roman"/>
          <w:sz w:val="20"/>
          <w:bdr w:val="single" w:sz="8" w:space="1" w:color="000000"/>
        </w:rPr>
        <w:t xml:space="preserve">(see page 259)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AVROBIO or Tectonic may terminate the Merger Agreement under certain circumstances, which would prevent the merger from being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Fee </w:t>
      </w:r>
      <w:r>
        <w:rPr>
          <w:rFonts w:ascii="Times New Roman" w:hAnsi="Times New Roman"/>
          <w:sz w:val="20"/>
          <w:bdr w:val="single" w:sz="8" w:space="1" w:color="000000"/>
        </w:rPr>
        <w:t xml:space="preserve">(see page 259)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AVROBIO could be required to pay Tectonic a termination fee of $2,712,500. If the Merger Agreement is terminated under certain circumstances, Tectonic could be required to pay AVROBIO a termination fee of $4,900,000. In addition, if the Merger Agreement is terminated by AVROBIO or Tectonic due to AVROBIO stockholders voting on and failing to approve Proposal Nos. 1 and 2 at the special meeting (or any adjournment thereof), AVROBIO will be required to reimburse Tectonic for merger-related expenses up to $650,000. The expense reimbursement, to the extent paid, will be credited against any termination fee payable by AVROBIO in the transaction.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Support Agreements </w:t>
      </w:r>
      <w:r>
        <w:rPr>
          <w:rFonts w:ascii="Times New Roman" w:hAnsi="Times New Roman"/>
          <w:sz w:val="20"/>
          <w:bdr w:val="single" w:sz="8" w:space="1" w:color="000000"/>
        </w:rPr>
        <w:t xml:space="preserve">(see page 263)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Tectonic stockholders are parties to support agreements with Tectonic pursuant to which, among other things, each such stockholder, solely in his, her or its capacity as a Tectonic stockholder, has agreed to vote all of such stockholder’s shares of Tectonic capital stock in favor of (i) the adoption of the Merger Agreement, (ii) the approval of the merger and related transactions contemplated by the Merger Agreement, (iii) the approval of an amendment to Tectonic’s certificate of incorporation to increase its authorized stock, (iv) to the extent such person is entitled to vote or exercise a right to consent with respect to such matter, effecting the preferred stock conversion immediately prior to conversion of the Company SAFEs, which Company SAFEs conversion shall occur immediately prior to the private placement financings, (v) waiving any preemptive right, right of participation, right of maintenance, anti-dilution right or any similar right as may otherwise be provided to such stockholder under Tectonic’s certificate of incorporation or bylaws in connection with the merger and related transactions contemplated by the Merger Agreement and (vi) against any acquisition proposal from a third party. These Tectonic stockholders also agreed to vote against any competing Acquisition Proposal with respect to Tectonic.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January 30, 2024, the Tectonic stockholders that are party to a support agreement with Tectonic held shares of Tectonic capital stock representing approximately 88.0% of the voting power of Tectonic. These stockholders include executive officers and directors of Tectonic, as well as certain other stockholders owning a significant portion of the outstanding shares of Tectonic capital stock. Following the effectiveness of the Registration Statement on Form S-4 of which this proxy statement/prospectus is a part and pursuant to the Merger Agreement, Tectonic stockholders holding a sufficient number of shares of Tectonic capital stock to adopt the Merger Agreement and approve the merger and related transactions contemplated by the Merger Agreement will execute a written consent providing for such adoption and approval.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AVROBIO stockholders are parties to support agreements with AVROBIO pursuant to which, among other things, each such stockholder, solely in his, her or its capacity as an AVROBIO stockholder, has agreed to vote all of such stockholder’s shares of AVROBIO capital stock in favor of (i) the adoption of the Merger Agreement and (ii) the approval of the merger and related transactions contemplated by the Merger Agreement. These AVROBIO stockholders also agreed to vote against any competing Acquisition Proposal with respect to AVROBIO.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January 30, 2024, the AVROBIO stockholders that are party to a support agreement with AVROBIO owned approximately 10.8% of the outstanding shares of AVROBIO capital stock. These stockholders include executive officers and directors of AVROBIO, as well as certain other stockholders owning a significant portion of the outstanding shares of AVROBIO capital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Lock-Up Agreements </w:t>
      </w:r>
      <w:r>
        <w:rPr>
          <w:rFonts w:ascii="Times New Roman" w:hAnsi="Times New Roman"/>
          <w:sz w:val="20"/>
          <w:bdr w:val="single" w:sz="8" w:space="1" w:color="000000"/>
        </w:rPr>
        <w:t xml:space="preserve">(see page 264)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Tectonic’s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warrant to purchase, or otherwise transfer or dispose of, directly or indirectly, any shares of AVROBIO common stock or any securities convertible into or exercisable or exchangeable for AVROBIO common stock, currently or thereafter owned, including, as applicable, shares purchased by such persons in the private financings, until 180 days after the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AVROBIO’s directors have entered into lock-up agreements, pursuant to which such stockholders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AVROBIO common stock or any securities convertible into or exercisable or exchangeable for AVROBIO common stock, currently or thereafter owned, until 180 days after the effective time.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Subscription Agreement </w:t>
      </w:r>
      <w:r>
        <w:rPr>
          <w:rFonts w:ascii="Times New Roman" w:hAnsi="Times New Roman"/>
          <w:sz w:val="20"/>
          <w:bdr w:val="single" w:sz="8" w:space="1" w:color="000000"/>
        </w:rPr>
        <w:t xml:space="preserve">(see page 264)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execution and delivery of the Merger Agreement, purchasers, including certain existing investors of Tectonic and/or AVROBIO, entered into a Subscription Agreement with Tectonic, pursuant to which such investors have agreed to purchase Tectonic common stock representing an aggregate commitment of $96.6 million in the private financings for an aggregate purchase price among the transactions contemplated by the Subscription Agreement and the Company SAFEs of approximately $130.7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Subscription Agreement contains customary representations and warranties of AVROBIO and also contain customary representations and warranties of the purchasers party thereto. The private financings are expected to be consummated immediately prior to the closing of the merger. The closings of the private financings are conditioned upon the satisfaction or waiver of all conditions to the closing of the merger, with the merger anticipated to be consummated substantially simultaneously with the closings of the private financings, as set forth in the Merger Agreement, as well as certain other conditions. As such, at the time that AVROBIO stockholders are expected to vote at the special meeting, whether the private financings will close in a timely manner or at all will not be known.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condition, there can be no assurance that AVROBIO and Tectonic will ultimately determine, in their sole discretion, not to waive this or any other condition to the merger. The shares of Tectonic common stock that are issued in the private financings will be converted into shares of AVROBIO common stock in the merger. Accordingly, by approving Proposal No. 1 relating to the merger, AVROBIO stockholders will also be approving the issuance of shares of AVROBIO common stock to be issued in exchange for all shares of Tectonic common stock that are sold in the private financings.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CVR Agreement </w:t>
      </w:r>
      <w:r>
        <w:rPr>
          <w:rFonts w:ascii="Times New Roman" w:hAnsi="Times New Roman"/>
          <w:sz w:val="20"/>
          <w:bdr w:val="single" w:sz="8" w:space="1" w:color="000000"/>
        </w:rPr>
        <w:t xml:space="preserve">(see page 266)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or prior to the effective time, AVROBIO and its designated rights agent will enter into the CVR Agreement. As provided in the Merger Agreement, AVROBIO intends to declare a dividend to each person who as of immediately prior to the effective time was a stockholder of record of AVROBIO (including holders of shares of AVROBIO common stock issued upon settlement of the AVROBIO RSUs) or had the right to receive AVROBIO common stock the right to receive one non-transferable CVR for each outstanding share of AVROBIO common stock held by such person as of such date, each representing the non-transferable contractual right to receive certain contingent payments from AVROBIO upon the occurrence of certain events within agreed time periods (the “CVR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CVR Agreement, each CVR holder is entitled to certain rights to receive a pro rata portion of 80% of the net proceeds (as defined in the CVR Agreement), if any, received by AVROBIO as a result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disposition (including a license of AVROBIO’s pre-closing assets) after the effective date and prior to the 18-month anniversary of the closing, received within a 10-year period following the closing; provided that no contingent payment will be payable to any holder of the CVRs until such time as the then-outstanding and undistributed proceeds exceeds $350,000 in the aggregate. Such proceeds are subject to certain permitted deductions, including for applicable tax payments, certain expenses incurred by AVROBIO or its subsidiaries, losses incurred or reasonably expected to be incurred by AVROBIO or its affiliates due to a third party proceeding in connection with a disposition and certain wind-down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CVRs may not be transferred, pledged, hypothecated, encumbered, assigned or otherwise disposed of (whether by sale, merger, consolidation, liquidation, dissolution, dividend, distribution or otherwise), in whole or in part, subject to certain limited exceptions.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CVRs will not be evidenced by a certificate or any other instrument. The CVRs will not have any voting or dividend rights, and interest will not accrue on any amounts payable in respect of the CVRs. The CVRs will not represent any equity or ownership interest in AVROBIO, any constituent company to the merger, or any of its respective affiliates. </w:t>
      </w:r>
    </w:p>
    <w:p>
      <w:pPr>
        <w:pStyle w:val="TextBody"/>
        <w:bidi w:val="0"/>
        <w:spacing w:before="360" w:after="0"/>
        <w:jc w:val="left"/>
        <w:rPr>
          <w:rFonts w:ascii="Times New Roman" w:hAnsi="Times New Roman"/>
          <w:b/>
          <w:sz w:val="20"/>
          <w:bdr w:val="single" w:sz="8" w:space="1" w:color="000000"/>
        </w:rPr>
      </w:pPr>
      <w:bookmarkStart w:id="12" w:name="toc770053_10"/>
      <w:bookmarkEnd w:id="12"/>
      <w:r>
        <w:rPr>
          <w:rFonts w:ascii="Times New Roman" w:hAnsi="Times New Roman"/>
          <w:b/>
          <w:sz w:val="20"/>
          <w:bdr w:val="single" w:sz="8" w:space="1" w:color="000000"/>
        </w:rPr>
        <w:t>Management Following the Merger (see page 427)</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as of the closing, the combined company’s executive officers are expected to be members of the Tectonic executive management team prior to the merger, including: </w:t>
      </w:r>
    </w:p>
    <w:p>
      <w:pPr>
        <w:pStyle w:val="TextBody"/>
        <w:bidi w:val="0"/>
        <w:spacing w:before="0" w:after="0"/>
        <w:jc w:val="left"/>
        <w:rPr>
          <w:bdr w:val="single" w:sz="8" w:space="1" w:color="000000"/>
        </w:rPr>
      </w:pPr>
      <w:r>
        <w:rPr>
          <w:bdr w:val="single" w:sz="8" w:space="1" w:color="000000"/>
        </w:rPr>
        <w:t> </w:t>
      </w:r>
    </w:p>
    <w:tbl>
      <w:tblPr>
        <w:tblW w:w="7150" w:type="dxa"/>
        <w:jc w:val="left"/>
        <w:tblInd w:w="0" w:type="dxa"/>
        <w:tblLayout w:type="fixed"/>
        <w:tblCellMar>
          <w:top w:w="0" w:type="dxa"/>
          <w:left w:w="0" w:type="dxa"/>
          <w:bottom w:w="0" w:type="dxa"/>
          <w:right w:w="0" w:type="dxa"/>
        </w:tblCellMar>
      </w:tblPr>
      <w:tblGrid>
        <w:gridCol w:w="2075"/>
        <w:gridCol w:w="120"/>
        <w:gridCol w:w="495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9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Executive Officer</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Operating Officer and Chief Financial Officer</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Scientific Officer</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Medical Officer</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Business Officer</w:t>
            </w:r>
          </w:p>
        </w:tc>
      </w:tr>
    </w:tbl>
    <w:p>
      <w:pPr>
        <w:pStyle w:val="TextBody"/>
        <w:bidi w:val="0"/>
        <w:spacing w:before="360" w:after="0"/>
        <w:jc w:val="left"/>
        <w:rPr>
          <w:rFonts w:ascii="Times New Roman" w:hAnsi="Times New Roman"/>
          <w:b/>
          <w:sz w:val="20"/>
          <w:bdr w:val="single" w:sz="8" w:space="1" w:color="000000"/>
        </w:rPr>
      </w:pPr>
      <w:bookmarkStart w:id="13" w:name="toc770053_11"/>
      <w:bookmarkEnd w:id="13"/>
      <w:r>
        <w:rPr>
          <w:rFonts w:ascii="Times New Roman" w:hAnsi="Times New Roman"/>
          <w:b/>
          <w:sz w:val="20"/>
          <w:bdr w:val="single" w:sz="8" w:space="1" w:color="000000"/>
        </w:rPr>
        <w:t xml:space="preserve">Material U.S. Federal Income Tax Consequences of the Merger (see page 231)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a discussion summarizing U.S. federal income tax considerations of the merger, please see the section titled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xml:space="preserve">” beginning on page 231 of this proxy statement/prospectus. </w:t>
      </w:r>
    </w:p>
    <w:p>
      <w:pPr>
        <w:pStyle w:val="TextBody"/>
        <w:bidi w:val="0"/>
        <w:spacing w:before="360" w:after="0"/>
        <w:jc w:val="left"/>
        <w:rPr>
          <w:rFonts w:ascii="Times New Roman" w:hAnsi="Times New Roman"/>
          <w:b/>
          <w:sz w:val="20"/>
          <w:bdr w:val="single" w:sz="8" w:space="1" w:color="000000"/>
        </w:rPr>
      </w:pPr>
      <w:bookmarkStart w:id="14" w:name="toc770053_12"/>
      <w:bookmarkEnd w:id="14"/>
      <w:r>
        <w:rPr>
          <w:rFonts w:ascii="Times New Roman" w:hAnsi="Times New Roman"/>
          <w:b/>
          <w:sz w:val="20"/>
          <w:bdr w:val="single" w:sz="8" w:space="1" w:color="000000"/>
        </w:rPr>
        <w:t xml:space="preserve">Risk Factors (see page 36)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AVROBIO and Tectonic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Merger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the merger may result in either AVROBIO or Tectonic paying a termination fee to the other party and could harm the AVROBIO common stock price and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merger are not satisfied or waived, the merger may not occur;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Some AVROBIO and Tectonic directors and executive officers have interests in the merger that are different from yours and that may influence them to support or approve the merger without regard to your interests;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and Tectonic stockholders may not realize a benefit from the merger commensurate with the ownership dilution they will experience in connection with the merger, including the issuance of Tectonic common stock in the private financings; and </w:t>
            </w:r>
          </w:p>
        </w:tc>
      </w:tr>
    </w:tbl>
    <w:p>
      <w:pPr>
        <w:pStyle w:val="TextBody"/>
        <w:bidi w:val="0"/>
        <w:spacing w:before="0" w:after="0"/>
        <w:jc w:val="left"/>
        <w:rPr>
          <w:bdr w:val="single" w:sz="8" w:space="1" w:color="000000"/>
        </w:rPr>
      </w:pPr>
      <w:r>
        <w:rPr>
          <w:bdr w:val="single" w:sz="8" w:space="1" w:color="000000"/>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the AVROBIO stock price may decline significantly.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Proposed Reverse Stock Split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short- or long-term, which may further impact the combined company’s ability to obtain or maintain listing on Nasdaq.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AVROBIO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proposed merger with Tectonic could materially and adversely affect AVROBIO’s results of operations, business, financial results and/or stock price.;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potentially may not receive any payment on the CVRs and the CVRs may otherwise expire valueless;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AVROBIO does not successfully consummate the merger or another strategic transaction, the AVROBIO Board may decide to pursue a dissolution and liquidation of AVROBIO. In such an event, the amount of cash available for distribution to AVROBIO stockholders will depend heavily on the timing of such liquidation as well as the amount of cash that will need to be reserved for commitments and contingent liabilities, as to which AVROBIO can give you no assurance;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limited operating history may make it difficult to evaluate the success of AVROBIO’s business to date and to assess AVROBIO’s future viability;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failure to meet Nasdaq’s continued listing requirements could result in a delisting of AVROBIO common stock.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Tectonic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has a limited operating history, has incurred net losses in every year since its inception, and expects to continue to incur net losses in the future;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recurring losses from operations and financial conditions raise substantial doubt about its ability to continue as a going concern;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is heavily dependent on the success of its product candidates, only one of which is in early clinical development. If Tectonic is unable to advance its current or future product candidates through clinical trials, obtain marketing approval and ultimately commercialize any product candidates it develops, or experience significant delays in doing so, Tectonic’s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Tectonic’s product candidates are in preclinical or early clinical development. Clinical trials are difficult to design and implement, and they involve a lengthy and expensive process with uncertain outcomes. Tectonic may experience delays in completing, or ultimately be unable to complete, the development and commercialization of TX45 or any future product candidates;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clinical trials may fail to demonstrate substantial evidence of the safety, efficacy, purity and potency of its product candidates or any future product candidates, which would prevent or delay or limit the scope of regulatory approval and commercialization;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Tectonic is unable to successfully commercialize any product candidate for which Tectonic receives regulatory approval, or experience significant delays in doing so, its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success depends in part on its ability to protect its intellectual property. It is difficult and costly to protect its proprietary rights and technology, and Tectonic may not be able to ensure their protection;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depends on intellectual property licensed from third parties and termination of any of these licenses could result in the loss of significant rights, which would harm its business;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currently relies and expects to rely in the future on the use of manufacturing suites in third-party facilities or on third parties to manufacture TX45 and any other product candidates, and Tectonic may rely on third parties to produce and process its products, if approved;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business could be adversely affected if it is unable to use third-party manufacturing suites or if the third-party manufacturers encounter difficulties in production;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faces significant competition from other biotechnology and pharmaceutical companies, and its operating results will suffer if Tectonic fails to compete effectively.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Combined Company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bidi w:val="0"/>
        <w:spacing w:before="0" w:after="0"/>
        <w:jc w:val="left"/>
        <w:rPr>
          <w:bdr w:val="single" w:sz="8" w:space="1" w:color="000000"/>
        </w:rPr>
      </w:pPr>
      <w:r>
        <w:rPr>
          <w:bdr w:val="single" w:sz="8" w:space="1" w:color="000000"/>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incur losses for the foreseeable future and might never achieve profitability;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attract and retain management and other key personnel, it may be unable to continue to successfully develop or commercialize its product candidates or otherwise implement its business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failure by the combined company to comply with the initial listing standards or continued listing standards of Nasdaq will prevent its stock from being listed on Nasdaq or may result in delisting from Nasdaq;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certificate of incorporation and bylaws and provisions under Delaware law could make an acquisition of the combined company more difficult and may prevent attempts by its stockholders to replace or remove its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These risks and other risks are discussed in greater detail under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36 of this proxy statement/prospectus. AVROBIO and Tectonic both encourage you to read and consider all of these risks carefully.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Litigation Related to the Merger (see page 46)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merger, one complaint has been filed against AVROBIO and the AVROBIO Board, and four additional demands have been made seeking additional disclosures in the registration statement by purported AVROBIO stockholders. AVROBIO believes that the allegations and claims asserted are without merit and intends to defend against them vigorously. In the event that AVROBIO subsequently receives additional complaints or demand letters related to the merger, AVROBIO will not provide additional disclosures unless those new complaints or letters contain material differences from those received to date. For a more detailed description of litigation related to the merger, see the section titled “</w:t>
      </w:r>
      <w:r>
        <w:rPr>
          <w:rFonts w:ascii="Times New Roman" w:hAnsi="Times New Roman"/>
          <w:i/>
          <w:sz w:val="20"/>
          <w:bdr w:val="single" w:sz="8" w:space="1" w:color="000000"/>
        </w:rPr>
        <w:t>Risk Factors—Risks Related to the Merger—Lawsuits may be filed against AVROBIO</w:t>
      </w:r>
      <w:r>
        <w:rPr>
          <w:rFonts w:ascii="Times New Roman" w:hAnsi="Times New Roman"/>
          <w:sz w:val="20"/>
          <w:bdr w:val="single" w:sz="8" w:space="1" w:color="000000"/>
        </w:rPr>
        <w:t xml:space="preserve"> </w:t>
      </w:r>
      <w:r>
        <w:rPr>
          <w:rFonts w:ascii="Times New Roman" w:hAnsi="Times New Roman"/>
          <w:i/>
          <w:sz w:val="20"/>
          <w:bdr w:val="single" w:sz="8" w:space="1" w:color="000000"/>
        </w:rPr>
        <w:t>and the members of the AVROBIO Board arising out of the proposed merger, which may delay or prevent the proposed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5" w:name="toc770053_13"/>
      <w:bookmarkEnd w:id="15"/>
      <w:r>
        <w:rPr>
          <w:rFonts w:ascii="Times New Roman" w:hAnsi="Times New Roman"/>
          <w:b/>
          <w:sz w:val="20"/>
          <w:bdr w:val="single" w:sz="8" w:space="1" w:color="000000"/>
        </w:rPr>
        <w:t>Regulatory Approvals (see page 231)</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AVROBIO and Tectonic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merger and the related transactions contemplated by the Merger Agreement, if any, and to submit promptly any additional information requested by any such governmental authority. </w:t>
      </w:r>
    </w:p>
    <w:p>
      <w:pPr>
        <w:pStyle w:val="TextBody"/>
        <w:bidi w:val="0"/>
        <w:spacing w:before="360" w:after="0"/>
        <w:jc w:val="left"/>
        <w:rPr>
          <w:rFonts w:ascii="Times New Roman" w:hAnsi="Times New Roman"/>
          <w:b/>
          <w:sz w:val="20"/>
          <w:bdr w:val="single" w:sz="8" w:space="1" w:color="000000"/>
        </w:rPr>
      </w:pPr>
      <w:bookmarkStart w:id="16" w:name="toc770053_14"/>
      <w:bookmarkEnd w:id="16"/>
      <w:r>
        <w:rPr>
          <w:rFonts w:ascii="Times New Roman" w:hAnsi="Times New Roman"/>
          <w:b/>
          <w:sz w:val="20"/>
          <w:bdr w:val="single" w:sz="8" w:space="1" w:color="000000"/>
        </w:rPr>
        <w:t>Nasdaq Stock Market Listing (see page 234)</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intends to file an initial listing application for the combined company common stock with Nasdaq. If such application is accepted, AVROBIO anticipates that the common stock of the combined company will be listed on Nasdaq following the closing under the trading symbol “TECX.” It is a condition of the consummation of the merger that AVROBIO receive confirmation from Nasdaq that the combined company has been approved for listing on Nasdaq, but there can be no assurance such listing condition will be met or that AVROBIO will obtain such confirmation from Nasdaq by the date of the special meeting or at all. This condition is waivable but only to the extent permitted by law and only with the written waiver of each of AVROBIO, Tectonic and Merger Sub. In the event the AVROBIO common stock to be issued in the merger is not approved for listing on Nasdaq, it is possible that AVROBIO, Tectonic and Merger Sub may mutually agree to waive the applicable condition and nonetheless proceed with the completion of the merger. If such condition is waived, AVROBIO may not recirculate an updated proxy statement/prospectus or solicit a new vote of AVROBIO stockholders prior to proceeding with the merger. </w:t>
      </w:r>
    </w:p>
    <w:p>
      <w:pPr>
        <w:pStyle w:val="TextBody"/>
        <w:bidi w:val="0"/>
        <w:spacing w:before="360" w:after="0"/>
        <w:jc w:val="left"/>
        <w:rPr>
          <w:rFonts w:ascii="Times New Roman" w:hAnsi="Times New Roman"/>
          <w:b/>
          <w:sz w:val="20"/>
          <w:bdr w:val="single" w:sz="8" w:space="1" w:color="000000"/>
        </w:rPr>
      </w:pPr>
      <w:bookmarkStart w:id="17" w:name="toc770053_15"/>
      <w:bookmarkEnd w:id="17"/>
      <w:r>
        <w:rPr>
          <w:rFonts w:ascii="Times New Roman" w:hAnsi="Times New Roman"/>
          <w:b/>
          <w:sz w:val="20"/>
          <w:bdr w:val="single" w:sz="8" w:space="1" w:color="000000"/>
        </w:rPr>
        <w:t>Anticipated Accounting Treatment (see page 235)</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is expected to be accounted for under U.S. generally accepted accounting principles (“GAAP”) as an in-substance reverse recapitalization of AVROBIO by Tectonic. Under this method of accounting, Tectonic will be considered the accounting acquirer for financial reporting purposes. This determination is based on the expectations that, immediately following the merger: (i) Tectonic’s equity holders will own a substantial majority of the voting rights in the combined company; (ii) Tectonic’s largest stockholder will retain the largest interest in the combined company; (iii) Tectonic will designate a majority of the initial members of the board of directors of the combined company; (iv) Tectonic’s executive management team will become the management of the combined company; and (v) the combined company will be renamed Tectonic Therapeutic, Inc. and will be headquartered in Massachusetts. As a result of Tectonic being treated as the accounting acquirer, Tectonic’s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assets and liabilities will be recorded at their pre-combination carrying amounts. AVROBIO’s assets and liabilities will be measured and recognized at their fair values as of the effective time, which are expected to approximate the carrying value of the acquired cash and other non-operating assets, with no goodwill or other intangible assets recorded. For periods prior to closing, the historical financial statements of Tectonic shall become the historical financial statements of the combined company. See the section 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beginning on page 440 of this proxy statement/prospectus for additional information. </w:t>
      </w:r>
    </w:p>
    <w:p>
      <w:pPr>
        <w:pStyle w:val="TextBody"/>
        <w:bidi w:val="0"/>
        <w:spacing w:before="360" w:after="0"/>
        <w:jc w:val="left"/>
        <w:rPr>
          <w:rFonts w:ascii="Times New Roman" w:hAnsi="Times New Roman"/>
          <w:b/>
          <w:sz w:val="20"/>
          <w:bdr w:val="single" w:sz="8" w:space="1" w:color="000000"/>
        </w:rPr>
      </w:pPr>
      <w:bookmarkStart w:id="18" w:name="toc770053_16"/>
      <w:bookmarkEnd w:id="18"/>
      <w:r>
        <w:rPr>
          <w:rFonts w:ascii="Times New Roman" w:hAnsi="Times New Roman"/>
          <w:b/>
          <w:sz w:val="20"/>
          <w:bdr w:val="single" w:sz="8" w:space="1" w:color="000000"/>
        </w:rPr>
        <w:t>Appraisal Rights and Dissenters’ Rights (see page 235)</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AVROBIO common stock are not entitled to appraisal rights in connection with the merger under Delaware law. Holders of Tectonic capital stock are entitled to appraisal rights in connection with the merger under Delaware law. </w:t>
      </w:r>
    </w:p>
    <w:p>
      <w:pPr>
        <w:pStyle w:val="TextBody"/>
        <w:bidi w:val="0"/>
        <w:spacing w:before="360" w:after="0"/>
        <w:jc w:val="left"/>
        <w:rPr>
          <w:rFonts w:ascii="Times New Roman" w:hAnsi="Times New Roman"/>
          <w:b/>
          <w:sz w:val="20"/>
          <w:bdr w:val="single" w:sz="8" w:space="1" w:color="000000"/>
        </w:rPr>
      </w:pPr>
      <w:bookmarkStart w:id="19" w:name="toc770053_17"/>
      <w:bookmarkEnd w:id="19"/>
      <w:r>
        <w:rPr>
          <w:rFonts w:ascii="Times New Roman" w:hAnsi="Times New Roman"/>
          <w:b/>
          <w:sz w:val="20"/>
          <w:bdr w:val="single" w:sz="8" w:space="1" w:color="000000"/>
        </w:rPr>
        <w:t>Comparison of Stockholder Rights (see page 457)</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Both AVROBIO and Tectonic are incorporated under the laws of the State of Delaware and, accordingly, the rights of the stockholders of each are currently, and will continue to be, governed by the DGCL. If the merger is completed, Tectonic stockholders will become AVROBIO stockholders, and their rights will be governed by the DGCL, the amended and restated bylaws of AVROBIO (“AVROBIO’s bylaws”) and AVROBIO’s charter, as may be further amended by Proposal No. 3 if approved by the AVROBIO stockholders at the special meeting. The rights of AVROBIO stockholders contained in AVROBIO’s charter and bylaws differ from the rights of Tectonic stockholders under the amended and restated certificate of incorporation and bylaws of Tectonic, as more fully described under the section titled “</w:t>
      </w:r>
      <w:r>
        <w:rPr>
          <w:rFonts w:ascii="Times New Roman" w:hAnsi="Times New Roman"/>
          <w:i/>
          <w:sz w:val="20"/>
          <w:bdr w:val="single" w:sz="8" w:space="1" w:color="000000"/>
        </w:rPr>
        <w:t>Comparison of Rights of Holders of AVROBIO Capital Stock and Tectonic Capital Stock</w:t>
      </w:r>
      <w:r>
        <w:rPr>
          <w:rFonts w:ascii="Times New Roman" w:hAnsi="Times New Roman"/>
          <w:sz w:val="20"/>
          <w:bdr w:val="single" w:sz="8" w:space="1" w:color="000000"/>
        </w:rPr>
        <w:t xml:space="preserve">” beginning on page 457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0" w:name="toc770053_18"/>
      <w:bookmarkEnd w:id="20"/>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AVROBIO common stock is currently listed on Nasdaq under the symbol “AVRO.”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AVROBIO common stock on January 29, 2024, the last day of trading prior to the announcement of the merger, as reported on Nasdaq, was $1.37 per share. The closing price of the AVROBIO common stock on    , 2024, the last practicable date before the date of this proxy statement/prospectus, as reported on Nasdaq, was $    per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AVROBIO common stock is subject to fluctuation, the market value of the shares of the AVROBIO common stock that the Tectonic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Tectonic is a private company and its shares of common stock are not publicly traded.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Nos. 1 and 2 and successful application for initial listing with Nasdaq, following the consummation of the merger, the AVROBIO common stock will trade on Nasdaq under AVROBIO’s new name, “Tectonic Therapeutic, Inc.” and a new trading symbol “TECX.” </w:t>
      </w:r>
    </w:p>
    <w:p>
      <w:pPr>
        <w:pStyle w:val="TextBody"/>
        <w:bidi w:val="0"/>
        <w:spacing w:before="240" w:after="0"/>
        <w:jc w:val="left"/>
        <w:rPr>
          <w:rFonts w:ascii="Times New Roman" w:hAnsi="Times New Roman"/>
          <w:sz w:val="20"/>
        </w:rPr>
      </w:pPr>
      <w:r>
        <w:rPr>
          <w:rFonts w:ascii="Times New Roman" w:hAnsi="Times New Roman"/>
          <w:sz w:val="20"/>
        </w:rPr>
        <w:t>As of April 29, 2024, the record date for the special meeting, there were approximately four registered holders of record of the AVROBIO common stock. As of April 29, 2024, Tectonic had 24 holders of record of Tectonic common stock and 23 holders of record of Tectonic preferred stock. For detailed information regarding the beneficial ownership of certain AVROBIO and Tectonic stockholders, see the sections titled “</w:t>
      </w:r>
      <w:r>
        <w:rPr>
          <w:rFonts w:ascii="Times New Roman" w:hAnsi="Times New Roman"/>
          <w:i/>
          <w:sz w:val="20"/>
        </w:rPr>
        <w:t>Principal AVROBIO Stockholders</w:t>
      </w:r>
      <w:r>
        <w:rPr>
          <w:rFonts w:ascii="Times New Roman" w:hAnsi="Times New Roman"/>
          <w:sz w:val="20"/>
        </w:rPr>
        <w:t>” and “</w:t>
      </w:r>
      <w:r>
        <w:rPr>
          <w:rFonts w:ascii="Times New Roman" w:hAnsi="Times New Roman"/>
          <w:i/>
          <w:sz w:val="20"/>
        </w:rPr>
        <w:t>Principal Tectonic Stockholders</w:t>
      </w:r>
      <w:r>
        <w:rPr>
          <w:rFonts w:ascii="Times New Roman" w:hAnsi="Times New Roman"/>
          <w:sz w:val="20"/>
        </w:rPr>
        <w:t xml:space="preserve">” beginning on pages 467 and 469, respectively, of this proxy statement/prospectus. </w:t>
      </w:r>
    </w:p>
    <w:p>
      <w:pPr>
        <w:pStyle w:val="TextBody"/>
        <w:bidi w:val="0"/>
        <w:spacing w:before="360" w:after="0"/>
        <w:jc w:val="left"/>
        <w:rPr>
          <w:rFonts w:ascii="Times New Roman" w:hAnsi="Times New Roman"/>
          <w:b/>
          <w:sz w:val="20"/>
        </w:rPr>
      </w:pPr>
      <w:bookmarkStart w:id="21" w:name="toc770053_19"/>
      <w:bookmarkEnd w:id="21"/>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AVROBIO has never declared or paid any cash dividends on the AVROBIO common stock and does not anticipate paying cash dividends on the AVROBIO common stock for the foreseeable future, except pursuant to the CVR Agreement. Notwithstanding the foregoing, any determination to pay cash dividends subsequent to the merger will be at the discretion of the combined organization’s then-current board of directors and will depend upon a number of factors, including the combined organization’s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Tectonic has never paid or declared any cash dividends on the Tectonic capital stock. If the merger does not occur, Tectonic does not anticipate paying any cash dividends on the Tectonic capital stock in the foreseeable future, and Tectonic intends to retain all available funds and any future earnings to fund the development and expansion of its business. Any future determination to pay dividends will be at the discretion of the Tectonic Board and will depend upon a number of factors, including its results of operations, financial condition, future prospects, contractual restrictions, and restrictions imposed by applicable laws and other factors the Tectonic Board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2" w:name="toc770053_20"/>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AVROBIO common stock. You should also read and consider the other information in this proxy statement/prospectus. Please see the section titled “Where You Can Find More Information” beginning on page 476 of this proxy statement/prospectus for further information. </w:t>
      </w:r>
    </w:p>
    <w:p>
      <w:pPr>
        <w:pStyle w:val="TextBody"/>
        <w:bidi w:val="0"/>
        <w:spacing w:before="360" w:after="0"/>
        <w:jc w:val="left"/>
        <w:rPr>
          <w:rFonts w:ascii="Times New Roman" w:hAnsi="Times New Roman"/>
          <w:b/>
          <w:sz w:val="20"/>
        </w:rPr>
      </w:pPr>
      <w:bookmarkStart w:id="23" w:name="toc770053_21"/>
      <w:bookmarkEnd w:id="23"/>
      <w:r>
        <w:rPr>
          <w:rFonts w:ascii="Times New Roman" w:hAnsi="Times New Roman"/>
          <w:b/>
          <w:sz w:val="20"/>
        </w:rPr>
        <w:t xml:space="preserve">Risks Related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ratio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has set an exchange ratio for Tectonic capital stock being converted into AVROBIO’s common stock, and the exchange ratio is based on the outstanding capital stock of Tectonic and the outstanding common stock of AVROBIO, in each case immediately prior to the closing. Applying the exchange ratio formula in the Merger Agreement, and after giving further effect to the proposed private financings, AVROBIO securityholders as of immediately prior to the merger are expected to own approximately 22.3% of the outstanding shares of capital stock of the combined company, former Tectonic securityholders are expected to own approximately 39.8% of the outstanding shares of capital stock of the combined company, and purchasers of Tectonic common stock in the private financings are expected to represent approximately 38.0% of the outstanding shares of capital stock of the combined company,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In the event AVROBIO’s net cash is below $65.0 million, the exchange ratio will be adjusted such that the number of shares issued to the pre-merger Tectonic securityholders will be increased, and AVROBIO stockholders will own a smaller percentage of the combined company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AVROBIO common stock before the completion of the merger will not affect the number of shares Tectonic stockholders will be entitled to receive pursuant to the Merger Agreement. Therefore, if before the completion of the merger, the market price of AVROBIO common stock increases from the market price on the date of the Merger Agreement, then Tectonic stockholders could receive merger consideration with substantially more value for their shares of Tectonic capital stock than the parties had negotiated when they established the exchange ratio. Similarly, if before the completion of the merger the market price of AVROBIO common stock declines from the market price on the date of the Merger Agreement, then Tectonic stockholders could receive merger consideration with substantially lower value. The Merger Agreement does not include a price-based termination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complete the merger may result in either AVROBIO or Tectonic paying a termination fee to the other party, and could harm the AVROBIO common stock price and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AVROBIO and Tectonic are subject to the following risks: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under specified circumstances, AVROBIO could be required to pay Tectonic a termination fee of $2,712,500, and Tectonic could be required to pay AVROBIO a termination fee of $4,900,000;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by AVROBIO or Tectonic due to AVROBIO stockholders voting on and failing to approve Proposal No. 1 and Proposal No. 2 at the special meeting (or any adjournment thereof), AVROBIO will be required to reimburse Tectonic for merger-related expenses up to $650,000. The expense reimbursement, to the extent paid, will be credited against any termination fee payable by AVROBIO in the transaction;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of AVROBIO common stock may decline and could fluctuate significantly;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the merger, such as financial advisor, legal and accounting fees, a majority of which must be paid even if the merger is not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and the AVROBIO Board or Tectonic Board determines to seek another business combination, there can be no assurance that either AVROBIO or Tectonic will be able to find another third party to transact a business combination with, yielding comparable or greater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Each of Proposal Nos. 1 and 2 is a condition to completion of the merger. Therefore, the merger cannot be consummated without the approval of Proposal Nos. 1 and 2. If the AVROBIO stockholders do not approve Proposal Nos. 1 and 2, failure to consummate the merger may harm AVROBIO and/or Tectonic. Even if the merger is approved by the Tectonic stockholders and Proposal Nos. 1 and 2 as described in this proxy statement/prospectus are approved by the AVROBIO stockholders, specified conditions must be satisfied or, to the extent permitted by applicable law, waived to complete the merger. These conditions are set forth in the Merger Agreement and each material condition to the completion of the merger is described in the section titled “</w:t>
      </w:r>
      <w:r>
        <w:rPr>
          <w:rFonts w:ascii="Times New Roman" w:hAnsi="Times New Roman"/>
          <w:i/>
          <w:sz w:val="20"/>
        </w:rPr>
        <w:t>The Merger Agreement—Conditions to the Completion of the Merger</w:t>
      </w:r>
      <w:r>
        <w:rPr>
          <w:rFonts w:ascii="Times New Roman" w:hAnsi="Times New Roman"/>
          <w:sz w:val="20"/>
        </w:rPr>
        <w:t xml:space="preserve">” beginning on page 256 of this proxy statement/prospectus. AVROBIO and Tectonic cannot assure you that all of the conditions to the consummation of the merger will be satisfied or waived. If the conditions are not satisfied or waived, the merger may not occur or the closing may be delayed. For example, the closing of the merger is conditioned upon the satisfaction or waiver of the receipt of cash proceeds not less than $114.5 million in connection with the consummation of the transactions contemplated by the private financings. As of the date of this proxy statement/prospectus, AVROBIO and Tectonic do not intend to waive this or any other condition. However, AVROBIO and Tectonic may ultimately determine, in their sole discretion, to waive such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or Tectonic may waive one or more of the conditions to the merger without recirculation of this proxy statement/prospectus or resoliciting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Conditions to AVROBIO’s and Tectonic’s obligations to complete the merger may be waived, in whole or in part, to the extent permitted by law, either unilaterally or by agreement of AVROBIO, Tectonic and Merger Sub. In the event of a waiver of a condition, the AVROBIO Board will evaluate the materiality of any such waiver to determine whether an amendment to this proxy statement/prospectus and resolicitation of stockholder approval is necessary.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the AVROBIO Board, in its own reasonable discretion, determines any such waiver does not require recirculation of this proxy statement/prospectus and resolicitation of its stockholders, it will have the discretion to complete the merger without seeking further stockholder approval, which decision may have a material adverse effect on AVROBIO’s stockholders. For example, if AVROBIO and Tectonic agree to waive the requirement that the shares of AVROBIO common stock to be issued in the merger have been approved for listing (subject to official notice of issuance) on Nasdaq as of the closing, and their respective boards of directors elect to proceed with the closing, Nasdaq may notify the combined company of its determination to delist the combined company’s securities based on the failure to satisfy the initial inclusion criteria in the Nasdaq application. The combined company may appeal the determination to a hearings panel, which would stay the delisting action pending a panel decision. If the combined company does not appeal the determination, its common stock would be delisted. Additionally, the closing of the merger is conditioned upon the satisfaction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waiver of the receipt of cash proceeds not less than $114.5 million in connection with the consummation of the transactions contemplated by the private financings. While, as of the date of this proxy statement/prospectus, AVROBIO and Tectonic do not intend to waive this or any other condition, AVROBIO and Tectonic may ultimately determine, in their sole discretion, to waive such condition. Given that, at the time that AVROBIO stockholders are expected to vote at the special meeting, it will not be known whether the private financings will close in a timely manner or at all, it is possible that AVROBIO and Tectonic may determine to consummate the merger despite not receiving at least $114.5 million in cash proceeds from the private financings. In the event the merger closes without receipt of the $114.5 million from the private financings, the combined company would not have the same liquidity at closing as it would have had if the condition was satisfied. Without taking into account any portion of the proceeds from the private financings, AVROBIO’s estimated cash at closing of $65.0 million to $75.0 million will permit the combined company to continue its operations, but its ability to fund its operating expenses and capital expenditure requirements into mid-2027 would be adversely affected. If the Company does not receive any portion of the $114.5 million proceeds from the private financings, the combined company would have to raise significant additional capital by issuing equity securities or through additional debt or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For more information about the conditions to the completion of the merger, see the section titled “</w:t>
      </w:r>
      <w:r>
        <w:rPr>
          <w:rFonts w:ascii="Times New Roman" w:hAnsi="Times New Roman"/>
          <w:i/>
          <w:sz w:val="20"/>
        </w:rPr>
        <w:t>The Merger Agreement—Conditions to the Completion of the Merger</w:t>
      </w:r>
      <w:r>
        <w:rPr>
          <w:rFonts w:ascii="Times New Roman" w:hAnsi="Times New Roman"/>
          <w:sz w:val="20"/>
        </w:rPr>
        <w:t>.” For more information about the potential consequences of consummating the merger without receiving the minimum $114.5 million in cash proceeds from the private financings, see the section titled “</w:t>
      </w:r>
      <w:r>
        <w:rPr>
          <w:rFonts w:ascii="Times New Roman" w:hAnsi="Times New Roman"/>
          <w:i/>
          <w:sz w:val="20"/>
        </w:rPr>
        <w:t>Risk Factors—Risks Related to the Merger—If AVROBIO and Tectonic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w:t>
      </w:r>
      <w:r>
        <w:rPr>
          <w:rFonts w:ascii="Times New Roman" w:hAnsi="Times New Roman"/>
          <w:sz w:val="20"/>
        </w:rPr>
        <w:t>” on page 38 of this proxy statement/prospectus. For more information about the potential consequences of a failure to comply with the initial listing standards of Nasdaq, see the section titled “</w:t>
      </w:r>
      <w:r>
        <w:rPr>
          <w:rFonts w:ascii="Times New Roman" w:hAnsi="Times New Roman"/>
          <w:i/>
          <w:sz w:val="20"/>
        </w:rPr>
        <w:t>Risk Factors—Risks Related to the Combined Company—Upon completion of the merger, failure by the combined company to comply with the initial listing standards of Nasdaq will prevent its stock from being listed on Nasdaq</w:t>
      </w:r>
      <w:r>
        <w:rPr>
          <w:rFonts w:ascii="Times New Roman" w:hAnsi="Times New Roman"/>
          <w:sz w:val="20"/>
        </w:rPr>
        <w:t xml:space="preserve">” on page 163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In general, neither AVROBIO nor Tectonic is obligated to complete the merger if there is a material adverse effect affecting the other party between January 30, 2024 (the date of the Merger Agreement), and the closing. However, certain types of causes are excluded from the concept of a “material adverse effect.” Such exclusions include but are not limited to changes in general economic or political conditions, industry wide changes, changes resulting from the announcement of the merger, natural disasters, pandemics (including the coronavirus (“COVID-19”) pandemic), other force majeure events, acts or threat of terrorism or war and changes in GAAP. Therefore, if any of these events were to occur and adversely affect AVROBIO or Tectonic, the other party would still be obliged to consummate the closing notwithstanding such material adverse effect. If any such adverse effects occur and AVROBIO and Tectonic consummate the closing, the stock price of the combined company may suffer. This in turn may reduce the value of the merger to the AVROBIO stockholders, Tectonic stockholders or both. For a more complete discussion of what constitutes a material adverse effect on AVROBIO or Tectonic, please see the section titled “</w:t>
      </w:r>
      <w:r>
        <w:rPr>
          <w:rFonts w:ascii="Times New Roman" w:hAnsi="Times New Roman"/>
          <w:i/>
          <w:sz w:val="20"/>
        </w:rPr>
        <w:t>The Merger Agreement—Representations and Warranties</w:t>
      </w:r>
      <w:r>
        <w:rPr>
          <w:rFonts w:ascii="Times New Roman" w:hAnsi="Times New Roman"/>
          <w:sz w:val="20"/>
        </w:rPr>
        <w:t xml:space="preserve">” beginning on page 246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and Tectonic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Tectonic entered into the Subscription Agreement with certain investors named therein, pursuant to which such investors agreed to purchase shares of Tectonic common stock, at a purchase price currently estimated at approximately $96.6 million in the aggregate, for an aggregate purchase price among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transactions contemplated by the Subscription Agreement and the Company SAFEs of approximately $130.7 million.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or any other condition, there can be no assurance that AVROBIO and Tectonic will ultimately determine, in their sole discretion, not to waive such condition or that the private financings will close in a timely manner or at all. If such condition is waived, the private financings fail to close at all or less than $114.5 million in cash proceeds is received from the private financings, the combined company may need to seek alternative financing. In such scenario, the combined company’s cash runway would be shortened such that the combined company will need to raise significant capital following the closing of the merger. Additionally, the shares of AVROBIO common stock issuable upon the exchange at closing of the private financing will result in dilution to all securityholders of the combined company (i.e., both the pre-merger AVROBIO securityholders and former Tectonic securityholders). For a more complete description of the private financings, please see the section titled “</w:t>
      </w:r>
      <w:r>
        <w:rPr>
          <w:rFonts w:ascii="Times New Roman" w:hAnsi="Times New Roman"/>
          <w:i/>
          <w:sz w:val="20"/>
        </w:rPr>
        <w:t>Agreements Related to the Merger—Subscription Agreement</w:t>
      </w:r>
      <w:r>
        <w:rPr>
          <w:rFonts w:ascii="Times New Roman" w:hAnsi="Times New Roman"/>
          <w:sz w:val="20"/>
        </w:rPr>
        <w:t xml:space="preserve">” beginning on page 264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AVROBIO’s pre-merger securityholders and Tectonic’s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AVROBIO and Tectonic directors and executive officers have interests in the merger that are different from yours and that may influence them to support or approve the merger without regard to your interests.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AVROBIO and Tectonic may have interests in the merger that are different from, or in addition to, the interests of other AVROBIO stockholders generally. These interests with respect to AVROBIO’s directors and executive officers may include, among others: acceleration or vesting of certain AVROBIO stock options or AVROBIO RSUs, retention bonus payments, extension of exercisability periods of previously issued AVROBIO stock option grants, severance payments if employment is terminated in a qualifying termination in connection with the merger and rights to continued indemnification, expense advancement and insurance coverage. One member of the AVROBIO Board will continue as a director of the combined company after the effective time, and, following the closing, will be eligible to be compensated as a non-employee director of the combined company. All of AVROBIO’s directors and executive officers are entitled to certain indemnification and liability insurance coverage pursuant to the terms of the Merger Agreement. These interests, among others, may influence the officers and directors of AVROBIO and cause them to view the merger differently from how AVROBIO stockholders generally may view it. </w:t>
      </w:r>
    </w:p>
    <w:p>
      <w:pPr>
        <w:pStyle w:val="TextBody"/>
        <w:bidi w:val="0"/>
        <w:spacing w:before="240" w:after="0"/>
        <w:jc w:val="left"/>
        <w:rPr>
          <w:rFonts w:ascii="Times New Roman" w:hAnsi="Times New Roman"/>
          <w:sz w:val="20"/>
        </w:rPr>
      </w:pPr>
      <w:r>
        <w:rPr>
          <w:rFonts w:ascii="Times New Roman" w:hAnsi="Times New Roman"/>
          <w:sz w:val="20"/>
        </w:rPr>
        <w:t xml:space="preserve">Tectonic’s directors and executive officers may also have interests in the merger that are different from, or in addition to, the interests of other AVROBIO stockholders generally. Such interests may include, among others, certain of Tectonic’s directors and executive officers have options, subject to vesting, to purchase shares of Tectonic common stock which, after the effective time, will be converted into and become options to purchase shares of the common stock of the combined company, Tectonic’s executive officers are expected to continue as executive officers of the combined company after the effective time and all of Tectonic’s directors and executive officers are entitled to certain indemnification and liability insurance coverage pursuant to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Current members of the Tectonic Board may continue as directors of the combined company after the effective time, and, following the closing, will be eligible to be compensated as non-employee directors of the combined company pursuant to the combined company’s non-employee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and Tectonic Board were aware of and considered those interests, among other matters, in reaching their decisions to approve and adopt the Merger Agreement, approve the merger, and recommend the approval of the Merger Agreement to AVROBIO and Tectonic stockholders. These interests, among other factors, may have influenced the directors and executive officers of AVROBIO and Tectonic to support or approve the merger.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interests of AVROBIO and Tectonic directors and executive officers in the merger, please see the sections titled “</w:t>
      </w:r>
      <w:r>
        <w:rPr>
          <w:rFonts w:ascii="Times New Roman" w:hAnsi="Times New Roman"/>
          <w:i/>
          <w:sz w:val="20"/>
        </w:rPr>
        <w:t>The Merger—Interests of AVROBIO’s Directors and Executive Officers in the Merger</w:t>
      </w:r>
      <w:r>
        <w:rPr>
          <w:rFonts w:ascii="Times New Roman" w:hAnsi="Times New Roman"/>
          <w:sz w:val="20"/>
        </w:rPr>
        <w:t>” beginning on page 221 and “</w:t>
      </w:r>
      <w:r>
        <w:rPr>
          <w:rFonts w:ascii="Times New Roman" w:hAnsi="Times New Roman"/>
          <w:i/>
          <w:sz w:val="20"/>
        </w:rPr>
        <w:t>The Merger—Interests of Tectonic’s Directors and Executive Officers in the Merger</w:t>
      </w:r>
      <w:r>
        <w:rPr>
          <w:rFonts w:ascii="Times New Roman" w:hAnsi="Times New Roman"/>
          <w:sz w:val="20"/>
        </w:rPr>
        <w:t xml:space="preserve">” beginning on page 227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stockholders and Tectonic stockholders may not realize a benefit from the merger commensurate with the ownership dilution they will experience in connection with the merger, including the issuance of Tectonic common stock in the private financings.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AVROBIO stockholders and Tectonic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AVROBIO’s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AVROBIO common stock is subject to significant fluctuations. Market prices for securities of pharmaceutical, biotechnology and other life science companies have historically been particularly volatile. In addition, the market price of AVROBIO common stock will likely be volatile based on whether stockholders and other investors believe that AVROBIO can complete the merger or otherwise raise additional capital to support AVROBIO’s operations if the merger is not consummated and another strategic transaction cannot be identified, negotiated and consummated in a timely manner, if at all. The volatility of the market price of AVROBIO common stock has been and is expected to continue to be exacerbated by low trading volume. Additional factors that may cause the market price of AVROBIO common stock to fluctuate include: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strategic licensing or commercial partner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its common stock;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its research and development expenditures;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meet industry analyst expectations; and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trading price of AVROBIO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and Tectonic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the current AVROBIO stockholders and Tectonic stockholders will generally own a smaller percentage of the combined company than their ownership of their respective companies prior to the merger. Following the merger and after giving further effect to the proposed private financings, AVROBIO securityholders as of immediately prior to the merger are expected to own approximately 22.3% of the outstanding shares of capital stock of the combined company, former Tectonic securityholders are expected to own approximately 39.8% of the outstanding shares of capital stock of the combined company, and purchasers of Tectonic common stock in the private financings are expected to represent approximately 38.0% of the outstanding shares of capital stock of the combined company,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AVROBIO’s net cash of approximately $65.0 million at closing.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of Tectonic will serve as the Chief Executive Officer of the combined company following the completion of the merger. In addition, the board of directors of the combined company will initially include one member of the AVROBIO Board. Consequently, former securityholders of AVROBIO will not be able to exercise the same influence over the management and policies of the combined company following the closing of the merger than they currently exercise over the management and policies of AVROBIO.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contains provisions that limit AVROBIO’s and Tectonic’s ability to pursue alternatives to the merger, could discourage a potential competing acquiror of AVROBIO or Tectonic from making an alternative transaction proposal and, in specified circumstances, could require AVROBIO or Tectonic to pay a termination fee, which could significantly harm the market price of AVROBIO’s common stock and negatively affect the financial condition,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AVROBIO and Tectonic to make acquisitions during the pendency of the merger, subject to specified exceptions. As a result, if the merger is not completed, the 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and the Merger Agreement is terminated under certain circumstances, AVROBIO may be required to pay Tectonic a termination fee of $2,712,500, or Tectonic may be required to pay AVROBIO a termination fee of $4,900,000. Additionally, if the Merger Agreement is terminated by AVROBIO or Tectonic due to AVROBIO stockholders voting on and failing to approve Proposal No. 1 and Proposal No. 2 at the special meeting (or any adjournment thereof),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each of AVROBIO and Tectonic will have incurred significant fees and expenses, which must be paid whether or not the merger is completed. Further,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proposed merger is not completed, it could significantly harm the market price of AVROBIO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Merger Agreement is terminated and AVROBIO or Tectonic determines to seek another business combination, there can be no assurance that either AVROBIO or Tectonic will be able to find a partner and close an alternative transaction on terms that are as favorable or more favorable than the terms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For more information, please see the section titled “</w:t>
      </w:r>
      <w:r>
        <w:rPr>
          <w:rFonts w:ascii="Times New Roman" w:hAnsi="Times New Roman"/>
          <w:i/>
          <w:sz w:val="20"/>
        </w:rPr>
        <w:t>The Merger Agreement—Non-Solicitation</w:t>
      </w:r>
      <w:r>
        <w:rPr>
          <w:rFonts w:ascii="Times New Roman" w:hAnsi="Times New Roman"/>
          <w:sz w:val="20"/>
        </w:rPr>
        <w:t xml:space="preserve">” beginning on page 250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Tectonic common stock makes it difficult to evaluate the fair market value of Tectonic’s capital stock, the value of the AVROBIO common stock to be issued to Tectonic stockholders may be more or less than the fair market value of Tectonic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Tectonic is privately held and is not traded in any public market. The lack of a public market makes it difficult to determine the fair market value of Tectonic’s capital stock. Because the percentage of AVROBIO equity to be issued to Tectonic stockholders was determined based on negotiations between the parties, it is possible that the value of the AVROBIO common stock to be issued to Tectonic stockholders will be more or less than the fair market value of Tectonic’s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does not qualify as a reorganization under the Code, U.S. Holders of Tectonic common stock may be taxed on the full amount of the consideration received in the merger. </w:t>
      </w:r>
    </w:p>
    <w:p>
      <w:pPr>
        <w:pStyle w:val="TextBody"/>
        <w:bidi w:val="0"/>
        <w:spacing w:before="120" w:after="0"/>
        <w:jc w:val="left"/>
        <w:rPr>
          <w:rFonts w:ascii="Times New Roman" w:hAnsi="Times New Roman"/>
          <w:sz w:val="20"/>
        </w:rPr>
      </w:pPr>
      <w:r>
        <w:rPr>
          <w:rFonts w:ascii="Times New Roman" w:hAnsi="Times New Roman"/>
          <w:sz w:val="20"/>
        </w:rPr>
        <w:t>As discussed more fully under the section 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231 of this proxy statement/prospectus, the merger is intended to qualify for U.S. federal income tax purposes as a “reorganization” within the meaning of Section 368(a) of the Code. Assuming the merger so qualifies, no gain will be recognized by U.S. Holders of Tectonic common stock who receive only AVROBIO common stock in the merger. It is not, however, a condition to Tectonic’s obligation or AVROBIO’s obligation to complete the transactions that the merger so qualifies. None of the parties to the Merger Agreement have sought or intend to seek any ruling from the IRS regarding the qualification of the merger as a reorganization within the meaning of Section 368(a) of the Code. If the merger does not qualify for the U.S. federal income tax treatment described herein, U.S. Holders of Tectonic common stock may be taxed on any gain realized up to the full fair market value of any AVROBIO common stock received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treatment of the CVRs is subject to substantial uncertainty. </w:t>
      </w:r>
    </w:p>
    <w:p>
      <w:pPr>
        <w:pStyle w:val="TextBody"/>
        <w:bidi w:val="0"/>
        <w:spacing w:before="120" w:after="0"/>
        <w:jc w:val="left"/>
        <w:rPr>
          <w:rFonts w:ascii="Times New Roman" w:hAnsi="Times New Roman"/>
          <w:sz w:val="20"/>
        </w:rPr>
      </w:pPr>
      <w:r>
        <w:rPr>
          <w:rFonts w:ascii="Times New Roman" w:hAnsi="Times New Roman"/>
          <w:sz w:val="20"/>
        </w:rPr>
        <w:t xml:space="preserve">There is substantial uncertainty as to the U.S. federal income tax treatment of the CVRs and payments (if any) thereon. There is no legal authority addressing the U.S. federal income tax treatment of the receipt of, holding of, or payments under, the CVRs, and there can be no assurance that the IRS would not assert, or that a court would not sustain, a position that could result in adverse U.S. federal income tax consequences to holders of the CVRs. </w:t>
      </w:r>
    </w:p>
    <w:p>
      <w:pPr>
        <w:pStyle w:val="TextBody"/>
        <w:bidi w:val="0"/>
        <w:spacing w:before="240" w:after="0"/>
        <w:jc w:val="left"/>
        <w:rPr>
          <w:rFonts w:ascii="Times New Roman" w:hAnsi="Times New Roman"/>
          <w:sz w:val="20"/>
        </w:rPr>
      </w:pPr>
      <w:r>
        <w:rPr>
          <w:rFonts w:ascii="Times New Roman" w:hAnsi="Times New Roman"/>
          <w:sz w:val="20"/>
        </w:rPr>
        <w:t>For example, as discussed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AVROBIO does not intend to report the issuance of the CVRs as a current distribution of property with respect to its stock, but it is possible that the IRS could assert that AVROBIO stockholders are treated as having received a distribution of property equal to the fair market value of the CVRs on the date the CVRs are distributed, which could be taxable to AVROBIO stockholders without the corresponding receipt of cash. In addition, it is possible that the IRS or a court could determine that the issuance of the CVRs (and/or any payments thereon) and the reverse stock split constitute a single “recapitalization” for U.S. federal income tax purposes with the CVRs constituting taxable “boot” received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recapitalization exchange. In such case, the tax consequences of the CVRs and the reverse stock split would differ from those described in this proxy statement/prospectus, including with respect to the timing and character of income. </w:t>
      </w:r>
    </w:p>
    <w:p>
      <w:pPr>
        <w:pStyle w:val="TextBody"/>
        <w:bidi w:val="0"/>
        <w:spacing w:before="360" w:after="0"/>
        <w:jc w:val="left"/>
        <w:rPr>
          <w:rFonts w:ascii="Times New Roman" w:hAnsi="Times New Roman"/>
          <w:b/>
          <w:sz w:val="20"/>
        </w:rPr>
      </w:pPr>
      <w:bookmarkStart w:id="24" w:name="toc770053_22"/>
      <w:bookmarkEnd w:id="24"/>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short- or long-term, which may further impact the combined company’s ability to obtain or maintain listing on Nasdaq. </w:t>
      </w:r>
    </w:p>
    <w:p>
      <w:pPr>
        <w:pStyle w:val="TextBody"/>
        <w:bidi w:val="0"/>
        <w:spacing w:before="120" w:after="0"/>
        <w:jc w:val="left"/>
        <w:rPr>
          <w:rFonts w:ascii="Times New Roman" w:hAnsi="Times New Roman"/>
          <w:sz w:val="20"/>
        </w:rPr>
      </w:pPr>
      <w:r>
        <w:rPr>
          <w:rFonts w:ascii="Times New Roman" w:hAnsi="Times New Roman"/>
          <w:sz w:val="20"/>
        </w:rPr>
        <w:t>The principal purposes of the reverse stock split are to (i) increase the per-share market price of AVROBIO common stock above the Nasdaq minimum bid price requirement so that the listing of AVROBIO and the shares of AVROBIO common stock being issued in the merger on Nasdaq will be approved and (ii) increase the number of authorized and unissued shares available for future issuance in connection with the merger. It cannot be assured, however, that the reverse stock split will accomplish any increase in the per-share market price of AVROBIO common stock for any meaningful period of time. While it is expected that the reduction in the number of outstanding shares of common stock will proportionally increase the market price of AVROBIO common stock, it cannot be assured that the reverse stock split will increase the market price of its common stock by a multiple of the reverse stock split ratio mutually agreed by AVROBIO and Tectonic, or result in any permanent or sustained increase in the market price of AVROBIO common stock, which is dependent upon many factors, including AVROBIO’s business and financial performance, general market conditions and prospects for future success. Thus, while the stock price of AVROBIO common stock might meet the listing requirements for Nasdaq initially after the reverse stock split, it cannot be assured that it will continue to do so. For more information about the potential consequences of the combined company failing to comply with the listing standards of Nasdaq, see the section titled “</w:t>
      </w:r>
      <w:r>
        <w:rPr>
          <w:rFonts w:ascii="Times New Roman" w:hAnsi="Times New Roman"/>
          <w:i/>
          <w:sz w:val="20"/>
        </w:rPr>
        <w:t>Risk Factors—Risks Related to the Combined Company—Upon completion of the merger, failure by the combined company to comply with the initial listing standards or continued listing standards of Nasdaq will prevent its stock from being listed on Nasdaq or may result in delisting from Nasdaq</w:t>
      </w:r>
      <w:r>
        <w:rPr>
          <w:rFonts w:ascii="Times New Roman" w:hAnsi="Times New Roman"/>
          <w:sz w:val="20"/>
        </w:rPr>
        <w:t xml:space="preserve">” on page 163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determined that the minimum size of the reverse stock split, within the range of ratios approved by the AVROBIO Board, that is necessary to maintain AVROBIO’s Nasdaq listing and to accommodate the additional shares of AVROBIO common stock required to be issued in the transaction is 1:3. The AVROBIO Board intends to take into account various factors prevailing at the time of determination in order to determine the final ratio for the reverse stock split, including the resulting trading price that the AVROBIO Board determines in good faith would be in the best interests of AVROBIO and all of its stockholders. The AVROBIO Board has not determined to necessarily use the minimum ratio required for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AVROBIO Board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360" w:after="0"/>
        <w:jc w:val="left"/>
        <w:rPr>
          <w:rFonts w:ascii="Times New Roman" w:hAnsi="Times New Roman"/>
          <w:b/>
          <w:sz w:val="20"/>
        </w:rPr>
      </w:pPr>
      <w:bookmarkStart w:id="25" w:name="toc770053_23"/>
      <w:bookmarkEnd w:id="25"/>
      <w:r>
        <w:rPr>
          <w:rFonts w:ascii="Times New Roman" w:hAnsi="Times New Roman"/>
          <w:b/>
          <w:sz w:val="20"/>
        </w:rPr>
        <w:t xml:space="preserve">Risks Related to AVROBIO’s Strategic Alternative Process and Potential Strategic Transaction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proposed merger with Tectonic could materially and adversely affect AVROBIO’s results of operations, business, financial results and/or stock price. </w:t>
      </w:r>
    </w:p>
    <w:p>
      <w:pPr>
        <w:pStyle w:val="TextBody"/>
        <w:bidi w:val="0"/>
        <w:spacing w:before="120" w:after="0"/>
        <w:jc w:val="left"/>
        <w:rPr>
          <w:rFonts w:ascii="Times New Roman" w:hAnsi="Times New Roman"/>
          <w:sz w:val="20"/>
        </w:rPr>
      </w:pPr>
      <w:r>
        <w:rPr>
          <w:rFonts w:ascii="Times New Roman" w:hAnsi="Times New Roman"/>
          <w:sz w:val="20"/>
        </w:rPr>
        <w:t xml:space="preserve">In July 2023, AVROBIO announced that it was undertaking a comprehensive exploration of strategic alternatives focused on maximizing stockholder value, which may include, but are not limited to, an acquisition, a merger, business combination or divestiture. After a comprehensive review of strategic alternatives, including identifying and reviewing potential candidates for the merger, on January 30, 2024, AVROBIO entered into the Merger Agreement with Tectonic and Merger Sub, pursuant to which, subject to the satisfaction or waiver of the conditions therein, Merger Sub will merge with and into Tectonic, with Tectonic continuing as the surviving company and a wholly-owned subsidiary of AVROBIO. The closing is subject to approval by the AVROBIO stockholders and Tectonic stockholders as well as other customary closing conditions, including the effectiveness of a registration statement filed with the SEC in connection with the transaction. If the merger is completed, the business of Tectonic will continue as the business of the combined company. Any failure to satisfy a required condition to closing may prevent, delay or otherwise materially and adversely affect the completion of the transaction, which could materially and adversely affect AVROBIO’s results of operations, business, financial results and/or stock price. AVROBIO cannot predict with certainty whether or when any of the required closing conditions will be satisfied or if another uncertainty may arise and cannot assure you that the proposed merger will be successfully consummated or that AVROBIO will be able to successfully consummate the proposed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AVROBIO’s efforts to complete the merger could cause substantial disruptions in, and create uncertainty surrounding, AVROBIO’s business, which may materially adversely affect AVROBIO’s results of operations and AVROBIO’s business. Uncertainty as to whether the merger will be completed may affect AVROBIO’s ability to recruit prospective employees or to retain and motivate existing employees. Employee retention may be particularly challenging while the transaction is pending because employees may experience uncertainty about their roles following the transaction. A substantial amount of AVROBIO’s management’s and employees’ attention is being directed toward the completion of the transaction and thus is being diverted from AVROBIO’s day-to-day operations. Uncertainty as to AVROBIO’s future could adversely affect AVROBIO’s business and AVROBIO’s relationship with collaborators, suppliers, vendors, regulators and other business partners. For example, vendors, collaborators and other counterparties may defer decisions about working with AVROBIO or seek to change existing business relationships with AVROBIO. Changes to, or termination of, existing business relationships could adversely affect AVROBIO’s results of operations and financial condition, as well as the market price of AVROBIO’s common stock. The adverse effects of the pendency of the transaction could be exacerbated by any delays in completion of the transaction or termination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Risks related to the failure to consummate, or delay in consummating, the proposed merger with Tectonic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may not realize any or all of the potential benefits of the merger, which could have a negative effect on AVROBIO’s results of operations, business or stock price;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some circumstances, AVROBIO may be required to pay a termination fee to Tectonic of $2,712,500;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by AVROBIO or Tectonic due to AVROBIO stockholders voting on and failing to approve Proposal No. 1 and Proposal No. 2 at the special meeting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adjournment thereof), AVROBIO will be required to reimburse Tectonic for merger-related expenses up to $650,000. The expense reimbursement, to the extent paid, will be credited against any termination fee payable by AVROBIO in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would remain liable for significant transaction costs, including legal, accounting, financial advisory and other costs relating to the merger regardless of whether the merger is consummated;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AVROBIO common stock may decline to the extent that the current market price for AVROBIO common stock reflects a market assumption that the merger will be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attention of AVROBIO’s management and employees may have been diverted to the merger rather than to AVROBIO’s operations and the pursuit of other opportunities that could have been beneficial to AVROBIO;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could be subject to litigation related to any failure to complete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could potentially lose key personnel during the pendency of the merger as employees and other service providers may experience uncertainty about their future roles with AVROBIO following completion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AVROBIO is subject to certain customary restrictions on the conduct of AVROBIO’s business prior to completing the merger, which restrictions could adversely affect AVROBIO’s ability to conduct AVROBIO’s business as AVROBIO otherwise would have done if AVROBIO was not subject to these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of these events individually or in combination could materially and adversely affect AVROBIO’s results of operations, business, and AVROBIO’s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cannot be sure if or when the merger will be completed.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merger is subject to the satisfaction or waiver of various conditions, including the authorization of the merger by AVROBIO stockholders and Tectonic stockholders. AVROBIO cannot guarantee that the closing conditions set forth in the Merger Agreement will be satisfied. If AVROBIO is unable to satisfy certain closing conditions or if other mutual closing conditions are not satisfied, Tectonic will not be obligated to complete the merger. Under certain circumstances, AVROBIO would be required to pay Tectonic a termination fee of $2,712,500. Additionally, if the Merger Agreement is terminated by AVROBIO or Tectonic due to AVROBIO stockholders voting on and failing to approve Proposal No. 1 and Proposal No. 2 at the special meeting (or any adjournment thereof),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AVROBIO will have incurred significant fees and expenses, which must be paid whether or not the merger is completed.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the AVROBIO Board, in discharging its fiduciary obligations to AVROBIO stockholders, would evaluate other strategic alternatives or financing options that may be available, which alternatives may not be as favorable to AVROBIO stockholders as the merger, including a liquidation and dissolution. Any future sale or merger, financing or other transaction, including a liquidation or dissolution, may be subject to further stockholder approval. AVROBIO may also be unable to find, evaluate or complete other strategic alternatives, which may have a materially adverse effect on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Until the merger is completed, the Merger Agreement restricts Tectonic and AVROBIO from taking specified actions without the consent of the other party, and requires AVROBIO to operate in the ordinary course of business consistent with past practice. These restrictions may prevent Tectonic and AVROBIO from making appropriate changes to AVROBIO respective businesses or pursuing attractive business opportunities that may arise prior to the completion of the merger. Further, if AVROBIO’s net cash at closing is lower than anticipated,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either because expenses exceed current estimates or due to delays prior to closing, then the pre-merger AVROBIO stockholders will own less of the combined company pursuant to the exchange ratio adjustment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Any delay in completing the proposed merger may materially and adversely affect the timing and benefits that are expected to be achieved from the proposed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AVROBIO and the members of the AVROBIO Board arising out of the proposed merger, which may delay or prevent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AVROBIO, the AVROBIO Board, Tectonic, the Tectonic Board and others in connection with the transactions contemplated by the Merger Agreement. The outcome of litigation is uncertain, and AVROBIO may not be successful in defending against any such future claims. Lawsuits that may be filed against AVROBIO, the AVROBIO Board, Tectonic or the Tectonic Board could delay or prevent the merger, divert the attention of AVROBIO’s management and employees from AVROBIO’s day-to-day business and otherwise adversely affect AVROBIO’s financial condition. Litigation may also impact AVROBIO’s ability to consummate a potential strategic transaction or the ultimate value its stockholders receive in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proposed merger, one action has been filed in the United States District Court for the Southern District of New York captioned </w:t>
      </w:r>
      <w:r>
        <w:rPr>
          <w:rFonts w:ascii="Times New Roman" w:hAnsi="Times New Roman"/>
          <w:i/>
          <w:sz w:val="20"/>
        </w:rPr>
        <w:t>Garofalo v. Avrobio, Inc. et al</w:t>
      </w:r>
      <w:r>
        <w:rPr>
          <w:rFonts w:ascii="Times New Roman" w:hAnsi="Times New Roman"/>
          <w:sz w:val="20"/>
        </w:rPr>
        <w:t xml:space="preserve">., 24-cv-1493 (filed February 27, 2024). The foregoing complaint is referred to as the “Merger Action.” </w:t>
      </w:r>
    </w:p>
    <w:p>
      <w:pPr>
        <w:pStyle w:val="TextBody"/>
        <w:bidi w:val="0"/>
        <w:spacing w:before="240" w:after="0"/>
        <w:jc w:val="left"/>
        <w:rPr>
          <w:rFonts w:ascii="Times New Roman" w:hAnsi="Times New Roman"/>
          <w:sz w:val="20"/>
        </w:rPr>
      </w:pPr>
      <w:r>
        <w:rPr>
          <w:rFonts w:ascii="Times New Roman" w:hAnsi="Times New Roman"/>
          <w:sz w:val="20"/>
        </w:rPr>
        <w:t xml:space="preserve">The Merger Action alleges that the Form S-4 registration statement filed by AVROBIO on February 14, 2024 in connection the merger misrepresents and/or omits certain purportedly material information in connection with the merger, potential conflicts of interest of AVROBIO’s officers and directors, and the events that led to the signing of the Merger Agreement. The Merger Action asserts violations of Section 14(a) of the Exchange Act and Rule 14a-9 promulgated thereunder against all defendants (AVROBIO and the AVROBIO Board) and violations of Section 20(a) of the Exchange Act against AVROBIO’s directors. The Merger Action seeks, among other things, an injunction enjoining the consummation of the merger, costs of the action, including plaintiff’s attorneys’ fees and experts’ fees and other relief the court may deem just and proper. </w:t>
      </w:r>
    </w:p>
    <w:p>
      <w:pPr>
        <w:pStyle w:val="TextBody"/>
        <w:bidi w:val="0"/>
        <w:spacing w:before="240" w:after="0"/>
        <w:jc w:val="left"/>
        <w:rPr>
          <w:rFonts w:ascii="Times New Roman" w:hAnsi="Times New Roman"/>
          <w:sz w:val="20"/>
        </w:rPr>
      </w:pPr>
      <w:r>
        <w:rPr>
          <w:rFonts w:ascii="Times New Roman" w:hAnsi="Times New Roman"/>
          <w:sz w:val="20"/>
        </w:rPr>
        <w:t xml:space="preserve">Also in connection with the Merger Agreement, AVROBIO has received demand letters from four purported AVROBIO stockholders demanding that AVROBIO disclose certain additional information relating to the merger (the “Demands”). </w:t>
      </w:r>
    </w:p>
    <w:p>
      <w:pPr>
        <w:pStyle w:val="TextBody"/>
        <w:bidi w:val="0"/>
        <w:spacing w:before="240" w:after="0"/>
        <w:jc w:val="left"/>
        <w:rPr>
          <w:rFonts w:ascii="Times New Roman" w:hAnsi="Times New Roman"/>
          <w:sz w:val="20"/>
        </w:rPr>
      </w:pPr>
      <w:r>
        <w:rPr>
          <w:rFonts w:ascii="Times New Roman" w:hAnsi="Times New Roman"/>
          <w:sz w:val="20"/>
        </w:rPr>
        <w:t xml:space="preserve">AVROBIO cannot predict the outcome of the Merger Action or the Demands. AVROBIO believes that the allegations and claims asserted in the Merger Action and the Demands are without merit and intends to defend against them vigorously. Additional lawsuits and demand letters arising out of the merger may also be filed or received in the future, though AVROBIO will not provide additional disclosures unless those new complaints or letters contain material differences from those received to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stockholders potentially may not receive any payment on the CVRs and the CVRs may otherwise expire valueless.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or prior to the effective time, AVROBIO, the holders’ representative and a rights agent will execute and deliver the CVR Agreement, pursuant to which AVROBIO stockholders of record as of immediately prior to the effective time (including holders of shares of AVROBIO common stock issued upon settlement of the AVROBIO RSUs) will receive one non-transferable CVR for each outstanding share of AVROBIO common stock held by such stockholder on such date, subject to and in accordance with the terms and conditions of the CVR Agreement. Pursuant to the CVR Agreement, each CVR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is entitled to certain rights to receive a pro rata portion of 80% of the net proceeds (as defined in the CVR Agreement), if any, received by AVROBIO as a result of an AVROBIO disposition (including a license) of AVROBIO’s pre-closing assets after the effective date and prior to the 18-month anniversary of the closing, received within a 10-year period following the closing; provided that no contingent payment will be payable to any holder of the CVRs until such time as the then-outstanding and undistributed proceeds exceeds $350,000 in the aggregate. Such proceeds are subject to certain permitted deductions, including for applicable tax payments, certain expenses incurred by AVROBIO or its affiliates, losses incurred or reasonably expected to be incurred by AVROBIO or its subsidiaries due to a third party proceeding in connection with a disposition and certain wind-down costs. The contingent payments under the CVR Agreement, if they become payable, will become payable to the rights agent for subsequent distribution to the holders of the CVRs. In the event that no proceeds are received, holders of the CVRs will not receive any payment pursuant to the CVR Agreement. There can be no assurance that any holders of CVRs will receive payments with respect thereto. </w:t>
      </w:r>
    </w:p>
    <w:p>
      <w:pPr>
        <w:pStyle w:val="TextBody"/>
        <w:bidi w:val="0"/>
        <w:spacing w:before="240" w:after="0"/>
        <w:jc w:val="left"/>
        <w:rPr>
          <w:rFonts w:ascii="Times New Roman" w:hAnsi="Times New Roman"/>
          <w:sz w:val="20"/>
        </w:rPr>
      </w:pPr>
      <w:r>
        <w:rPr>
          <w:rFonts w:ascii="Times New Roman" w:hAnsi="Times New Roman"/>
          <w:sz w:val="20"/>
        </w:rPr>
        <w:t>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For a more detailed description of the CVRs and the CVR Agreement, see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may not be able to achieve successful results from the disposition of such assets as described above. If this is not achieved for any reason within the time periods specified in the CVR Agreement, no payments will be made under the CVRs, and the CVRs will expire valueless.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does not successfully consummate the merger or another strategic transaction, the AVROBIO Board may decide to pursue a dissolution and liquidation of AVROBIO. In such an event, the amount of cash available for distribution to AVROBIO stockholders will depend heavily on the timing of such liquidation as well as the amount of cash that will need to be reserved for commitments and contingent liabilities, as to which AVROBIO can give you no assurance.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merger will be completed. If the merger is not completed, the AVROBIO Board may decide to pursue a dissolution and liquidation of AVROBIO. In such an event, the amount of cash available for distribution to AVROBIO stockholders will depend heavily on the timing of such decision and, ultimately, such liquidation, since the amount of cash available for distribution continues to decrease as AVROBIO funds its operations while pursuing the merger. In addition, if the AVROBIO Board were to approve and recommend, and AVROBIO stockholders were to approve, a dissolution and liquidation of the company, AVROBIO would be required under Delaware corporate law to pay AVROBIO’s outstanding obligations, as well as to make reasonable provision for contingent and unknown obligations, prior to making any distributions in liquidation to stockholders. AVROBIO’s commitments and contingent liabilities may include obligations under AVROBIO’s employment and related agreements with certain employees that provide for severance and other payments following a termination of employment occurring for various reasons, including a change in control of the company, litigation against AVROBIO, and other various claims and legal actions arising in the ordinary course of business, and other unexpected and/or contingent liabilities. As a result of this requirement, a portion of AVROBIO’s assets would need to be reserved pending the resolution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AVROBIO may be subject to litigation or other claims related to a dissolution and liquidation of AVROBIO. If a dissolution and liquidation were to be pursued, the AVROBIO Board, in consultation with AVROBIO’s advisors, would need to evaluate these matters and make a determination about a reasonable amount to reserve. Accordingly, holders of AVROBIO common stock could lose all or a significant portion of their investment in the event of liquidation, dissolution or winding up of the company. A liquidation would be a lengthy and uncertain process with no assurance of any value ever being returned to AVROBIO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AVROBIO is substantially dependent on AVROBIO’s remaining employees to facilitate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AVROBIO’s ability to consummate a strategic transaction depends upon its ability to retain its employees required to consummate such a transaction, the loss of whose services may adversely impact the ability to consummate such transaction. In January 2022, and then between July 2023 and February 2024, AVROBIO implemented reductions in force that significantly reduced its workforce in order to conserve its capital resources. As of March 15, 2024, AVROBIO had only 13 full-time employees. AVROBIO’s ability to successfully complete the merger depends in large part on AVROBIO’s ability to retain certain remaining personnel. Despite AVROBIO’s efforts to retain these employees, one or more may terminate their employment with AVROBIO on short notice. AVROBIO’s cash conservation activities may yield other unintended consequences, such as attrition beyond its planned reduction in workforce and reduced employee morale, which may cause remaining employees to seek alternative employment. The loss of the services of certain employees could potentially harm AVROBIO’s ability to consummate the merger, to run AVROBIO’s day-to-day business operations and to fulfill AVROBIO’s reporting obligations as a public company. </w:t>
      </w:r>
    </w:p>
    <w:p>
      <w:pPr>
        <w:pStyle w:val="TextBody"/>
        <w:bidi w:val="0"/>
        <w:spacing w:before="360" w:after="0"/>
        <w:jc w:val="left"/>
        <w:rPr>
          <w:rFonts w:ascii="Times New Roman" w:hAnsi="Times New Roman"/>
          <w:b/>
          <w:sz w:val="20"/>
        </w:rPr>
      </w:pPr>
      <w:bookmarkStart w:id="26" w:name="toc770053_24"/>
      <w:bookmarkEnd w:id="26"/>
      <w:r>
        <w:rPr>
          <w:rFonts w:ascii="Times New Roman" w:hAnsi="Times New Roman"/>
          <w:b/>
          <w:sz w:val="20"/>
        </w:rPr>
        <w:t xml:space="preserve">Risks Related to AVROBIO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AVROBIO’s Financial Position and Need for Additional Capital in Event the Merger is Not Consummated </w:t>
      </w:r>
    </w:p>
    <w:p>
      <w:pPr>
        <w:pStyle w:val="TextBody"/>
        <w:bidi w:val="0"/>
        <w:spacing w:before="120" w:after="0"/>
        <w:jc w:val="left"/>
        <w:rPr>
          <w:rFonts w:ascii="Times New Roman" w:hAnsi="Times New Roman"/>
          <w:b/>
          <w:i/>
          <w:sz w:val="20"/>
        </w:rPr>
      </w:pPr>
      <w:r>
        <w:rPr>
          <w:rFonts w:ascii="Times New Roman" w:hAnsi="Times New Roman"/>
          <w:b/>
          <w:i/>
          <w:sz w:val="20"/>
        </w:rPr>
        <w:t xml:space="preserve">AVROBIO has incurred net losses since inception, expects to incur net losses for the foreseeable future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except for the year ended December 31, 2023, AVROBIO has incurred annual net losses. AVROBIO incurred net income (loss) of $12.2 million and $(105.9) million for the years ended December 31, 2023 and 2022, respectively. AVROBIO historically financed AVROBIO’s operations primarily through private placements of AVROBIO preferred stock and, more recently, AVROBIO’s initial public offering (“IPO”) and follow-on public offerings of AVROBIO common stock, as well as sales of AVROBIO common stock under AVROBIO’s “at-the-market” facility (the “ATM facility”). Although AVROBIO had established its ATM facility, as of the filing date of its Quarterly Report on Form 10-Q for the quarter ended September 30, 2023, AVROBIO had not made any sales under its ATM facility, and AVROBIO will not make sales under its ATM facility unless and until a new shelf registration statement on Form S-3 is filed and declared effective. In addition, on November 2, 2021, AVROBIO entered into the Loan and Security Agreement (the “Term Loan Agreement”), by and among AVROBIO, the lenders party thereto from time to time and Silicon Valley Bank or its successor, Silicon Valley Bank, a division of First-Citizens Bank &amp; Trust company (“SVB”). In May 2023, AVROBIO announced that it had entered into an asset purchase agreement (the “Asset Purchase Agreement”) with Novartis Pharma AG and Novartis Pharmaceuticals Corporation (collectively “Novartis”), providing for the sale of AVROBIO’s cystinosis gene therapy program (designated AVR-RD-04) and all other assets of AVROBIO specifically related to this program for an aggregate cash payment of $87.5 million upon closing of the transaction. In June 2023, AVROBIO announced the closing of this transaction, as well as the pay-off of all outstanding amounts due and owed, including principal, interest and other charges, under the Term Loan Agreement and the 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AVROBIO has devoted substantially all of AVROBIO’s efforts to research and development, including clinical and preclinical development of AVROBIO’s product candidates, as well as assembling AVROBIO’s team. In July 2023, AVROBIO announced the decision to halt further development of AVROBIO’s programs and to conduct a comprehensive exploration of strategic alternatives, and as such, AVROBIO’s research and development expenses have decreased. Should AVROBIO resume development of AVROBIO’s product candidates, AVROBIO expects that research and development costs would increase significantly, that it would be several years, if ever, before AVROBIO commercializes any product candidates, and that AVROBIO would continue to incur significant expenses and increasing operating losses for the foreseeable future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AVROBIO also anticipates that its expenses would increase substantially should AVROBIO resume development of AVROBIO’s product candidates and if, and as, AVROBIO: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resumes clinical enrollment activities, particularly if and as AVROBIO commences and continues clinical-stage activities for AVROBIO’s product candidates;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initiates additional clinical trials and preclinical studies for AVROBIO’s product candidates,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experiences delays or interruptions in preclinical studies, clinical trials, or AVROBIO’s supply chain due to the COVID-19 pandemic;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and develop or in-license additional product candidates;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marketing approvals for AVROBIO’s product candidates that successfully complete clinical trials,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 candidates for which AVROBIO may obtain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AVROBIO’s implementation of AVROBIO’s plato® platform as AVROBIO seeks to industrialize its HSC gene therapy approach into a robust, scalable and, if approved, commercially viable process;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and retains additional personnel, such as clinical, quality control, regulatory and scientific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expands AVROBIO’s office space, infrastructure and facilities as needed to accommodate AVROBIO’s employee base, including adding equipment and physical infrastructure to support AVROBIO’s research and development; and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to incur additional public company-related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expects to continue to incur costs and expenditures in connection with AVROBIO’s strategic alternatives process. Should AVROBIO resume development of its product candidates, to become and remain profitable, it must successfully develop and eventually commercialize product candidates with significant market potential and acceptance. This will require AVROBIO to be successful in a range of challenging activities, and its expenses will increase substantially as AVROBIO seeks to resume, initiate, conduct and complete preclinical and clinical trials of AVROBIO’s product candidates, and manufacture, market and sell these or any future product candidates for which AVROBIO may obtain marketing approval, if any, and satisfy any post-marketing requirements. Should AVROBIO resume development of its product candidates, AVROBIO may never succeed in any or all of these activities and, even if AVROBIO does, AVROBIO may never generate revenues that are significant or large enough to achieve profitability. If AVROBIO does achieve profitability, AVROBIO may not be able to sustain or increase profitability on a quarterly or annual basis. AVROBIO’s failure to become and remain profitable would decrease the value of AVROBIO and could impair their ability to raise capital, maintain their research and development efforts, expand their business or continue operations. A decline in the value of AVROBIO also could cause you to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In July 2023, AVROBIO announced that it was undertaking a comprehensive exploration of strategic alternatives focused on maximizing stockholder value, and in January 2024, AVROBIO announced its proposed merger with Tectonic. There can be no assurance that the proposed merger with Tectonic, or any other course of action, business arrangement or transaction, or series of transactions, will be pursued, successfully consummated or lead to increased stockholder value. Further, if AVROBIO does not obtain additional funding and/or if a strategic transaction is not completed and are unable to continue as a going concern, AVROBIO may have to liquidate its assets and the values AVROBIO receives for the assets in liquidation or dissolution could be significantly lower than the values reflected in AVROBIO’s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AVROBIO has never generated revenue from product sales and does not expect to do so for the next several years, if ever.</w:t>
      </w:r>
    </w:p>
    <w:p>
      <w:pPr>
        <w:pStyle w:val="TextBody"/>
        <w:bidi w:val="0"/>
        <w:spacing w:before="120" w:after="0"/>
        <w:jc w:val="left"/>
        <w:rPr>
          <w:rFonts w:ascii="Times New Roman" w:hAnsi="Times New Roman"/>
          <w:sz w:val="20"/>
        </w:rPr>
      </w:pPr>
      <w:r>
        <w:rPr>
          <w:rFonts w:ascii="Times New Roman" w:hAnsi="Times New Roman"/>
          <w:sz w:val="20"/>
        </w:rPr>
        <w:t>AVROBIO’s ability to generate revenue from product sales and achieve profitability depends on AVROBIO’s ability, alone or with collaborative partners, to successfully resume and complete the development of, and obtain the regulatory approvals necessary to commercialize, AVROBIO’s product candidates. AVROBIO does not anticipate generating revenues from product sales for the next several years, if ever. Should AVROBIO resume development of its product candidates, AVROBIO’s ability to generate future revenues from product sales depends heavily on AVROBIO’s success in:</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re-initiating and completing research and preclinical and clinical development of AVROBIO’s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seeking and obtaining regulatory and marketing approvals for product candidates for which AVROBIO completes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launching and commercializing product candidates for which AVROBIO obtains regulatory and marketing approval by establishing a sales force, marketing and distribution infrastructure or, alternatively, collaborating with a commercialization partner;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qualifying for adequate coverage and reimbursement by government and third-party payors for AVROBIO’s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supply and manufacturing processes and relationships with third parties that can provide adequate, in both amount and quality, products and services to support clinical development and the commercial market demand for AVROBIO’s product candidates, if approved;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market acceptance of AVROBIO’s product candidates, if approved, as a viable treatment option;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competing technological and market developments;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into which AVROBIO may enter and performing AVROBIO’s obligations under such arrangements; and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one or more of the product candidates that AVROBIO develops is approved for commercial sale, AVROBIO anticipates incurring significant costs associated with commercializing any approved product candidate. AVROBIO’s expenses could increase beyond expectations if AVROBIO is required by the U.S. Food and Drug Administration (“FDA”) or other foreign regulatory authorities to perform clinical and other studies in addition to those that AVROBIO currently anticipates would be required. Even if AVROBIO is able to generate revenues from the sale of any approved products, AVROBIO may not become profitable and may need to obtain additional funding to continue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AVROBIO decides to resume development of its product candidates, AVROBIO will need additional funding, which may not be available on acceptable terms, or at all. Failure to obtain this necessary capital when needed may force AVROBIO to delay, limit or terminate AVROBIO’s product development efforts or other operations.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particularly if AVROBIO continues the research and development of, initiate further clinical trials of and seek marketing approval for, AVROBIO’s product candidates and continue to enhance and optimize AVROBIO’s vector technology and manufacturing processes, AVROBIO expects its expenses would increase in connection with such activities. In July 2023, AVROBIO announced it was halting further development of its programs. Following such announcement, in September 2023 AVROBIO terminated its agreements with the University of Manchester for the license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development of a gene therapy for MPSII (Hunter syndrome) and discontinued AVROBIO’s AVR-RD-05, a Hunter syndrome gene therapy program. Previously, in June 2023, AVROBIO sold its cystinosis gene therapy program to Novartis. AVROBIO currently has a total of three gene therapy product candidates, for Gaucher, Pompe and Fabry diseases, none of which is currently in clinical development. Resumption of the development of these product candidates, if that were to occur, would require AVROBIO to expend significant resources to advance these candidates. In addition, should AVROBIO resume development of its product candidates and thereafter obtains marketing approval for any of AVROBIO’s product candidates, AVROBIO expects to incur significant expenses related to product sales, medical affairs, marketing, manufacturing and distribution. Though AVROBIO has halted further development of its programs to conduct a comprehensive exploration of strategic alternatives and has conducted reductions in force, AVROBIO may incur significant costs in connection with a comprehensive review of strategic alternatives, and AVROBIO has incurred, and may in the future incur, significant costs related to this continued evaluation. AVROBIO may also incur additional unanticipated expenses in connection with this process. Furthermore, AVROBIO expects to continue to incur additional costs associated with operating as a public company. Accordingly, should AVROBIO resume development of its product candidates, AVROBIO will need to obtain substantial additional funding in connection with AVROBIO’s continuing operations. If AVROBIO is unable to raise capital when needed or on reasonable terms, and/or if a strategic transaction is not completed, AVROBIO may have to liquidate its assets. AVROBIO’s future capital requirements will depend on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exploration of strategic alternatives to maximize stockholder value, including whether AVROBIO is able to identify and implement any potential strategic alternatives, in a timely manner or at all, whether AVROBIO realizes all or any of the anticipated benefits of any such transaction and whether any such transactions would generate value for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the scope, progress, results and costs of drug discovery, laboratory testing, preclinical development and clinical trials for AVROBIO’s product candidates, including the extent of any impacts from the COVID-19 pandemic or similar public health crisis on these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the costs, timing and outcome of regulatory review of AVROBIO’s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future activities, including, should AVROBIO resume development of its product candidates, product sales, medical affairs, marketing, manufacturing and distribution, for any of AVROBIO’s product candidates for which AVROBIO receives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should AVROBIO resume development of AVROBIO’s product candidates, the costs associated with AVROBIO’s manufacturing process development and evaluation of third-party manufacturers;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revenue, if any, should AVROBIO resume development of its product candidates, received from commercial sale of AVROBIO’s products, should any of AVROBIO’s product candidates receive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if any, raised from potential financings and capital raising activities should AVROBIO resume development of its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AVROBIO’s intellectual property rights and defending intellectual property-related claims;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defending against and resolving adverse litigation, if any;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AVROBIO’s current and any future license agreements and collaborations; and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AVROBIO acquires or in-license other product candidates, technologies and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product candidates and conducting preclinical testing and clinical trials is a time-consuming, expensive and uncertain process that takes years to complete, and should AVROBIO resume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development of its product candidates, AVROBIO may never generate the necessary data or results required to obtain marketing approval and achieve product sales. In addition, AVROBIO’s product candidates, if approved, may not achieve commercial success. AVROBIO’s product revenues, if any, will be derived from or based on sales of products that may not be commercially available for many years, if at all. Accordingly, AVROBIO will need to continue to rely on additional financing to achieve AVROBIO’s business objectives. Adequate additional financing may not be available to AVROBIO on acceptable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Entry into an acquisition, merger, business combination, or other strategic transaction, or raising additional capital may cause dilution to AVROBIO’s existing stockholders, restrict AVROBIO’s operations or cause AVROBIO to relinquish valuable rights. </w:t>
      </w:r>
    </w:p>
    <w:p>
      <w:pPr>
        <w:pStyle w:val="TextBody"/>
        <w:bidi w:val="0"/>
        <w:spacing w:before="120" w:after="0"/>
        <w:jc w:val="left"/>
        <w:rPr>
          <w:rFonts w:ascii="Times New Roman" w:hAnsi="Times New Roman"/>
          <w:sz w:val="20"/>
        </w:rPr>
      </w:pPr>
      <w:r>
        <w:rPr>
          <w:rFonts w:ascii="Times New Roman" w:hAnsi="Times New Roman"/>
          <w:sz w:val="20"/>
        </w:rPr>
        <w:t xml:space="preserve">In July 2023, AVROBIO announced its intention to explore strategic alternatives, including a potential acquisition, merger, business combination, or other strategic transaction, and in January 2024 announced entrance into the Merger Agreement with Tectonic. If the merger with Tectonic is not consummated, the terms of any other strategic transaction that AVROBIO might enter into, if any, could result in the issuance of securities in the company, such as AVROBIO common stock, which could result in significant dilution to AVROBIO stockholders. Additionally, in connection with any other such strategic alternatives, AVROBIO may seek to raise additional capital through a combination of public and private equity offerings or other financing arrangements. To the extent that AVROBIO enters into any other strategic transaction and/or raises additional capital through the sale of equity, convertible debt securities or other equity-based derivative securities, stockholders’ ownership interest will be diluted and the terms may include liquidation or other preferences that adversely affect rights of stockholders. Any indebtedness AVROBIO incurs would result in increased fixed payment obligations and could involve restrictive covenants, such as limitations on AVROBIO’s ability to incur additional debt, limitations on AVROBIO’s ability to acquire or license intellectual property rights and other operating restrictions that could adversely impact AVROBIO’s ability to conduct AVROBIO’s business. Furthermore, the issuance of additional securities, whether equity or debt, by AVROBIO, or the possibility of such issuance, may cause the market price of AVROBIO common stock to decline and existing stockholders may not agree with AVROBIO’s strategic or financing plans or the terms of such strategic transaction or financings. If AVROBIO raises additional funds through strategic partnerships and alliances and licensing arrangements with third parties, AVROBIO may have to relinquish valuable rights to AVROBIO’s technologies, or AVROBIO’s product candidates, or grant licenses on terms unfavorable to AVROBIO. Adequate additional financing may not be available to AVROBIO on acceptable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limited operating history may make it difficult to evaluate the success of AVROBIO’s business to date and to assess AVROBIO’s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AVROBIO was founded in November 2015. AVROBIO’s operations to date have been limited to corporate organization, recruiting key personnel, business planning, raising capital, acquiring rights to AVROBIO’s technology, identifying potential product candidates, undertaking preclinical studies and planning and supporting clinical trials of certain of AVROBIO’s product candidates and establishing research and development and manufacturing capabilities. AVROBIO has not yet demonstrated the ability to complete clinical trials of AVROBIO’s product candidates, obtain marketing approvals, manufacture products on a commercial scale or conduct sales and marketing activities necessary for successful commercialization. Consequently, any predictions you make about AVROBIO’s future success or viability, should AVROBIO resume development of its programs, may not be as accurate as they could be if AVROBIO had a longer operating history. In addition, as an early-stage company, AVROBIO may encounter unforeseen expenses, difficulties, complications, delays and other known and unknown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AVROBIO’s current and projected business operations and its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Uncertainty remains over liquidity concerns in the broader financial services industry, and if any of AVROBIO’s contract organizations, vendors, suppliers or other parties with whom AVROBIO conducts business are unable to access funds pursuant to their own arrangements with such a financial institution, such party’s ability to perform their obligations could be adversely affected. Similar impacts have occurred in the past, such as during the 2008-2010 financial crisis. </w:t>
      </w:r>
    </w:p>
    <w:p>
      <w:pPr>
        <w:pStyle w:val="TextBody"/>
        <w:bidi w:val="0"/>
        <w:spacing w:before="240" w:after="0"/>
        <w:jc w:val="left"/>
        <w:rPr>
          <w:rFonts w:ascii="Times New Roman" w:hAnsi="Times New Roman"/>
          <w:sz w:val="20"/>
        </w:rPr>
      </w:pPr>
      <w:r>
        <w:rPr>
          <w:rFonts w:ascii="Times New Roman" w:hAnsi="Times New Roman"/>
          <w:sz w:val="20"/>
        </w:rPr>
        <w:t xml:space="preserve">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 </w:t>
      </w:r>
    </w:p>
    <w:p>
      <w:pPr>
        <w:pStyle w:val="TextBody"/>
        <w:bidi w:val="0"/>
        <w:spacing w:before="240" w:after="0"/>
        <w:jc w:val="left"/>
        <w:rPr>
          <w:rFonts w:ascii="Times New Roman" w:hAnsi="Times New Roman"/>
          <w:sz w:val="20"/>
        </w:rPr>
      </w:pPr>
      <w:r>
        <w:rPr>
          <w:rFonts w:ascii="Times New Roman" w:hAnsi="Times New Roman"/>
          <w:sz w:val="20"/>
        </w:rPr>
        <w:t xml:space="preserve">Although AVROBIO assesses its banking relationships as AVROBIO believes necessary or appropriate, AVROBIO’s access to funding sources and other credit arrangements in amounts adequate to finance or capitalize AVROBIO’s current and projected future business operations could be significantly impaired by factors that affect AVROBIO’s company, the financial institutions with which AVROBIO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AVROBIO has financial or business relationships, but could also include factors involving financial markets or the financial services industry generally. The results of events or concerns that involve one or more of these factors could include a variety of material and adverse impacts on AVROBIO’s current and projected business operations and AVROBIO’s financial condition and results of operations. These could include, but may not be limited to, the following: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Delayed access to deposits or other financial assets or the uninsured loss of deposits or other financial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contractual obligations that require AVROBIO to maintain letters of credit or other credit support arrangements;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financial covenants in AVROBIO’s credit agreements or credit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cross-defaults in other credit agreements, credit arrangements or operating or financing agreements;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cash management arrangements and/or delays in accessing or actual loss of funds subject to cash management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AVROBIO to acquire financing on acceptable terms or at all. Any decline in available funding or access to AVROBIO’s cash and liquidity resources could, among other risks, adversely impact AVROBIO’s ability to meet AVROBIO’s operating expenses, financial obligations or fulfill AVROBIO’s other obligations, result in breaches of AVROBIO’s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AVROBIO’s liquidity and AVROBIO’s current and/or projected business operations and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further deterioration in the macroeconomic economy or financial services industry could lead to losses or defaults by AVROBIO’s contract organizations, vendors, suppliers or other parties with whom AVROBIO conducts business, which in turn, could have a material adverse effect on AVROBIO’s current and/or projected business operations and results of operations and financial condition. For example, contract organizations, vendors, suppliers or other parties with whom AVROBIO conducts business could be adversely affected by any of the liquidity or other risks that are described above as factors that could result in material adverse impacts on AVROBIO’s company, including but not limited to delayed access or loss of access to uninsured deposits or loss of the ability to draw on existing credit facilities involving a troubled or failed financial institution. Any bankruptcy or insolvency involving AVROBIO’s contract organizations, vendors, suppliers or other parties with whom AVROBIO conducts business, or any breach or default by such parties, or the loss of any significant relationships with such parties, could result in a material adverse impact on AVROBIO’s business. </w:t>
      </w:r>
    </w:p>
    <w:p>
      <w:pPr>
        <w:pStyle w:val="TextBody"/>
        <w:bidi w:val="0"/>
        <w:spacing w:before="360" w:after="0"/>
        <w:jc w:val="left"/>
        <w:rPr>
          <w:rFonts w:ascii="Times New Roman" w:hAnsi="Times New Roman"/>
          <w:b/>
          <w:sz w:val="20"/>
        </w:rPr>
      </w:pPr>
      <w:bookmarkStart w:id="27" w:name="toc770053_25"/>
      <w:bookmarkEnd w:id="27"/>
      <w:r>
        <w:rPr>
          <w:rFonts w:ascii="Times New Roman" w:hAnsi="Times New Roman"/>
          <w:b/>
          <w:sz w:val="20"/>
        </w:rPr>
        <w:t xml:space="preserve">Risks Related to AVROBIO’s Business if Merger is Not Consummated </w:t>
      </w:r>
    </w:p>
    <w:p>
      <w:pPr>
        <w:pStyle w:val="TextBody"/>
        <w:bidi w:val="0"/>
        <w:spacing w:before="120" w:after="0"/>
        <w:jc w:val="left"/>
        <w:rPr>
          <w:rFonts w:ascii="Times New Roman" w:hAnsi="Times New Roman"/>
          <w:b/>
          <w:i/>
          <w:sz w:val="20"/>
        </w:rPr>
      </w:pPr>
      <w:r>
        <w:rPr>
          <w:rFonts w:ascii="Times New Roman" w:hAnsi="Times New Roman"/>
          <w:b/>
          <w:i/>
          <w:sz w:val="20"/>
        </w:rPr>
        <w:t xml:space="preserve">AVROBIO may not be successful in completing the merger, and any strategic transactions that it may consummate in the future could have negative consequences. </w:t>
      </w:r>
    </w:p>
    <w:p>
      <w:pPr>
        <w:pStyle w:val="TextBody"/>
        <w:bidi w:val="0"/>
        <w:spacing w:before="120" w:after="0"/>
        <w:jc w:val="left"/>
        <w:rPr>
          <w:rFonts w:ascii="Times New Roman" w:hAnsi="Times New Roman"/>
          <w:sz w:val="20"/>
        </w:rPr>
      </w:pPr>
      <w:r>
        <w:rPr>
          <w:rFonts w:ascii="Times New Roman" w:hAnsi="Times New Roman"/>
          <w:sz w:val="20"/>
        </w:rPr>
        <w:t xml:space="preserve">AVROBIO is exploring strategic transactions regarding any product candidates and related assets, including, without limitation, licensing transactions and asset sales. There can be no assurance that AVROBIO will be able to successfully consummate the merger or that the merger will be completed on attractive terms, within the anticipated timing, or at all. The process of continuing to evaluate these strategic options may be very costly, time-consuming and complex and AVROBIO has incurred, and may in the future incur, significant costs related to this continued evaluation, such as legal and accounting fees and expenses and other related charges. AVROBIO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its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strategic business combination or other transactions that AVROBIO may consummate in the future could have a variety of negative consequences and it may implement a course of action or consummate a transaction that yields unexpected results that adversely affects its business and decreases the remaining cash available for use in its business or the execution of its strategic plan. There can be no assurances that any particular course of action, business arrangement or transaction, or series of transactions, will be pursued, successfully consummated, lead to increased stockholder value or achieve the anticipated results. Any potential transaction would be dependent on a number of factors that may be beyond its control, including, among other things, market conditions, industry trends, the interest of third parties in a potential transaction with AVROBIO, obtaining stockholder approval and the availability of financing to third parties in a potential transaction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AVROBIO on reasonable terms. Any failure of such a potential transaction to achieve the anticipated results could significantly impair its ability to enter into any future strategic transactions and may significantly diminish or delay any future distributions to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AVROBIO is not successful in setting forth a new strategic path for AVROBIO, or if its plans are not executed in a timely fashion, this may cause reputational harm with its stockholders and the value of its securities may be adversely impacted. In addition, speculation regarding any developments related to the review of strategic alternatives and perceived uncertainties related to the future of AVROBIO could cause its stock price to fluctuate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is successful in completing the merger, it may be exposed to other operational and financial risks. </w:t>
      </w:r>
    </w:p>
    <w:p>
      <w:pPr>
        <w:pStyle w:val="TextBody"/>
        <w:bidi w:val="0"/>
        <w:spacing w:before="120" w:after="0"/>
        <w:jc w:val="left"/>
        <w:rPr>
          <w:rFonts w:ascii="Times New Roman" w:hAnsi="Times New Roman"/>
          <w:sz w:val="20"/>
        </w:rPr>
      </w:pPr>
      <w:r>
        <w:rPr>
          <w:rFonts w:ascii="Times New Roman" w:hAnsi="Times New Roman"/>
          <w:sz w:val="20"/>
        </w:rPr>
        <w:t xml:space="preserve">Although there can be no assurance that the merger will be completed, the negotiation and consummation of the merger has required and will continue to require significant time on the part of its management, and the diversion of management’s attention may disrupt its business. </w:t>
      </w:r>
    </w:p>
    <w:p>
      <w:pPr>
        <w:pStyle w:val="TextBody"/>
        <w:bidi w:val="0"/>
        <w:spacing w:before="240" w:after="0"/>
        <w:jc w:val="left"/>
        <w:rPr>
          <w:rFonts w:ascii="Times New Roman" w:hAnsi="Times New Roman"/>
          <w:sz w:val="20"/>
        </w:rPr>
      </w:pPr>
      <w:r>
        <w:rPr>
          <w:rFonts w:ascii="Times New Roman" w:hAnsi="Times New Roman"/>
          <w:sz w:val="20"/>
        </w:rPr>
        <w:t xml:space="preserve">The negotiation and consummation of the merger may also require more time or greater cash resources than AVROBIO anticipates and exposes AVROBIO to other operational and financial risks, including: </w:t>
      </w:r>
    </w:p>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75"/>
        <w:gridCol w:w="110"/>
        <w:gridCol w:w="60"/>
        <w:gridCol w:w="3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near-term and long-term expenditures;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110"/>
        <w:gridCol w:w="60"/>
        <w:gridCol w:w="2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exposure to unknown liabilities;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higher than expected acquisition or integration costs;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incurrence of substantial debt or dilutive issuances of equity securities to fund future operations;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write-downs of assets or goodwill or incurrence of non-recurring, impairment or other charges;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amortization expenses;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60"/>
        <w:gridCol w:w="9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difficulty and cost in combining the operations and personnel of any acquired business with its operations and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impairment of relationships with key suppliers or customers of any acquired business due to changes in management and ownership;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retain key employees of AVROBIO or any acquired business; and </w:t>
            </w:r>
          </w:p>
        </w:tc>
      </w:tr>
    </w:tbl>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possibility of future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risks could have a material adverse effect on its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corporate restructuring and the associated reduction in workforce may not result in anticipated savings, could result in total costs and expenses that are greater than expected and could disrupt its business.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2022, and then between July 2023 and February 2024, AVROBIO implemented reductions in force that significantly reduced its workforce in order to conserve its capital expenditures. AVROBIO may not realize, in full or in part, the anticipated benefits, savings and improvements in its cost structure from its restructuring efforts due to unforeseen difficulties, delays or unexpected costs. If AVROBIO is unable to realize the expected operational efficiencies and cost savings from the restructuring, its operating results and financial condition will be adversely affected. Furthermore, its restructuring plan may be disruptive to its operations. For example, its headcount reductions could yield unanticipated consequences, such as increased difficulties in implementing its business strategy, including retention of its remaining employees. Employee litigation related to the headcount reduction could be costly and prevent management from fully concentrating on the business. </w:t>
      </w:r>
    </w:p>
    <w:p>
      <w:pPr>
        <w:pStyle w:val="TextBody"/>
        <w:bidi w:val="0"/>
        <w:spacing w:before="240" w:after="0"/>
        <w:jc w:val="left"/>
        <w:rPr>
          <w:rFonts w:ascii="Times New Roman" w:hAnsi="Times New Roman"/>
          <w:sz w:val="20"/>
        </w:rPr>
      </w:pPr>
      <w:r>
        <w:rPr>
          <w:rFonts w:ascii="Times New Roman" w:hAnsi="Times New Roman"/>
          <w:sz w:val="20"/>
        </w:rPr>
        <w:t xml:space="preserve">Any future growth of AVROBIO’s business would impose significant added responsibilities on members of management, including the need to identify, recruit, maintain and integrate additional employees. Due to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limited resources, AVROBIO may not be able to effectively manage its operations or recruit and retain qualified personnel, which may result in weaknesses in its infrastructure and operations, risks that AVROBIO may not be able to comply with legal and regulatory requirements, loss of employees and reduced productivity among remaining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impact and results of AVROBIO’s ongoing strategic process are uncertain and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remains dedicated to diligent deliberations and the making of informed decisions that the directors believe are in the best interests of the company and its stockholders. There can be no assurance, however, that the company’s current strategic direction, or the AVROBIO Board’s evaluation of strategic alternatives, will result in any initiatives, agreements, transactions or plans that will further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In addition, given the substantial restructuring of AVROBIO’s operations over the past several years, it may be difficult to evaluate its current business and future prospects on the basis of historical operating performance. </w:t>
      </w:r>
    </w:p>
    <w:p>
      <w:pPr>
        <w:pStyle w:val="TextBody"/>
        <w:bidi w:val="0"/>
        <w:spacing w:before="360" w:after="0"/>
        <w:jc w:val="left"/>
        <w:rPr>
          <w:rFonts w:ascii="Times New Roman" w:hAnsi="Times New Roman"/>
          <w:b/>
          <w:sz w:val="20"/>
        </w:rPr>
      </w:pPr>
      <w:bookmarkStart w:id="28" w:name="toc770053_26"/>
      <w:bookmarkEnd w:id="28"/>
      <w:r>
        <w:rPr>
          <w:rFonts w:ascii="Times New Roman" w:hAnsi="Times New Roman"/>
          <w:b/>
          <w:sz w:val="20"/>
        </w:rPr>
        <w:t xml:space="preserve">Risks Related to the Discovery and Development of AVROBIO’s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Business interruptions resulting from the COVID-19 pandemic or similar public health crises have caused and may in the future cause a disruption of the development of AVROBIO’s product candidates and adversely impact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Public health crises such as pandemics, epidemics, or any outbreak of an infectious disease or similar public health crises could adversely impact AVROBIO’s business. For example, the COVID-19 pandemic disrupted normal business operations both in and outside of affected areas and has had significant negative impacts on businesses and financial markets worldwide. While AVROBIO currently has no ongoing clinical development activities following AVROBIO’s decision to halt its clinical development programs while AVROBIO considers strategic alternatives, AVROBIO continues to monitor AVROBIO’s operations and follow applicable government recommendations, and the majority of AVROBIO’s employees have adopted a “hybrid” work schedule which generally limits the number of people in AVROBIO’s office at any particular time. Notwithstanding these measures, the COVID-19 pandemic, including potential outbreaks of new variants, or any other public health crisis could affect the health and availability of AVROBIO’s workforce as well as those of the third parties on which AVROBIO relies. If members of AVROBIO’s management and other key personnel are unable to perform their duties or have limited availability due to any outbreak of an infectious disease or similar public health crises, AVROBIO may not be able to execute on AVROBIO’s business strategy and/or AVROBIO’s operations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clinical trial activities, should AVROBIO resume any such activities, including patient enrollment and data collection, are dependent upon global clinical trial sites which were adversely affected by the COVID-19 pandemic. For example, as the global healthcare community responded to the fluctuations in COVID-19 cases and hospitalizations, many hospitals, including AVROBIO’s clinical sites, temporarily paused elective procedures, which included dosing of new patients with AVROBIO’s investigational gene therapies. While AVROBIO substantially resumed data collection and dosing of new patients until halting AVROBIO’s development programs in July 2023, AVROBIO’s ability to continue clinical activities without further delay or interruption, should AVROBIO resume development of its programs, will depend on future developments that are highly uncertain and cannot be accurately predicted.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from any public health crisis that may delay or otherwise adversely affect enrollment in or the progress of the clinical trials of AVROBIO’s product candidates if AVROBIO resumes development of its programs, as well as AVROBIO’s business generally,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diversion of healthcare resources away from the conduct of clinical trials to focus on pandemic concerns, including the attention of physicians serving as AVROBIO’s clinical trial investigators, hospitals serving as AVROBIO’s clinical trial sites and hospital staff supporting the conduct of AVROBIO’s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AVROBIO’s clinical trial sites or secure visas or entry permissions, any of which could delay or adversely impact the conduct or progress of AVROBIO’s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interruption in global shipping affecting the transport of clinical trial materials, such as patient samples, investigational drug product and conditioning drugs and other supplies used in AVROBIO’s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AVROBIO’s business operations or those of third party service providers, contractors, or suppliers on whom AVROBIO relies, impair the productivity of AVROBIO’s personnel, subject AVROBIO to additional cybersecurity risks, create data accessibility problems, cause AVROBIO to become more susceptible to communication disruptions, or delay necessary interactions with local regulators, ethics committees and other important agencies and contractors;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disruptions involving AVROBIO’s third parties on whom AVROBIO relies, including contract research organizations (“CROs”) and other collaborators for the conduct of AVROBIO’s clinical trials or AVROBIO’s third party suppliers or manufacturers, which could impact their ability to perform adequately or disrupt AVROBIO’s supply chain;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hospital or research institution policies or government regulations, which could delay or adversely impact AVROBIO’s ability to conduct AVROBIO’s clinical trials.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arising from the public health crises could reemerge or worsen and adversely impact AVROBIO’s ability to conduct clinical trials and AVROBIO’s business generally, and could have a material adverse impact on AVROBIO’s operations and financial condition and results. The extent to which any public health crisis impacts AVROBIO’s operations or those of AVROBIO’s third party partners will depend on future developments, which are highly uncertain and cannot be predicted with confidence, including the duration of the public health crisis, the efficacy and safety of vaccines, including against emerging variants, the ability of third parties to manufacture and distribute vaccines, among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HSC lentiviral-based gene therapy product candidates are based on a novel technology, which makes it difficult to predict the time and cost of product candidate development and of subsequently obtaining regulatory approval, should AVROBIO resume development of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has concentrated AVROBIO’s research and development efforts on AVROBIO’s HSC gene therapy approach, and should AVROBIO resume development of its product candidates AVROBIO’s future success would depend on AVROBIO’s successful development of viable gene therapy product candidates. There can be no assurance that AVROBIO will not experience problems or delays in developing new product candidates, should AVROBIO resume development of its product candidates, and that such problems or delays will not cause unanticipated costs, or that any such development problems can be solved. For example, timely enrollment in AVROBIO’s clinical trials is dependent upon global clinical trial sites which were adversely affected by the COVID-19 pandemic. In addition, AVROBIO may also experience delays in developing a sustainable, reproducible and scalable manufacturing process or transferring that process to commercial, additional or alternative partners, which should AVROBIO resume development of its product candidates may prevent AVROBIO from completing clinical studies or commercializing AVROBIO’s products on a timely or profitable basis, if at all. For example, as of July 12, 2023, the date on which AVROBIO announced that AVROBIO was halting all further development activities in AVROBIO’s programs, AVROBIO had dosed 11 patients using AVROBIO’s plato platform, including six patients in AVROBIO’s FAB-GT clinical trial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AVROBIO previously halted enrollment) and five patients in AVROBIO’s Guard1 clinical trial. AVROBIO’s implementation of the LV2 lentiviral vector or of AVROBIO’s cell processing to an industrialized, automated closed system using disposable supplies may not be successful or may experience unforeseen delays, should AVROBIO resume development of its product candidates, which may cause shortages or delays in the supply of AVROBIO’s products available for clinical trials and future commercial sales, if any, or impair AVROBIO’s research and development efforts, including those in any future clinical trials. In addition, there is no assurance that preliminary results observed to date in products manufactured using AVROBIO’s proprietary LV2 lentiviral vector or manufactured using this automated system will be replicated in future studies or trials, should AVROBIO resume development of any of its product candidates. Furthermore, the FDA generally prefers that clinical trials be double-blinded and potentially include sham controls. Such a trial design could be challenging to implement due to the nature of the treatment regimen of HSC gene therapy.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AVROBIO’s can be more expensive and take longer than for other, better known or more extensively studied product candidates. To date, only a limited number of HSC gene therapies have received marketing authorization from the FDA or foreign regulatory authorities. Should AVROBIO resume development of its product candidates, it is difficult to determine how long it would take or how much it would cost to obtain regulatory approvals for those product candidates in the United States, Canada, Europe, Japan or other major markets or how long it would take to commercialize those product candidates, if any were to be approved. Approvals by foreign regulatory authorities may not be indicative of what the FDA may require for approval,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Gene therapy clinical trials conducted at institutions that receive funding for recombinant DNA research from the United States National Institutes of Health (the “NIH”) also are subject to the NIH Guidelines, under which supervision of human gene transfer trials includes evaluation and assessment by an institutional biosafety committee (“IBC”) a local institutional committee that reviews and oversees research utilizing recombinant or synthetic nucleic acid molecules at that institution. Before a clinical trial can begin at any institution, that institution’s review board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AVROBIO’s product candidates should AVROBIO resume their development. Similarly, foreign regulatory authorities may issue new guidelines concerning the development and marketing authorization for gene therapy medicinal products and require that AVROBIO complies with these new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FDA, NIH and the European Medicines Agency (the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(“OTAT”) within the Center for Biologics Evaluation and Research (“CBER”) to consolidate the review of gene therapy and related products, and to advise the CBER on its review. In September 2022, the FDA announced retitling of OTAT to the Office of Therapeutic Products (“OTP”) and elevation of OTP to a “Super Office” to meet its growing cell and gene therapy workload. Although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FDA has indicated that this change of name and responsibilities is intended to, among other things, increase review capabilities and enhance expertise on new cell and gene therapies, AVROBIO cannot be certain that this approach will improve the time and cost associated with navigating gene therapy regulatory requirements, AVROBIO’s regulatory strategy or the potential success of AVROBIO’s product candidates. Such regulatory action and developments could, instead, delay, impede or even prevent commercialization of some or all of AVROBIO’s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These regulatory review committees and advisory groups and any new guidelines they promulgate may lengthen the regulatory review process, require AVROBIO to perform additional studies, increase AVROBIO’s development costs, lead to changes in regulatory positions and interpretations, delay or prevent approval and commercialization of these product candidates or lead to significant post-approval limitations or restrictions. Should AVROBIO resume development of AVROBIO’s product candidates, AVROBIO will be required to consult with these regulatory and advisory groups, and comply with applicable guidelines. If AVROBIO fails to do so, AVROBIO may be required to delay or discontinue development of certain of those product candidates. These additional processes may result in a review and approval process that is longer than AVROBIO otherwise would have expected. Should AVROBIO resume development of its product candidates, the delay or failure to obtain, or unexpected costs in obtaining, the regulatory approval necessary to bring a potential product to market could decrease AVROBIO’s ability to generate sufficient product revenue, and AVROBIO’s business, financial condition, results of operations and prospects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FDA continues to develop its guidance for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Foreign regulatory agencies also may have requirements for long term follow-up studies of patients following human gene therapy administration.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product candidates and the process for administering AVROBIO’s product candidates may cause undesirable side effects or have other properties that, should AVROBIO resume development of its product candidates, could delay or prevent their regulatory approval, limit their commercial potential or result in significant negative consequences following any potential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During the conduct of clinical trials, patients may experience changes in their health, including illnesses, injuries, discomforts or a fatal outcome. It is possible that as AVROBIO tests AVROBIO’s product candidates in larger, longer and more extensive clinical programs, or as use of AVROBIO’s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AVROBIO’s investigational therapies, such as through expanded or Right to Try access or compassionate use, may lead to discovery of undesirable side effects, or other negative consequences that could have adverse impacts on AVROBIO’s development programs for AVROBIO’s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unless otherwise agreed by the FDA. If additional clinical or long-term follow-up experience indicates that any of AVROBIO’s product candidates have side effects or cause serious or life-threatening side effects, AVROBIO may be unable to resume its development programs and any further development of the product candidate may ultimately fail or be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HSC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HSC gene therapy clinical trials. While AVROBIO’s HSC gene therapy approach has been designed to avoid insertional oncogenesis, there can be no assurance that patients will not experience such adverse effects, including death. Should AVROBIO resume development of its gene therapy product candidates and any of those product candidates demonstrates adverse side effects at unacceptable rates or degrees of severity, AVROBIO may decide or be required to halt or delay clinical development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side effects caused by AVROBIO’s product candidates, the conditioning, administration process or related procedures,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 </w:t>
      </w:r>
    </w:p>
    <w:p>
      <w:pPr>
        <w:pStyle w:val="TextBody"/>
        <w:bidi w:val="0"/>
        <w:spacing w:before="240" w:after="0"/>
        <w:jc w:val="left"/>
        <w:rPr>
          <w:rFonts w:ascii="Times New Roman" w:hAnsi="Times New Roman"/>
          <w:sz w:val="20"/>
        </w:rPr>
      </w:pPr>
      <w:r>
        <w:rPr>
          <w:rFonts w:ascii="Times New Roman" w:hAnsi="Times New Roman"/>
          <w:sz w:val="20"/>
        </w:rPr>
        <w:t xml:space="preserve">In 2019, AVROBIO began transitioning, in connection with AVROBIO-sponsored clinical trials, towards a new conditioning regimen for AVROBIO’s product candidates utilizing busulfan as the myeloablative conditioning agent instead of the melphalan that AVROBIO previously used. The use of this conditioning regimen AVROBIO designed to utilize a precision dosing program to achieve a balance between the removal of a sufficient amount of bone marrow cells from a patient to aid engraftment of AVROBIO’s genetically modified cells against potential risks, such as toxicity or graft failure. AVROBIO’s conditioning regimens may not be successful or may nevertheless result in adverse side effects. For example, busulfan, the myeloablative agent most recently used in AVROBIO’s conditioning regimen, has been known to carry certain safety risks, including the risk of impairment to fertility in both men and women, and such impairment has been reported in some patients in AVROBIO’s clinical trials. Moreover, in each of AVROBIO’s previous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unexpected rates or degrees of severity, the FDA or other foreign regulatory authorities could order the cessation of development of, or deny approval of,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Even if AVROBIO is able to demonstrate that adverse events are not product-related, such occurrences could adversely affect patient recruitment (should AVROBIO resume development of its product candidates) or the ability of enrolled patients to complete the clinical trial, and lead to a decline in AVROBIO’s stock price.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AVROBIO resume development of its programs and any of AVROBIO’s product candidates receives marketing approval, the FDA could require AVROBIO to adopt a Risk Evaluation and Mitigation Strategy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AVROBIO or others later identify undesirable side effects caused by AVROBIO’s product candidates, several potentially significant negative consequences could result, including: </w:t>
      </w:r>
    </w:p>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suspend or withdraw approvals of such product candidate;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additional or boxed warnings on the label;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may be required to change the way a product candidate is distributed, dispensed, or administered or conduct additional clinical trials;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could be sued and held liable for harm caused to patients; and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110"/>
        <w:gridCol w:w="60"/>
        <w:gridCol w:w="2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AVROBIO from achieving or maintaining market acceptance of AVROBIO’s product candidates, lead to a decline in AVROBIO’s stock price, and significantly harm AVROBIO’s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has never completed a pivotal or registrational clinical trial, and may be unable to do so for any product candidates AVROBIO may develop, should AVROBIO resume development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is at an early stage of development for all of AVROBIO’s product candidates, and has currently halted further development of AVROBIO’s programs. Twenty-five patients were dosed in AVROBIO’s clinical trials, which includes 14 patients from AVROBIO’s Fabry program that AVROBIO deprioritized in January 2022, six patients in AVROBIO’s cystinosis program that AVROBIO sold to Novartis in June 2023, and five patients in AVROBIO’s Gaucher disease type 1 program. Should AVROBIO resume development of its product candidates, further clinical trials must be completed in order to obtain FDA or other regulatory approval to market these product candidates. AVROBIO has limited experience in preparing, submitting and prosecuting regulatory filings, and has not previously submitted a biologics license application (“BLA”) for any product candidate. Carrying out later-stage clinical trials is a complicated and lengthy process, and AVROBIO does not expect that all data from patients participating in the clinical trials will be relevant or meaningful. </w:t>
      </w:r>
    </w:p>
    <w:p>
      <w:pPr>
        <w:pStyle w:val="TextBody"/>
        <w:bidi w:val="0"/>
        <w:spacing w:before="240" w:after="0"/>
        <w:jc w:val="left"/>
        <w:rPr>
          <w:rFonts w:ascii="Times New Roman" w:hAnsi="Times New Roman"/>
          <w:sz w:val="20"/>
        </w:rPr>
      </w:pPr>
      <w:r>
        <w:rPr>
          <w:rFonts w:ascii="Times New Roman" w:hAnsi="Times New Roman"/>
          <w:sz w:val="20"/>
        </w:rPr>
        <w:t xml:space="preserve">In addition, across AVROBIO-sponsored clinical trials AVROBIO has dosed four patients in the United States, and AVROBIO’s interactions with the FDA have generally been limited. AVROBIO cannot be certain how many additional clinical trials of any of AVROBIO’s product candidates would be required or how such trials should be designed, should AVROBIO resume development of its programs. In order to commence a clinical trial in the United States, AVROBIO is required to seek FDA acceptance of an IND for each of AVROBIO’s product candidates. AVROBIO cannot be sure any IND AVROBIO submits to the FDA, or any similar CTA AVROBIO submits in other countries, will be accepted. Should AVROBIO resume development of its product candidates, there can be no assurance that AVROBIO would be able to submit and secure similar clearances for any of AVROBIO’s other product candidates. AVROBIO may also be required to conduct additional preclinical testing prior to filing an IND for any of AVROBIO’s product candidates, and the results of any such testing may not be positive. Consequently, AVROBIO may be unable to successfully and efficiently execute and complete necessary clinical trials in a way that leads to a BLA submission and approval of any of AVROBIO’s product candidates. AVROBIO may require more time and incur greater costs than AVROBIO’s competitors and may not succeed in obtaining regulatory approvals of product candidates that AVROBIO develops. Failure to commence or complete, or delays in, the necessary clinical trials, could prevent AVROBIO from or delay AVROBIO in commercializing any of AVROBIO’s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Success in preclinical studies or early clinical trials may not be indicative of results obtained in later trials, should AVROBIO resume development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future studies or trials, should AVROBIO resume development of any of its programs. Furthermore, preliminary results may not be indicative of the final results of a trial after all data have been collected and analyzed. For example, in January 2022 AVROBIO announced the deprioritization of AVROBIO’s Fabry program due to several factors, including new clinical data showing variable engraftment patterns from the five most recently dosed Phase 2 FAB-GT patients. Although previously reported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13 patients treated across AVROBIO’s clinical-stage programs had shown durable engraftment out 9 to 54 months, the new data from the five most recently dosed Phase 2 FAB-GT patients were discordant with these other data and showed variable engraftment. Should AVROBIO resume development of its product candidates, there can be no assurance that similar engraftment or other issues will not occur in clinical trials of AVROBIO’s other product candidates, which are all based on AVROBIO’s technology and the same HSC approach utilized for AVR-RD-01. </w:t>
      </w:r>
    </w:p>
    <w:p>
      <w:pPr>
        <w:pStyle w:val="TextBody"/>
        <w:bidi w:val="0"/>
        <w:spacing w:before="240" w:after="0"/>
        <w:jc w:val="left"/>
        <w:rPr>
          <w:rFonts w:ascii="Times New Roman" w:hAnsi="Times New Roman"/>
          <w:sz w:val="20"/>
        </w:rPr>
      </w:pPr>
      <w:r>
        <w:rPr>
          <w:rFonts w:ascii="Times New Roman" w:hAnsi="Times New Roman"/>
          <w:sz w:val="20"/>
        </w:rPr>
        <w:t xml:space="preserve">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AVROBIO has limited experience in designing and conducting clinical trials and AVROBIO may be unable to design and execute a clinical trial to support regulatory approval, should AVROBIO resume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AVROBIO also may experience regulatory delays or rejections as a result of many factors, including due to changes in regulatory policy or the approval of competitive therapies during the period of AVROBIO’s product candidate development. Should AVROBIO resume development of any of AVROBIO’s product candidates, those product candidates may fail to show the desired safety and efficacy in clinical development despite positive results in preclinical studies. Any such failure would cause AVROBIO to abandon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As is typical in open-label studies in which interim reports are provided, the safety and efficacy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find it difficult to enroll patients in AVROBIO’s clinical trials, which could delay or prevent AVROBIO from proceeding with clinical trials of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the timing and success of AVROBIO’s patient enrollment and clinical trial activities would depend on AVROBIO’s ability to recruit patients to participate as well as the completion of required follow-up periods. Patients may be unwilling to participate in AVROBIO’s gene therapy clinical trials because of negative publicity from adverse events related to the biotechnology or gene therapy fields, competitive clinical trials for similar patient populations, clinical trials in product candidates employing AVROBIO’s vectors, the existence of current treatments or for other reasons. In addition, the indications that AVROBIO has targeted and may in the future target are rare diseases, which may limit the pool of patients that may be enrolled in AVROBIO’s clinical trials. Should AVROBIO resume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development of its product candidates, the timeline for recruiting patients, conducting studies and obtaining regulatory approval of AVROBIO’s product candidates may be delayed, which could result in increased costs, delays in advancing AVROBIO’s product candidates, delays in testing the effectiveness of AVROBIO’s product candidates or termination of the clinical trials altogether. Should AVROBIO resume development of its product candidates, AVROBIO may not be able to identify, recruit and enroll a sufficient number of patients, or those with required or desired characteristics, to complete AVROBIO’s clinical trials in a timely manner or at all. There can be no assurance AVROBIO will achieve that goal or any of AVROBIO’s other patient enrollment goals should AVROBIO resume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and trial completion is affected by factors including the: </w:t>
      </w:r>
    </w:p>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size of the patient population and process for identifying patients; </w:t>
            </w:r>
          </w:p>
        </w:tc>
      </w:tr>
    </w:tbl>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75"/>
        <w:gridCol w:w="110"/>
        <w:gridCol w:w="60"/>
        <w:gridCol w:w="2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 of the trial protocol;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gene therapy-based approaches to treatment of diseases, including any required pretreatment conditioning regimens;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competing therapies and clinical trials;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genetic testing for potential patients;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subject consent;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monitor patients adequately during and after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historically expanded AVROBIO’s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AVROBIO has encountered and, should AVROBIO resume development of its product candidates,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AVROBIO’s progress and completion of planned clinical trials and which would have an adverse effect on AVROBIO’s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 </w:t>
      </w:r>
    </w:p>
    <w:p>
      <w:pPr>
        <w:pStyle w:val="TextBody"/>
        <w:bidi w:val="0"/>
        <w:spacing w:before="240" w:after="0"/>
        <w:jc w:val="left"/>
        <w:rPr>
          <w:rFonts w:ascii="Times New Roman" w:hAnsi="Times New Roman"/>
          <w:sz w:val="20"/>
        </w:rPr>
      </w:pPr>
      <w:r>
        <w:rPr>
          <w:rFonts w:ascii="Times New Roman" w:hAnsi="Times New Roman"/>
          <w:sz w:val="20"/>
        </w:rPr>
        <w:t xml:space="preserve">AVROBIO’s product candidates were being developed to treat rare conditions. Should AVROBIO resume development of its product candidates, AVROBIO would expect to seek initial marketing approvals in the United States, Europe and certain other major markets, including Japan. However, AVROBIO may not be able to resume, initiate or continue clinical trials if AVROBIO cannot enroll a sufficient number of eligible patients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participate in the clinical trials required by FDA or other foreign regulatory authorities. AVROBIO’s ability to successfully resume, initiate, enroll and complete a clinical trial in any foreign country is subject to numerous risks unique to conducting business in foreign countries,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difficulty in establishing or managing relationships with contract research organizations (“CROs”) clinical study sites and physicians;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different standards for the conduct of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absence in some countries of established groups with sufficient regulatory expertise for review of gene therapy protocols;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inability to locate qualified local consultants, physicians and partners;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burden of complying with a variety of foreign laws, medical standards and regulatory requirements, including the regulation of pharmaceutical and biotechnology products and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if AVROBIO has difficulty enrolling a sufficient number of patients to conduct AVROBIO’s clinical trials, AVROBIO may need to delay, limit or terminate the resumption or continuation of clinical trials, any of which would have an adverse effect on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encounter substantial delays in resuming its clinical trials or AVROBIO may fail to demonstrate safety and efficacy to the satisfaction of applicable regulatory authorities.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AVROBIO’s product candidates, AVROBIO must conduct extensive clinical studies to demonstrate the safety and efficacy of the product candidates in humans. Clinical testing is expensive, time-consuming and uncertain as to outcome. Should AVROBIO resume development of its product candidates, AVROBIO cannot guarantee that any clinical studies will be conducted as planned or completed on schedule, if at all. A failure of one or more clinical studies can occur at any stage of testing. Events that may prevent successful or timely completion of clinical development, should AVROBIO resume any clinical development programs, include: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on study design;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agreement on acceptable terms with prospective CROs and clinical study sites;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required IRB approval at each clinical study site;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0"/>
        <w:gridCol w:w="6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recruiting suitable patients to participate in AVROBIO’s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clinical hold by regulatory agencies, after an inspection of AVROBIO’s clinical study operations or study sites;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AVROBIO’s CROs, other third parties or AVROBIO to adhere to clinical study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in accordance with the FDA’s good clinical practices (“GCP”) or applicable regulatory guidelines in other countries;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the testing, validation, manufacturing and delivery of AVROBIO’s product candidates to the clinical sites;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having patients complete participation in a study or return for post-treatment follow-up;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study sites or patients dropping out of a study;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serious adverse events associated with the product candidate that are viewed to outweigh its potential benefits; or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and guidance that require amending or submitting new clinical protocols.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any inability to successfully complete preclinical and clinical development could result in additional costs to AVROBIO or impair AVROBIO’s ability to generate revenues. In addition, if AVROBIO makes changes to AVROBIO’s product candidates, or if collaborator-sponsored trials utilize different materials or manufacturing processes from AVROBIO’s to generate data, AVROBIO may need to conduct additional studies to compare or bridge AVROBIO’s modified product candidates to earlier versions, which could delay AVROBIO’s clinical development plan or marketing approval for AVROBIO’s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following such resumption, if the results of AVROBIO’s clinical studies are inconclusive or if there are safety concerns or adverse events associated with AVROBIO’s product candidates, AVROBIO may: </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delayed in obtaining marketing approval for AVROBIO’s product candidates, if at all;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intended or desired;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or a REMS that includes significant use or distribution restrictions or safety warnings;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subject to changes with the way the product is administered;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required to perform additional clinical studies to support approval or be subject to additional post-marketing testing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regulatory authorities withdraw their approval of the product or impose restrictions on its distribution in the form of a REMS;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subject to the addition of labeling statements, such as warnings or contraindications; </w:t>
            </w:r>
          </w:p>
        </w:tc>
      </w:tr>
    </w:tbl>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75"/>
        <w:gridCol w:w="110"/>
        <w:gridCol w:w="60"/>
        <w:gridCol w:w="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sued; or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75"/>
        <w:gridCol w:w="110"/>
        <w:gridCol w:w="60"/>
        <w:gridCol w:w="3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damage to AVROBIO’s reputation.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AVROBIO from achieving or maintaining market acceptance of AVROBIO’s product candidates and impair AVROBIO’s ability to commercialize AVROBIO’s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even if AVROBIO completes the necessary preclinical and clinical studies, AVROBIO cannot predict whether or when AVROBIO would be able to obtain regulatory approval to commercialize a product candidate, and any approval could be for a narrower indication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AVROBIO cannot commercialize a product until the appropriate regulatory authorities have reviewed and approved the product candidate. Even if AVROBIO resumes development of its product candidates and they are able to demonstrate safety and efficacy in clinical studies to support submitting such programs for marketing approval, the regulatory agencies may not complete their review processes in a timely manner, or AVROBIO may not be able to obtain regulatory approval. Additional delays may result if an FDA Advisory Committee or other regulatory authority recommends non-approval or restrictions on approval. In addition, AVROBIO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 regulatory agencies may not approve the labeling claims that are necessary or desirable for the successful commercialization of AVROBIO’s product candidates. If AVROBIO is unable to obtain necessary regulatory approvals or labeling claims, AVROBIO’s business, prospects, financial condition and results of operations would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commercially-scalable plato platform has been used in only two of AVROBIO’s clinical trials and clinical development has been halted. </w:t>
      </w:r>
    </w:p>
    <w:p>
      <w:pPr>
        <w:pStyle w:val="TextBody"/>
        <w:bidi w:val="0"/>
        <w:spacing w:before="120" w:after="0"/>
        <w:jc w:val="left"/>
        <w:rPr>
          <w:rFonts w:ascii="Times New Roman" w:hAnsi="Times New Roman"/>
          <w:sz w:val="20"/>
        </w:rPr>
      </w:pPr>
      <w:r>
        <w:rPr>
          <w:rFonts w:ascii="Times New Roman" w:hAnsi="Times New Roman"/>
          <w:sz w:val="20"/>
        </w:rPr>
        <w:t xml:space="preserve">While AVROBIO has submitted and, should AVROBIO resume development of its product candidates, intends to continue to submit comparability studies to the FDA and other regulatory agencies, as needed, with respect to AVROBIO’s implementation of AVROBIO’s scalable plato platform, there can be no assurance that the FDA or other regulatory agencies will not in the future require AVROBIO to conduct additional preclinical studies or clinical trials that could result in delays and additional costs in AVROBIO’s development or commercialization programs for AVROBIO’s product candidates, which could adversely affect AVROBIO’s business. Should AVROBIO resume development of its product candidates, AVROBIO intends to continue implementing AVROBIO’s scalable plato platform, including heightened vector efficiency, AVROBIO’s closed, automated manufacturing system and utilization of a customized conditioning regimen, in connection with each of AVROBIO’s investigational product candidates. AVROBIO has developed the plato platform to form the backbone of AVROBIO’s commercial programs, with the intent of replacing AVROBIO’s original academic platforms with improved solutions for delivering AVROBIO’s gene therapy candidates to patients in multiple disease indications. In order to implement this transition, AVROBIO was and would continue to be required to conduct additional studies to bridge AVROBIO’s modified product candidates to earlier versions, including any earlier version that may have been utilized in a collaborator-sponsored clinical study, which could delay clinical development or marketing approvals. Clinical trial delays could also shorten any periods during which AVROBIO may have the exclusive right to commercialize AVROBIO’s product candidates, if approved, or allow AVROBIO’s competitors to bring products to market before AVROBIO does, which could impair AVROBIO’s ability to successfully commercialize AVROBIO’s product candidates and may harm AVROBIO’s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faces significant competition in AVROBIO’s industry and, should AVROBIO resume development of its product candidates, there can be no assurance that AVROBIO’s product candidates, if approved, will achieve acceptance in the market over existing established therapies. In addition, AVROBIO’s competitors may develop therapies that are more advanced or effective than AVROBIO’s, which may adversely affect AVROBIO’s ability to successfully market or commercialize any of AVROBIO’s product candidates, should AVROBIO resume development of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operates in a highly competitive segment of the biopharmaceutical market. AVROBIO faces competition from many different sources, including larger pharmaceutical, specialty pharmaceutical and biotechnology companies, as well as from academic institutions, government agencies and private and public research institutions. Should AVROBIO resume development of its product candidates, AVROBIO’s product candidates, if successfully developed and approved, will compete with established therapies, some of which are being marketed by large and international companies. In addition, should AVROBIO resume development of its product candidates, AVROBIO expects to compete with new treatments that are under development or may be advanced into the clinic by AVROBIO’s competitors. There are a variety of product candidates, including gene therapies, in development for the indications that AVROBIO is targeting.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anticipates competing with biotechnology and pharmaceutical companies, many of which may have significantly greater resources than AVROBIO does. For example, for Gaucher disease, Sanofi, Pfizer, and Takeda market existing ERTs that represent the standard of care for Gaucher patients. For Gaucher disease AVROBIO also expects that AVROBIO would compete with oral therapies marketed by Johnson &amp; Johnson and Sanofi. Sanofi also markets an enzyme replacement therapy for Pompe disease. In addition, AVROBIO may compete with other gene therapy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AVROBIO’s industry. Moreover, a number of gene therapy companies have announced preclinical or clinical non-viral and adeno-associated viral based gene therapy programs that, if successful in obtaining regulatory approval, could compete with AVROBIO’s gene therapies. </w:t>
      </w:r>
    </w:p>
    <w:p>
      <w:pPr>
        <w:pStyle w:val="TextBody"/>
        <w:bidi w:val="0"/>
        <w:spacing w:before="240" w:after="0"/>
        <w:jc w:val="left"/>
        <w:rPr>
          <w:rFonts w:ascii="Times New Roman" w:hAnsi="Times New Roman"/>
          <w:sz w:val="20"/>
        </w:rPr>
      </w:pPr>
      <w:r>
        <w:rPr>
          <w:rFonts w:ascii="Times New Roman" w:hAnsi="Times New Roman"/>
          <w:sz w:val="20"/>
        </w:rPr>
        <w:t xml:space="preserve">Many of AVROBIO’s competitors have significantly greater financial, product candidate development, manufacturing and marketing resources than AVROBIO does.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AVROBIO develops obsolete. Competition may increase further as a result of advances in the commercial applicability of technologies and greater availability of capital for investment in these industries. AVROBIO’s business would be materially and adversely affected if competitors develop and commercialize products that are safer, more effective, have fewer or less severe side effects, have broader market acceptance, are more convenient or are less expensive than any product candidate that AVROBIO may develop. </w:t>
      </w:r>
    </w:p>
    <w:p>
      <w:pPr>
        <w:pStyle w:val="TextBody"/>
        <w:bidi w:val="0"/>
        <w:spacing w:before="240" w:after="0"/>
        <w:jc w:val="left"/>
        <w:rPr>
          <w:rFonts w:ascii="Times New Roman" w:hAnsi="Times New Roman"/>
          <w:sz w:val="20"/>
        </w:rPr>
      </w:pPr>
      <w:r>
        <w:rPr>
          <w:rFonts w:ascii="Times New Roman" w:hAnsi="Times New Roman"/>
          <w:sz w:val="20"/>
        </w:rPr>
        <w:t xml:space="preserve">Even if AVROBIO obtains regulatory approval of AVROBIO’s product candidates, the availability and price of AVROBIO’s competitors’ products could limit the demand and the price AVROBIO is able to charge for AVROBIO’s product candidates. AVROBIO may not be able to implement AVROBIO’s business plan if the acceptance of AVROBIO’s product candidates is inhibited by price competition or the reluctance of physicians to switch from existing methods of treatment to AVROBIO’s product candidates, or if physicians switch to other new drug or biologic products or choose to reserve AVROBIO’s product candidates for use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would expect to seek designations for AVROBIO’s product candidates with the FDA and comparable foreign regulatory authorities that are intended to confer benefits such as a faster development process or an accelerated regulatory pathway. However, there can be no assurance that AVROBIO could successfully obtain such designations. In addition, even if one or more of AVROBIO’s product candidates are granted such designations, AVROBIO may not be able to realize the intended benefits of such designations. </w:t>
      </w:r>
    </w:p>
    <w:p>
      <w:pPr>
        <w:pStyle w:val="TextBody"/>
        <w:bidi w:val="0"/>
        <w:spacing w:before="240" w:after="0"/>
        <w:jc w:val="left"/>
        <w:rPr>
          <w:rFonts w:ascii="Times New Roman" w:hAnsi="Times New Roman"/>
          <w:sz w:val="20"/>
        </w:rPr>
      </w:pPr>
      <w:r>
        <w:rPr>
          <w:rFonts w:ascii="Times New Roman" w:hAnsi="Times New Roman"/>
          <w:sz w:val="20"/>
        </w:rPr>
        <w:t xml:space="preserve">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AVROBIO will successfully obtain such designations for any of AVROBIO’s product candidates. In addition, while such designations could expedite the development or approval process, they generally do not change the standards for approval. Even if AVROBIO obtains such designations for one or more of AVROBIO’s product candidates, there can be no assurance that AVROBIO will realize their intended benefits. </w:t>
      </w:r>
    </w:p>
    <w:p>
      <w:pPr>
        <w:pStyle w:val="TextBody"/>
        <w:bidi w:val="0"/>
        <w:spacing w:before="240" w:after="0"/>
        <w:jc w:val="left"/>
        <w:rPr>
          <w:rFonts w:ascii="Times New Roman" w:hAnsi="Times New Roman"/>
          <w:sz w:val="20"/>
        </w:rPr>
      </w:pPr>
      <w:r>
        <w:rPr>
          <w:rFonts w:ascii="Times New Roman" w:hAnsi="Times New Roman"/>
          <w:sz w:val="20"/>
        </w:rPr>
        <w:t xml:space="preserve">AVROBIO may seek a Breakthrough Therapy Designation for some of AVROBIO’s product candidates should AVROBIO resume development of its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AVROBIO believes one of AVROBIO’s product candidates meets the criteria for designation as a breakthrough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AVROBIO’s product candidates qualify as breakthrough therapies, the FDA may later decide that such product candidates no longer meet the conditions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may seek an accelerated approval pathway for one or more of AVROBIO’s product candidates from the FDA or comparable foreign regulatory authorities. The FDA may grant accelerated approval to a therapeutic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prior to seeking accelerated approval, AVROBIO would expect to seek feedback from the FDA or comparable foreign regulatory authorities and would otherwise evaluate AVROBIO’s ability to seek and receive such accelerated approval. There can be no assurance that after AVROBIO’s evaluation of the feedback and other factors AVROBIO would decide to pursue or submit a BLA for accelerated approval or any other form of expedited development, review or approval. Similarly, there can be no assurance that after subsequent feedback from the FDA or comparable foreign regulatory authorities, AVROBIO would continue to pursue or apply for accelerated approval or any other form of expedited development, review or approval, even if AVROBIO initially decides to do so. Furthermore, if AVROBIO decides to submit an application for accelerated approval, there can be no assurance that such application will be accepted or that any approval will be granted on a timely basis, or at all. The FDA, EMA or other comparable foreign regulatory authorities could also require AVROBIO to conduct further studies prior to considering AVROBIO’s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AVROBIO’s product candidate would result in a longer time period to commercialization of such product candidate, could increase the cost of development of such product candidate and could harm AVROBIO’s competitive position in the marketplace. Moreover, even if AVROBIO is able to obtain accelerated approval for any of AVROBIO’s product candidates, there is no guarantee that post-approval studies will be able to confirm the clinical benefit, which could cause FDA to withdraw AVROBIO’s approval.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may also pursue programs or designations from foreign regulatory authorities, such as the UK’s Innovative Licensing and Access Pathway (“ILAP”) which aims to accelerate the time to market and facilitate patient access to certain types of medicinal products in development which target a life-threatening or seriously debilitating condition, or where there is a significant patient or public health need in the UK. To access the ILAP, an applicant applies for an Innovation Passport designation. Once an Innovation Passport designation is granted, the MHRA and its partner agencies (including The All Wales Therapeutics and Toxicology Centre, National Institute for Health and Care Excellence and the Scottish Medicines Consortium) will work with the Innovation Passport designee to define a Target Development Profile,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should AVROBIO resume development of its product candidates, AVROBIO may seek Fast Track designation for some of AVROBIO’s product candidates. If a therapy is intended for the treatment of a serious or life-threatening condition and the therapy demonstrates the potential to address unmet medical needs for this condition, the therapy sponsor may apply for Fast Track designation. However, the FDA has broad discretion whether or not to grant Fast Track designation, so even if AVROBIO believes a product candidate is eligible for this designation, there can be no assurance that the FDA would decide to grant it. Even if AVROBIO does receive Fast Track designation, AVROBIO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AVROBIO’s clinical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should AVROBIO resume development of AVROBIO’s product candidates, AVROBIO may seek a regenerative medicine advanced therapy (“RMAT”) designation for some of AVROBIO’s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AVROBIO believes one of AVROBIO’s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AVROBIO’s product candidates qualify for RMAT designation, the FDA may later decide that the biological products no longer meet the conditions for qualification.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be unable to obtain orphan drug designation for AVROBIO’s product candidates and, even if AVROBIO obtains such designation, AVROBIO may not be able to realize the benefits of such designation, including potential marketing exclusivity of AVROBIO’s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European Commission grants an orphan designation in respect of a product after receiving the opinion of the EMA’s Committee for Orphan Medicinal Products on an orphan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designation application. Orphan designation in the European Union may be granted to products where the sponsor can establish that such product is intended for the diagnosis, prevention or treatment of a life-threatening or chronically debilitating condition affecting not more than 5 in 10,000 persons in the European Union when the application is made. Additionally, orphan designation may be granted for products intended for the diagnosis, prevention or treatment of a life-threatening, seriously debilitating or serious and chronic condition when, without incentives, it is unlikely that sales of the product would generate sufficient returns in the European Union to justify the necessary investment in developing the product. In either case, the applicant must be able to establish that there is no satisfactory method of diagnosis, prevention or treatment of such condition authorized for marketing in the European Union, or if such a method exists, the product would be of a significant benefit to those affected by the condition. </w:t>
      </w:r>
    </w:p>
    <w:p>
      <w:pPr>
        <w:pStyle w:val="TextBody"/>
        <w:bidi w:val="0"/>
        <w:spacing w:before="240" w:after="0"/>
        <w:jc w:val="left"/>
        <w:rPr>
          <w:rFonts w:ascii="Times New Roman" w:hAnsi="Times New Roman"/>
          <w:sz w:val="20"/>
        </w:rPr>
      </w:pPr>
      <w:r>
        <w:rPr>
          <w:rFonts w:ascii="Times New Roman" w:hAnsi="Times New Roman"/>
          <w:sz w:val="20"/>
        </w:rPr>
        <w:t xml:space="preserve">If AVROBIO requests orphan drug designation (or the foreign equivalent) for any other product candidates, there can be no assurances that the FDA or applicable foreign regulatory authorities will grant such designation. Additionally, the designation of any of AVROBIO’s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AVROBIO’s product candidates prior to AVROBIO’s product candidates receiving exclusive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AVROBIO does (regardless of AVROBIO’s orphan drug designation), AVROBIO will be precluded from receiving marketing approval for AVROBIO’s product for the applicable exclusivity period. The applicable period is seven years in the United States and 10 years in the European Union. The exclusivity period in the European Union can be reduced to six years, if at the end of the fifth year, a product no longer meets the criteria for orphan designation or if the product is sufficiently profitable so that market exclusivity is no longer justified. The European Commission introduced a legislative proposal in April 2023 that, if implemented, could reduce the current ten-year marketing exclusivity period in the European Union for certain orphan medicines. Orphan drug exclusivity may be revoked if any regulatory agency determines that the request for designation was materially defective or if the manufacturer is unable to assure sufficient quantity of the product to meet the needs of patients with the rare disease or condition. </w:t>
      </w:r>
    </w:p>
    <w:p>
      <w:pPr>
        <w:pStyle w:val="TextBody"/>
        <w:bidi w:val="0"/>
        <w:spacing w:before="240" w:after="0"/>
        <w:jc w:val="left"/>
        <w:rPr>
          <w:rFonts w:ascii="Times New Roman" w:hAnsi="Times New Roman"/>
          <w:sz w:val="20"/>
        </w:rPr>
      </w:pPr>
      <w:r>
        <w:rPr>
          <w:rFonts w:ascii="Times New Roman" w:hAnsi="Times New Roman"/>
          <w:sz w:val="20"/>
        </w:rPr>
        <w:t xml:space="preserve">Even if AVROBIO obtains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a marketing authorization may be granted to a similar medicinal product for the same orphan indication at any time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second applicant can establish in its application that its medicinal product, although similar to the orphan medicinal product already authorized, is safer, more effective or otherwise clinically superior;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 of the marketing authorization for the original orphan medicinal product consents to a second orphan medicinal product application;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 of the marketing authorization for the original orphan medicinal product cannot supply sufficient quantities of orphan medicinal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 marketing application for a product candidate with rare pediatric disease designation (“ RPDD”), if approved, may not meet the eligibility criteria for a Priority Review Voucher (“PRV”), or the RPDD program may sunset before the FDA is able to consider eligibility for a voucher. </w:t>
      </w:r>
    </w:p>
    <w:p>
      <w:pPr>
        <w:pStyle w:val="TextBody"/>
        <w:bidi w:val="0"/>
        <w:spacing w:before="120" w:after="0"/>
        <w:jc w:val="left"/>
        <w:rPr>
          <w:rFonts w:ascii="Times New Roman" w:hAnsi="Times New Roman"/>
          <w:sz w:val="20"/>
        </w:rPr>
      </w:pPr>
      <w:r>
        <w:rPr>
          <w:rFonts w:ascii="Times New Roman" w:hAnsi="Times New Roman"/>
          <w:sz w:val="20"/>
        </w:rPr>
        <w:t xml:space="preserve">Designation of a drug or biologic as a product for a rare pediatric disease does not guarantee that a BLA for such drug or biologic will meet the eligibility criteria for a rare pediatric disease PRV at the time the application is approved. Under the Federal Food, Drug, and Cosmetic Act (“FD&amp;C Act”), should AVROBIO resume development of AVROBIO’s product candidates, AVROBIO would need to request a rare pediatric disease PRV in AVROBIO’s original BLA for any of AVROBIO’s product candidates that previously received RPDD. The FDA may determine that any such BLA, if approved, does not meet the eligibility criteria for a PRV, including for the following reasons: </w:t>
      </w:r>
    </w:p>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disease indication no longer meets the definition of a rare pediatric disease;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BLA contains an active ingredient that has been previously approved in a BLA;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BLA is not deemed eligible for priority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BLA is approved for a different adult indication than the rare pediatric disease for which the product candidate is designated.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authority for the FDA to award rare pediatric disease PRVs for drugs that have received rare pediatric disease designation prior to September 30, 2024 currently expires on September 30, 2026. If the BLA for any of AVROBIO’s product candidates with RPDD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even if AVROBIO obtains regulatory approval for a product candidate, AVROBIO’s products will remain subject to regulatory oversight.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even if AVROBIO obtains any regulatory approval for AVROBIO’s product candidates, they will be subject to ongoing regulatory requirements for manufacturing, labeling, packaging, storage, advertising, promotion, sampling, record-keeping and submission of safety and other post-market information. Any regulatory approvals that AVROBIO receives for AVROBIO’s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unless otherwise agreed by the FDA.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product manufacturers and their facilities are subject to payment of user fees and continual review and periodic inspections by the FDA and other regulatory authorities for compliance with current good manufacturing practices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manufacturing procedures conform to cGMP regulations and applicable product tracking and tracing requirements. If AVROBIO,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AVROBIO, including requiring recall or withdrawal of the product from the market or suspension of manufacturing. </w:t>
      </w:r>
    </w:p>
    <w:p>
      <w:pPr>
        <w:pStyle w:val="TextBody"/>
        <w:bidi w:val="0"/>
        <w:spacing w:before="240" w:after="0"/>
        <w:jc w:val="left"/>
        <w:rPr>
          <w:rFonts w:ascii="Times New Roman" w:hAnsi="Times New Roman"/>
          <w:sz w:val="20"/>
        </w:rPr>
      </w:pPr>
      <w:r>
        <w:rPr>
          <w:rFonts w:ascii="Times New Roman" w:hAnsi="Times New Roman"/>
          <w:sz w:val="20"/>
        </w:rPr>
        <w:t xml:space="preserve">If AVROBIO fails to comply with applicable regulatory requirements following approval of any of AVROBIO’s product candidates, a regulatory authority may: </w:t>
      </w:r>
    </w:p>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a warning letter asserting that AVROBIO is in violation of the law;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an injunction or impose administrative, civil or criminal penalties or monetary fines;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suspend or withdraw regulatory approval;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suspend any ongoing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refuse to approve a pending BLA or comparable foreign marketing application (or any supplements thereto) submitted by AVROBIO or AVROBIO’s strategic partners;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 the marketing or manufacturing of the product; </w:t>
            </w:r>
          </w:p>
        </w:tc>
      </w:tr>
    </w:tbl>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75"/>
        <w:gridCol w:w="110"/>
        <w:gridCol w:w="60"/>
        <w:gridCol w:w="7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seize or detain the product or otherwise require the withdrawal of the product from the market;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refuse to permit the import or export of products; or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refuse to allow AVROBIO to enter into supply contracts, including government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government investigation of alleged violations of law could require AVROBIO to expend significant time and resources in response and could generate negative publicity. The occurrence of any event or penalty described above may inhibit AVROBIO’s ability to commercialize AVROBIO’s product candidates and adversely affect AVROBIO’s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FDA’s policies, and those of equivalent foreign regulatory agencies, may change and additional government regulations may be enacted that could prevent, limit or delay regulatory approval of AVROBIO’s product candidates. AVROBIO cannot predict the likelihood, nature or extent of government regulation that may arise from future legislation or administrative action, either in the United States or abroad. If AVROBIO is slow or unable to adapt to changes in existing requirements or the adoption of new requirements or policies, or if AVROBIO is not able to maintain regulatory compliance, AVROBIO may lose any marketing approval that AVROBIO may have obtained and AVROBIO may not achieve or sustain profitability, which would materially and adversely affect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AVROBIO’s focus on developing such product candidates may not yield any commercially viable products, and AVROBIO’s failure to successfully identify and develop additional product candidates could impair AVROBIO’s ability to grow. </w:t>
      </w:r>
    </w:p>
    <w:p>
      <w:pPr>
        <w:pStyle w:val="TextBody"/>
        <w:bidi w:val="0"/>
        <w:spacing w:before="120" w:after="0"/>
        <w:jc w:val="left"/>
        <w:rPr>
          <w:rFonts w:ascii="Times New Roman" w:hAnsi="Times New Roman"/>
          <w:sz w:val="20"/>
        </w:rPr>
      </w:pPr>
      <w:r>
        <w:rPr>
          <w:rFonts w:ascii="Times New Roman" w:hAnsi="Times New Roman"/>
          <w:sz w:val="20"/>
        </w:rPr>
        <w:t xml:space="preserve">While AVROBIO initially pursued a growth strategy to identify, develop and market additional product candidates, AVROBIO has halted further development of AVROBIO’s programs and, should AVROBIO resume development of its product candidates, AVROBIO does not anticipate actively seeking additional product candidates beyond AVROBIO’s existing product candidates. Should AVROBIO resume development of its product candidates, AVROBIO may spend several years completing AVROBIO’s development of any particular product candidates, and failure can occur at any stage. The product candidates to which AVROBIO allocates AVROBIO’s resources may not end up being successful. Because AVROBIO has limited resources, AVROBIO may forego or delay pursuit of opportunities with certain programs or product candidates or for indications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later prove to have greater commercial potential than AVROBIO’s product candidates. AVROBIO’s spending on any future research and development programs may not yield any commercially viable product candidates. Should AVROBIO resume development of its product candidates, if AVROBIO does not accurately evaluate the commercial potential for a particular product candidate, AVROBIO may relinquish valuable rights to that product candidate through strategic collaborations, licensing or other arrangements in cases in which it would have been more advantageous for AVROBIO to retain sole development and commercialization rights to such product candidate. If any of these events occur, AVROBIO may be forced to abandon AVROBIO’s development efforts with respect to a particular product candidate or fail to develop a potentially successful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should AVROBIO resume development of its product candidates, certain of AVROBIO’s product candidates may not demonstrate in patients any or all of the pharmacological benefits AVROBIO believes they may possess or compare favorably to existing, approved therapies, such as ERT. AVROBIO has not yet succeeded and may never succeed in demonstrating efficacy and safety of AVROBIO’s product candidates in clinical trials or in obtaining marketing approval thereafter. Accordingly, AVROBIO’s focus on treating these diseases may not result in the development of commercially viable products.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if AVROBIO is unsuccessful in AVROBIO’s development efforts, AVROBIO may not be able to advance the development of AVROBIO’s product candidates, commercialize products, raise capital, expand AVROBIO’s business or continue AVROBIO’s operations. </w:t>
      </w:r>
    </w:p>
    <w:p>
      <w:pPr>
        <w:pStyle w:val="TextBody"/>
        <w:bidi w:val="0"/>
        <w:spacing w:before="360" w:after="0"/>
        <w:jc w:val="left"/>
        <w:rPr>
          <w:rFonts w:ascii="Times New Roman" w:hAnsi="Times New Roman"/>
          <w:b/>
          <w:sz w:val="20"/>
        </w:rPr>
      </w:pPr>
      <w:bookmarkStart w:id="29" w:name="toc770053_27"/>
      <w:bookmarkEnd w:id="29"/>
      <w:r>
        <w:rPr>
          <w:rFonts w:ascii="Times New Roman" w:hAnsi="Times New Roman"/>
          <w:b/>
          <w:sz w:val="20"/>
        </w:rPr>
        <w:t xml:space="preserve">Risks Related to Manufacturing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 therapies are novel, complex and difficult to manufacture. Should AVROBIO resume development of its product candidates, AVROBIO could experience production problems that result in delays in AVROBIO’s development or commercialization programs or otherwise adversely affect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The manufacturing process AVROBIO uses to produce AVROBIO’s product candidates is complex, novel and has not been validated for commercial use. Should AVROBIO resume development of its product candidates, several factors could cause production interruptions, including equipment malfunctions, facility contamination, raw material shortages or contamination, natural disasters, disruption in utility services, human error or disruptions in the operations of AVROBIO’s suppliers. </w:t>
      </w:r>
    </w:p>
    <w:p>
      <w:pPr>
        <w:pStyle w:val="TextBody"/>
        <w:bidi w:val="0"/>
        <w:spacing w:before="240" w:after="0"/>
        <w:jc w:val="left"/>
        <w:rPr>
          <w:rFonts w:ascii="Times New Roman" w:hAnsi="Times New Roman"/>
          <w:sz w:val="20"/>
        </w:rPr>
      </w:pPr>
      <w:r>
        <w:rPr>
          <w:rFonts w:ascii="Times New Roman" w:hAnsi="Times New Roman"/>
          <w:sz w:val="20"/>
        </w:rPr>
        <w:t xml:space="preserve">AVROBIO’s product candidates require processing steps that are more complex than those required for most chemical pharmaceuticals. Moreover, unlike chemical pharmaceuticals, the physical and chemical properties of a biologic such as AVROBIO’s generally cannot be fully characterized. As a result, assays of the finished product may not be sufficient to ensure that the product will perform in the intended manner. Accordingly, AVROBIO and AVROBIO’s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AVROBIO may encounter problems achieving adequate quantities and quality of clinical-grade materials that meet FDA or other applicable regulatory standards or specifications with consistent and acceptable production yields and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FDA and other foreign regulatory authorities may require AVROBIO to submit samples of any lot of any approved product together with the protocols showing the results of applicable tests at any time. Under some circumstances, the FDA or other foreign regulatory authorities may require that AVROBIO not distribute a lot until the agency authorizes its release. Even slight deviations in the manufacturing process, including those affecting quality attributes and stability, may result in unacceptable changes in the product that could result in lot failures or product recalls. Should AVROBIO resume development of AVROBIO’s product candidates, there is no assurance AVROBIO will not experience lot failures in the future. Lot failures or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recalls could cause AVROBIO to delay clinical trials, or, if approved, commercial product launches, which could be costly to AVROBIO and otherwise harm AVROBIO’s business, financial condition, results of operations and prospects. AVROBIO’s manufacturing process relies on a platform structure, which AVROBIO refers to as AVROBIO’s plato platform, and, if AVROBIO experiences delays, deviations or failures that impact that platform, such delays, deviations or failures could have an adverse impact on AVROBIO’s development products or future commercialization programs. </w:t>
      </w:r>
    </w:p>
    <w:p>
      <w:pPr>
        <w:pStyle w:val="TextBody"/>
        <w:bidi w:val="0"/>
        <w:spacing w:before="360" w:after="0"/>
        <w:jc w:val="left"/>
        <w:rPr>
          <w:rFonts w:ascii="Times New Roman" w:hAnsi="Times New Roman"/>
          <w:b/>
          <w:sz w:val="20"/>
        </w:rPr>
      </w:pPr>
      <w:bookmarkStart w:id="30" w:name="toc770053_28"/>
      <w:bookmarkEnd w:id="30"/>
      <w:r>
        <w:rPr>
          <w:rFonts w:ascii="Times New Roman" w:hAnsi="Times New Roman"/>
          <w:b/>
          <w:sz w:val="20"/>
        </w:rPr>
        <w:t xml:space="preserve">Risks Related to AVROBIO’s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Should AVROBIO resume development of its product candidates, AVROBIO expects to rely on third parties to conduct some or all aspects of AVROBIO’s vector production, product manufacturing, protocol development, research and preclinical and clinical testing, and these third parties may not perform satisfactorily.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does not expect to independently conduct AVROBIO’s vector production, product manufacturing, protocol development, research and preclinical and clinical testing. AVROBIO has historically relied, and, should AVROBIO resume development of its product candidates, expects to continue to rely, on third parties with respect to these items. Any of these third parties may terminate their engagements with AVROBIO or renegotiate the terms of AVROBIO’s agreements at any time. If AVROBIO needs to enter into alternative arrangements, it could delay AVROBIO’s product development activities. AVROBIO’s reliance on these third parties for research and development activities will reduce AVROBIO’s control over these activities but will not relieve AVROBIO of AVROBIO’s responsibility to ensure compliance with all required regulations and study protocols. For example, for product candidates that AVROBIO develops and commercializes on AVROBIO’s own, AVROBIO will remain responsible for ensuring that each of AVROBIO’s preclinical and clinical studies are conducted in accordance with the study plan, protocols and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Even with relevant experience and expertise, AVROBIO’s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AVROBIO cannot make any assurances that these difficulties will not occur in the future, or that AVROBIO will be able to resolve or address them in a timely manner or at all as problems arise.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if AVROBIO’s contract counterparties do not successfully carry out their contractual duties, meet expected deadlines or conduct AVROBIO’s studies in accordance with regulatory requirements or AVROBIO’s stated study plans and protocols, AVROBIO will not be able to complete, or may be delayed in completing, the preclinical and clinical studies required to support approval of AVROBIO’s product candidates or the FDA or other regulatory agencies may refuse to accept AVROBIO’s clinical or preclinical data.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reliance on third-party manufacturers entails risks to which AVROBIO would not be subject if AVROBIO manufactured the product candidates itself, including: </w:t>
      </w:r>
    </w:p>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negotiate manufacturing agreements with third parties under commercially reasonable terms;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control as a result of using third-party manufacturers for all aspects of manufacturing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nonrenewal of manufacturing agreements with third parties in a manner or at a time that is costly or damaging to AVROBIO;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the operations of AVROBIO’s third-party manufacturers or suppliers caused by conditions unrelated to AVROBIO’s business or operations, including the impact of the COVID-19 pandemic or the bankruptcy of the manufacturer or supplier.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lead to delays of AVROBIO’s preclinical and clinical studies or failure to obtain regulatory approval, or impact AVROBIO’s ability to successfully commercialize future products. Some of these events could be the basis for FDA action, including injunction, recall, seizure or total or partial suspension of production.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has historically relied, and, should AVROBIO resume development of its product candidates, expects to continue to rely, on sole source suppliers for AVROBIO’s automated, closed cell processing system; vector supply; plasmid supply; cell culture media supply; and drug product manufacturing. In addition, AVROBIO is dependent on a limited number of suppliers for some of AVROBIO’s other components and materials used in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has moved AVROBIO’s cell processing to an automated, closed system with a sole source supplier. In addition, AVROBIO has historically relied, and, should AVROBIO resume development of its product candidates, expect to continue to rely, on sole source suppliers for vector supply, plasmid supply and cell culture media, as well as drug product manufacturing for AVROBIO-sponsored clinical trials. Should AVROBIO resume development of its product candidates, AVROBIO’s sole source suppliers may be unwilling or unable to supply product to AVROBIO reliably, continuously or at the levels AVROBIO anticipates or are required by AVROBIO’s clinical trial activities. Such suppliers could still delay, suspend, or terminate supply of product to AVROBIO for a number of reasons, including manufacturing or quality issues, payment disputes with AVROBIO, intellectual property disputes with third parties, bankruptcy or insolvency, earthquakes or other natural disasters or other occurrences.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AVROBIO depends on a limited number of suppliers for some of the other components necessary for AVROBIO’s product candidates. Should AVROBIO resume development of its product candidates, AVROBIO cannot be sure that any of AVROBIO’s suppliers will remain in business, or that they will not be purchased by one of AVROBIO’s competitors or another company that is not interested in continuing to produce these materials for AVROBIO’s intended purpose. AVROBIO’s use of a sole source or limited number of suppliers of raw materials, components and finished goods exposes AVROBIO to several risks, including disruptions in supply, price increases, late deliveries and an inability to meet customer demand. There are, in general, relatively few alternative sources of supply for these components and equipment. Any of AVROBIO’s vendors may be unable or unwilling to meet AVROBIO’s future demands for AVROBIO’s clinical trials or commercial sale. Establishing additional or replacement suppliers for these components and materials could take a substantial amount of time and it may be difficult or impossible to establish replacement suppliers who meet regulatory requirements. Any disruption in supply from any supplier or manufacturing location could lead to supply delays or interruptions which would damage AVROBIO’s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AVROBIO is required to switch to a replacement supplier or manufacture materials itself, the manufacture and delivery of AVROBIO’s product candidates could be interrupted for an extended period, adversely affecting AVROBIO’s business. Establishing additional or replacement suppliers may not be accomplished quickly, and AVROBIO may not be able to enter agreements with replacement suppliers on reasonable terms, if at all. In either scenario, AVROBIO’s clinical trials supply could be delayed significantly as AVROBIO establishes alternative supply sources. In some cases, the technical skills required to manufacture AVROBIO’s products or product candidates may be unique or proprietary to the original CMO and AVROBIO may have difficulty, or there may be contractual restrictions prohibiting AVROBIO from, transferring such skills to a back-up or alternate supplier, or AVROBIO may be unable to transfer such skills at all. If AVROBIO is able to find a replacement supplier, the replacement supplier would need to be qualified and may require additional regulatory authority approval, which could result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delay. For example, the FDA could require additional supplemental bridging data if AVROBIO relies upon a new supplier. AVROBIO may be unsuccessful in demonstrating the comparability of clinical supplies which could require the conduct of additional clinical trials. If AVROBIO resumes development of its product candidates, AVROBIO would seek to maintain adequate inventory of the components and materials used in AVROBIO’s product candidates; however, any interruption or delay in the supply of components or materials, or AVROBIO’s inability to obtain components or materials from alternate sources at acceptable prices in a timely manner, could impair AVROBIO’s ability to conduct AVROBIO’s clinical trials and, if AVROBIO’s product candidates are approved, to meet the demand of AVROBIO’s customers and cause them to cancel orders.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part of the FDA’s approval of AVROBIO’s product candidates, the FDA must review and approve the individual components of AVROBIO’s production process, which includes the manufacturing processes and facilities of AVROBIO’s suppliers. AVROBIO’s current suppliers have not undergone this process, nor have they had any components included in any product approved by the FDA. </w:t>
      </w:r>
    </w:p>
    <w:p>
      <w:pPr>
        <w:pStyle w:val="TextBody"/>
        <w:bidi w:val="0"/>
        <w:spacing w:before="240" w:after="0"/>
        <w:jc w:val="left"/>
        <w:rPr>
          <w:rFonts w:ascii="Times New Roman" w:hAnsi="Times New Roman"/>
          <w:sz w:val="20"/>
        </w:rPr>
      </w:pPr>
      <w:r>
        <w:rPr>
          <w:rFonts w:ascii="Times New Roman" w:hAnsi="Times New Roman"/>
          <w:sz w:val="20"/>
        </w:rPr>
        <w:t xml:space="preserve">AVROBIO’s reliance on suppliers subjects AVROBIO to a number of risks that, should AVROBIO resume development of its product candidates, could materially harm AVROBIO’s reputation, business, and financial condition, including,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production, supply, shipment or delivery as a result of the COVID-19 pandemic or trade sanctions, embargoes, and heightened export requirements resulting from the war in Ukraine and the evolving conflicts in Israel and the Gaza Strip;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interruption of supply resulting from modifications to or discontinuation of a supplier’s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 shipments resulting from uncorrected defects, reliability issues, or a supplier’s variation in a component;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lack of long-term supply arrangements for key components with AVROBIO’s suppliers;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obtain adequate supply in a timely manner, or to obtain adequate supply on commercially reasonable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difficulty and cost associated with locating and qualifying alternative suppliers for AVROBIO’s components in a timely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production delays related to the evaluation and testing of products from alternative suppliers, and corresponding regulatory qualifications;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delay in delivery due to AVROBIO’s suppliers prioritizing other customer orders over AVROBIO’s;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damage to AVROBIO’s reputation caused by defective components produced by AVROBIO’s suppliers;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cost of AVROBIO’s warranty program due to product repair or replacement based upon defects in components produced by AVROBIO’s suppliers; and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 in delivery by AVROBIO’s suppliers due to changes in demand from AVROBIO or their other customers.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risks materialize, AVROBIO’s costs could significantly increase and AVROBIO’s ability to conduct AVROBIO’s clinical trials and, if AVROBIO’s product candidates are approved, to meet demand for AVROBIO’s products could be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and AVROBIO’s contract manufacturers are subject to significant regulation with respect to manufacturing AVROBIO’s products. The manufacturing facilities on which AVROBIO has relied may not continue to meet regulatory requirements and have limited capacity. </w:t>
      </w:r>
    </w:p>
    <w:p>
      <w:pPr>
        <w:pStyle w:val="TextBody"/>
        <w:bidi w:val="0"/>
        <w:spacing w:before="120" w:after="0"/>
        <w:jc w:val="left"/>
        <w:rPr>
          <w:rFonts w:ascii="Times New Roman" w:hAnsi="Times New Roman"/>
          <w:sz w:val="20"/>
        </w:rPr>
      </w:pPr>
      <w:r>
        <w:rPr>
          <w:rFonts w:ascii="Times New Roman" w:hAnsi="Times New Roman"/>
          <w:sz w:val="20"/>
        </w:rPr>
        <w:t xml:space="preserve">In AVROBIO’s development activities to date, AVROBIO has relied on sole source suppliers of AVROBIO’s automated, closed cell processing system; vector supply; plasmid supply; cell culture media;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well as drug product manufacturing for AVROBIO-sponsored clinical trials. In addition, AVROBIO has depended on a limited number of suppliers for some of the other components necessary for AVROBIO’s product candidates. Each of AVROBIO’s suppliers may require licenses to manufacture such components if such processes are not owned by the supplier or in the public domain, and AVROBIO may be unable to transfer or sublicense the intellectual property rights AVROBIO may have with respect to such activities. </w:t>
      </w:r>
    </w:p>
    <w:p>
      <w:pPr>
        <w:pStyle w:val="TextBody"/>
        <w:bidi w:val="0"/>
        <w:spacing w:before="240" w:after="0"/>
        <w:jc w:val="left"/>
        <w:rPr>
          <w:rFonts w:ascii="Times New Roman" w:hAnsi="Times New Roman"/>
          <w:sz w:val="20"/>
        </w:rPr>
      </w:pPr>
      <w:r>
        <w:rPr>
          <w:rFonts w:ascii="Times New Roman" w:hAnsi="Times New Roman"/>
          <w:sz w:val="20"/>
        </w:rPr>
        <w:t xml:space="preserve">All entities involved in the preparation of therapeutics for clinical studies or commercial sale, including AVROBIO’s contract manufacturers for AVROBIO’s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AVROBIO’s product candidates that may not be detectable in final product testing. AVROBIO or AVROBIO’s contract manufacturers must supply all necessary documentation in support of a BLA on a timely basis and must adhere to the FDA’s good laboratory practices (“GLP”) and cGMP regulations enforced by the FDA through its facilities inspection program. Some of AVROBIO’s contract manufacturers have not produced a commercially-approved product and have never been inspected by the FDA before. AVROBIO’s facilities and quality systems and the facilities and quality systems of some or all of AVROBIO’s third-party contractors must pass a pre-approval inspection for compliance with the applicable regulations as a condition of regulatory approval of AVROBIO’s product candidates or any of AVROBIO’s other potential products. In addition, the regulatory authorities may, at any time, audit or inspect a manufacturing facility involved with the preparation of AVROBIO’s product candidates or AVROBIO’s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or similar public health crisis, the FDA may issue a complete response letter or defer action on AVROBIO’s applications, and approval of the products may be delayed or may not be granted.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authorities also may, at any time following approval of a product for sale, audit AVROBIO’s manufacturing facilities or those of AVROBIO’s third-party contractors. If any such inspection or audit identifies a failure to comply with applicable regulations or if a violation of AVROBIO’s product specifications or applicable regulations occurs independent of such an inspection or audit, AVROBIO or the relevant regulatory authority may require remedial measures that may be costly and/or time-consuming for AVROBIO or a third party to implement and that may include the temporary or permanent suspension of a clinical study or commercial sales or the temporary or permanent closure of a facility. Any such remedial measures imposed upon AVROBIO or third parties with whom AVROBIO contracts could materially harm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If AVROBIO or any of AVROBIO’s third-party manufacturers fail to maintain regulatory compliance, the FDA can impose regulatory sanctions including, among other things, refusal to approve a pending application for a new drug product or biologic product, or revocation of a pre-existing approval. As a result, AVROBIO’s business, financial condition and results of operations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these factors could cause the delay of clinical studies, regulatory submissions, required approvals or commercialization of AVROBIO’s product candidates, cause AVROBIO to incur higher costs and prevent AVROBIO from commercializing AVROBIO’s products successfully. Furthermore, if AVROBIO’s suppliers fail to meet contractual requirements, and AVROBIO is unable to secure one or more replacement suppliers capable of production at a substantially equivalent cost, AVROBIO’s preclinical and clinical studies may be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AVROBIO’s reliance on third parties requires AVROBIO to share AVROBIO’s trade secrets, which increases the possibility that a competitor will discover them or that AVROBIO’s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AVROBIO has relied and, should AVROBIO resume development of its product candidates, would expect to continue to rely on third parties to manufacture AVROBIO’s vectors and AVROBIO’s product candidates, and because AVROBIO collaborates with various organizations and academic institutions on the advancement of AVROBIO’s gene therapy approach, AVROBIO must, at times, share trade secrets with them. AVROBIO seeks to protect AVROBIO’s proprietary technology in part by entering into confidentiality agreements and, if applicable, material transfer agreements, collaborative research agreements, consulting agreements or other similar agreements with AVROBIO’s collaborators, advisors, employees and consultants prior to beginning research or disclosing proprietary information. These agreements typically limit the rights of the third parties to use or disclose AVROBIO’s confidential information, such as trade secrets. </w:t>
      </w:r>
    </w:p>
    <w:p>
      <w:pPr>
        <w:pStyle w:val="TextBody"/>
        <w:bidi w:val="0"/>
        <w:spacing w:before="240" w:after="0"/>
        <w:jc w:val="left"/>
        <w:rPr>
          <w:rFonts w:ascii="Times New Roman" w:hAnsi="Times New Roman"/>
          <w:sz w:val="20"/>
        </w:rPr>
      </w:pPr>
      <w:r>
        <w:rPr>
          <w:rFonts w:ascii="Times New Roman" w:hAnsi="Times New Roman"/>
          <w:sz w:val="20"/>
        </w:rPr>
        <w:t xml:space="preserve">Despite the contractual provisions employed when working with third parties, the need to share trade secrets and other confidential information increases the risk that such trade secrets become known by AVROBIO’s competitors, are inadvertently incorporated into the technology of others, or are disclosed or used in violation of these agreements. Given that AVROBIO’s proprietary position is based, in part, on AVROBIO’s know-how and trade secrets, a competitor’s discovery of AVROBIO’s trade secrets or other unauthorized use or disclosure would impair AVROBIO’s competitive position and may have a material adverse effect on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these agreements typically restrict the ability of AVROBIO’s collaborators, advisors, employees and consultants to publish data potentially relating to AVROBIO’s trade secrets. AVROBIO’s academic collaborators typically have rights to publish data, provided that AVROBIO is notified in advance and may delay publication for a specified time in order to secure AVROBIO’s intellectual property rights arising from the collaboration. In other cases, publication rights are controlled exclusively by AVROBIO, although in some cases AVROBIO may share these rights with other parties. Despite AVROBIO’s efforts to protect AVROBIO’s trade secrets, AVROBIO’s competitors may discover AVROBIO’s trade secrets, either through breach of these agreements, independent development or publication of information including AVROBIO’s trade secrets in cases where AVROBIO does not have proprietary or otherwise protected rights at the time of publication. A competitor’s discovery of AVROBIO’s trade secrets would impair AVROBIO’s competitive position and have an adverse impact on AVROBIO’s business. </w:t>
      </w:r>
    </w:p>
    <w:p>
      <w:pPr>
        <w:pStyle w:val="TextBody"/>
        <w:bidi w:val="0"/>
        <w:spacing w:before="360" w:after="0"/>
        <w:jc w:val="left"/>
        <w:rPr>
          <w:rFonts w:ascii="Times New Roman" w:hAnsi="Times New Roman"/>
          <w:b/>
          <w:sz w:val="20"/>
        </w:rPr>
      </w:pPr>
      <w:bookmarkStart w:id="31" w:name="toc770053_29"/>
      <w:bookmarkEnd w:id="31"/>
      <w:r>
        <w:rPr>
          <w:rFonts w:ascii="Times New Roman" w:hAnsi="Times New Roman"/>
          <w:b/>
          <w:sz w:val="20"/>
        </w:rPr>
        <w:t xml:space="preserve">Risks Related to Commercialization of AVROBIO’s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Should AVROBIO resume development of its product candidates and obtain approval of any of AVROBIO’s product candidates, and AVROBIO is unable to establish sales, distribution and marketing capabilities or enter into agreements with third parties to market and sell AVROBIO’s product candidates, AVROBIO will be unable to generate any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To successfully commercialize any of AVROBIO’s product candidates, if approved, AVROBIO will need to develop AVROBIO’s commercial capabilities, either on AVROBIO’s own or with others, should AVROBIO resume development of its product candidates. The establishment and development of AVROBIO’s own commercial team or the establishment of a contract sales force to market any product candidate AVROBIO may develop will be expensive and time-consuming and could delay any product launch. Moreover, AVROBIO cannot be certain that AVROBIO will be able to successfully develop this capability. AVROBIO may enter into collaborations regarding any approved product candidates with other entities to utilize their established marketing and distribution capabilities, but AVROBIO may be unable to enter into such agreements on favorable terms, if at all. If any future collaborators do not commit sufficient resources to commercialize AVROBIO’s product candidates, or AVROBIO is unable to develop the necessary capabilities on AVROBIO’s own, AVROBIO will be unable to generate sufficient product revenue to sustain AVROBIO’s business. AVROBIO competes with many companies that currently have extensive, experienced and well-funded sales,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marketing operations to recruit, hire, train and retain marketing and sales personnel. AVROBIO also faces competition in AVROBIO’s search for third parties to assist AVROBIO with the sales and marketing efforts of AVROBIO’s product candidates, if approved. Without an internal team or the support of a third-party to perform marketing and sales functions, AVROBIO may be unable to compete successfully against these more established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and the market opportunities for AVROBIO’s product candidates are smaller than AVROBIO believes they are, AVROBIO’s product revenues may be adversely affected and AVROBIO’s business may suffer. </w:t>
      </w:r>
    </w:p>
    <w:p>
      <w:pPr>
        <w:pStyle w:val="TextBody"/>
        <w:bidi w:val="0"/>
        <w:spacing w:before="120" w:after="0"/>
        <w:jc w:val="left"/>
        <w:rPr>
          <w:rFonts w:ascii="Times New Roman" w:hAnsi="Times New Roman"/>
          <w:sz w:val="20"/>
        </w:rPr>
      </w:pPr>
      <w:r>
        <w:rPr>
          <w:rFonts w:ascii="Times New Roman" w:hAnsi="Times New Roman"/>
          <w:sz w:val="20"/>
        </w:rPr>
        <w:t xml:space="preserve">AVROBIO has historically focused AVROBIO’s research and product development on treatments for serious lysosomal disorders. AVROBIO’s understanding of both the number of people who have these diseases, as well as the subset of people with these diseases who have the potential to benefit from treatment with AVROBIO’s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AVROBIO’s products, patients may become increasingly difficult to identify and access, and any approval AVROBIO receives from regulatory agencies may be for a narrower indication and smaller patient population than anticipated, all of which, should AVROBIO resume development of its product candidates, would adversely affect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the commercial success of any current or future product candidate will depend upon the degree of market acceptance by physicians, patients, third-party payors and others in the medical community.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and thereafter if AVROBIO obtains any regulatory approval for AVROBIO’s product candidates, the commercial success of AVROBIO’s product candidates will depend in part on the medical community, patients, and third-party payors accepting gene therapy products in general, and AVROBIO’s product candidates in particular, as effective, safe and cost-effective. Any product that AVROBIO brings to the market may not gain market acceptance by physicians, patients, third-party payors and others in the medical community. The degree of market acceptance of these product candidates, if approved for commercial sale, will depend on a number of factors, including: </w:t>
      </w:r>
    </w:p>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efficacy and potential advantages over alternative treatments, including any similar generic treatments;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as demonstrated in pivotal clinical trials and published in peer-reviewed journals;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adverse events or side effects, including any limitations or warnings contained in a product’s approved labeling or that are later found to be associated with a product, including in findings from long-term follow-up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resulting from the conditioning regimen for the administration of AVROBIO’s product candidates;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offer the products for sale at competitive prices;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products are approved by the FDA or comparable regulatory agencies;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dosing and administration compared to alternative treatments;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marketing and distribution support and timing of market introduction of competitive products;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75"/>
        <w:gridCol w:w="110"/>
        <w:gridCol w:w="60"/>
        <w:gridCol w:w="3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how the product is distributed;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accessible and skilled healthcare centers capable of administering AVROBIO’s treatments;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publicity concerning AVROBIO’s products or competing products and treatments; and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favorable third-party insurance coverage and sufficient reimbursement.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AVROBIO cannot predict whether physicians, physicians’ organizations, hospitals, other healthcare providers, government agencies or private insurers will determine that AVROBIO’s product is safe, therapeutically effective and cost effective as compared with competing treatments. </w:t>
      </w:r>
    </w:p>
    <w:p>
      <w:pPr>
        <w:pStyle w:val="TextBody"/>
        <w:bidi w:val="0"/>
        <w:spacing w:before="240" w:after="0"/>
        <w:jc w:val="left"/>
        <w:rPr>
          <w:rFonts w:ascii="Times New Roman" w:hAnsi="Times New Roman"/>
          <w:sz w:val="20"/>
        </w:rPr>
      </w:pPr>
      <w:r>
        <w:rPr>
          <w:rFonts w:ascii="Times New Roman" w:hAnsi="Times New Roman"/>
          <w:sz w:val="20"/>
        </w:rPr>
        <w:t xml:space="preserve">Even if a product candidate displays a favorable efficacy and safety profile in preclinical and clinical studies, market acceptance of the product, if approved for commercial sale, will not be known until after it is launched. AVROBIO’s efforts to educate the medical community and third-party payors on the benefits of AVROBIO’s product candidates may require significant resources and may never be successful. Such efforts to educate the marketplace may require more resources than are required by the conventional technologies marketed by AVROBIO’s competitors. If these products do not achieve an adequate level of acceptance, AVROBIO may not generate significant product revenue and may not become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if AVROBIO obtains approval to commercialize AVROBIO’s product candidates outside of the United States, a variety of risks associated with international operations could materially adversely affect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had been conducting clinical trials for AVROBIO’s product candidates in the United States, Canada and Australia, and should AVROBIO resume development of its product candidates, AVROBIO would expect to expand AVROBIO’s clinical trials to other geographies. If any of AVROBIO’s product candidates are approved for commercialization, AVROBIO may enter into agreements with third parties to market them on a worldwide basis or in more limited geographical regions. AVROBIO expects that AVROBIO will be subject to additional risks related to entering into international business relationships, including: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different regulatory requirements for approval of drugs and biologics in foreign countries;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for intellectual property rights;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tariffs, trade barriers and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fluctuating interest rates, or political instability in particular foreign economies and markets;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fluctuations, which could result in increased operating expenses and reduced revenues, and other obligations incident to doing business in another country;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more common than in the United States;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or natural disasters including earthquakes, typhoons, floods and fires.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insurance coverage and reimbursement status of newly-approved products are uncertain. Should AVROBIO resume development of its product candidates, failure to obtain or maintain adequate coverage and reimbursement for any of AVROBIO’s product candidates, if approved, could limit AVROBIO’s ability to market those products and decrease AVROBIO’s ability to generate revenue. </w:t>
      </w:r>
    </w:p>
    <w:p>
      <w:pPr>
        <w:pStyle w:val="TextBody"/>
        <w:bidi w:val="0"/>
        <w:spacing w:before="120" w:after="0"/>
        <w:jc w:val="left"/>
        <w:rPr>
          <w:rFonts w:ascii="Times New Roman" w:hAnsi="Times New Roman"/>
          <w:sz w:val="20"/>
        </w:rPr>
      </w:pPr>
      <w:r>
        <w:rPr>
          <w:rFonts w:ascii="Times New Roman" w:hAnsi="Times New Roman"/>
          <w:sz w:val="20"/>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AVROBIO might obtain marketing approval for a product in a particular country, but then be subject to price regulations that delay AVROBIO’s or their commercial launch of the product, possibly for lengthy time periods, and negatively impact the revenue AVROBIO is able to generate from the sale of the product in that country. Adverse pricing limitations may hinder AVROBIO’s ability to recoup AVROBIO’s investment in one or more product candidates, even if any product candidates AVROBIO may develop obtain marketing approval. Please see the section titled “</w:t>
      </w:r>
      <w:r>
        <w:rPr>
          <w:rFonts w:ascii="Times New Roman" w:hAnsi="Times New Roman"/>
          <w:i/>
          <w:sz w:val="20"/>
        </w:rPr>
        <w:t>AVROBIO’s Business – Government Regulation – Coverage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obtain regulatory approval for such candidates, AVROBIO’s ability to successfully commercialize AVROBIO’s product candidates or any other products that AVROBIO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AVROBIO’s product candidates will depend substantially, both domestically and abroad, on the extent to which the costs of AVROBIO’s product candidates will be paid by health maintenance, managed care, pharmacy benefit and similar healthcare management organizations, or reimbursed by government health administration authorities, private health coverage insurers and other third-party payors. AVROBIO may not be able to provide data sufficient to gain acceptance with respect to coverage and reimbursement. If reimbursement is not available, or is available only at limited levels, AVROBIO may not be able to successfully commercialize AVROBIO’s product candidates, if approved. Even if coverage is provided, the approved reimbursement amount may not be high enough to allow AVROBIO to establish or maintain pricing sufficient to realize a sufficient return on AVROBIO’s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related to the insurance coverage and reimbursement of newly approved products. In the United States, the principal decisions about reimbursement for new medicines are typically made by Centers for Medicare &amp; Medicaid Services (“CMS”) an agency within the U.S. Department of Health and Human Services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AVROBIO’s,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other third-party payors have attempted to control costs by limiting coverage and the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reimbursement for particular medications. Outside the United States, international operations are generally subject to extensive governmental price controls and other market regulations, and AVROBIO believes the increasing emphasis on cost-containment initiatives in Europe and certain other major markets where AVROBIO plans to commercialize may put pressure on the pricing and usage of AVROBIO’s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AVROBIO may be required to conduct a clinical trial that compares the cost effectiveness of AVROBIO’s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AVROBIO is able to charge for AVROBIO’s product candidates. Accordingly, in markets outside the United States, the reimbursement for AVROBIO’s products may be reduced compared with the United States and may be insufficient to generate commercially reasonable revenues and profits. </w:t>
      </w:r>
    </w:p>
    <w:p>
      <w:pPr>
        <w:pStyle w:val="TextBody"/>
        <w:bidi w:val="0"/>
        <w:spacing w:before="240" w:after="0"/>
        <w:jc w:val="left"/>
        <w:rPr>
          <w:rFonts w:ascii="Times New Roman" w:hAnsi="Times New Roman"/>
          <w:sz w:val="20"/>
        </w:rPr>
      </w:pPr>
      <w:r>
        <w:rPr>
          <w:rFonts w:ascii="Times New Roman" w:hAnsi="Times New Roman"/>
          <w:sz w:val="20"/>
        </w:rPr>
        <w:t xml:space="preserve">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AVROBIO’s product candidates. Should AVROBIO resume development of its product candidates, AVROBIO expects to experience pricing pressures in connection with the sale of any of AVROBIO’s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the novel nature of AVROBIO’s technology and the potential for AVROBIO’s product candidates to offer therapeutic benefit in a single administration, AVROBIO faces uncertainty related to pricing and reimbursement for these product candidates should AVROBIO resume their development.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AVROBIO’s target patient populations are relatively small, as a result of which the pricing and reimbursement of AVROBIO’s product candidates, if approved, must be adequate to support commercial infrastructure. If AVROBIO is unable to obtain adequate levels of reimbursement, AVROBIO’s ability to successfully market and sell AVROBIO’s product candidates will be adversely affected. The manner and level at which reimbursement is provided for services related to AVROBIO’s product candidates (e.g., for administration of AVROBIO’s product to patients) is also important. Inadequate reimbursement for such services may lead to physician resistance and adversely affect AVROBIO’s ability to market or sell AVROBIO’s product candidates, if approved. Moreover, if approved for marketing, because AVROBIO’s product candidates are designed to provide their intended therapeutic benefit from a single administration, treatment with AVROBIO’s product candidates may result in a decrease in the available pool of target patients.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legislative reform measures and constraints on national budget social security systems may have a material adverse effect on AVROBIO’s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The United States and many foreign jurisdictions have enacted or proposed legislative and regulatory changes affecting the healthcare system that could prevent or delay marketing approval of AVROBIO’s product candidates or any future product candidates, restrict or regulate post-approval activities and affect AVROBIO’s ability to profitably sell any product for which AVROBIO obtains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Please see the section titled “</w:t>
      </w:r>
      <w:r>
        <w:rPr>
          <w:rFonts w:ascii="Times New Roman" w:hAnsi="Times New Roman"/>
          <w:i/>
          <w:sz w:val="20"/>
        </w:rPr>
        <w:t>Business – Government Regulation – Healthcare Reform.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the continuing efforts of the government, insurance companies, managed care organizations and other payers of healthcare services to contain or reduce costs of healthcare may adversely affect: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any of AVROBIO’s product candidates, if approved;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75"/>
        <w:gridCol w:w="110"/>
        <w:gridCol w:w="6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set a price that AVROBIO believes is fair for any of AVROBIO’s product candidates, if approved;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ability to generate revenues and achieve or maintain profitability; </w:t>
            </w:r>
          </w:p>
        </w:tc>
      </w:tr>
    </w:tbl>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110"/>
        <w:gridCol w:w="60"/>
        <w:gridCol w:w="4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AVROBIO is required to pay; and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10"/>
        <w:gridCol w:w="60"/>
        <w:gridCol w:w="2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Legislative and regulatory proposals have been made to expand post-approval requirements and restrict sales and promotional activities for pharmaceutical and biologic products. AVROBIO cannot be sure whether additional legislative changes will be enacted, or whether existing regulations, guidance or interpretations will be changed, or what the impact of such changes on the marketing approvals of AVROBIO’s product candidates, if any, may be. In addition, increased scrutiny by Congress of the FDA’s approval process may significantly delay or prevent marketing approval, as well as subject AVROBIO to more stringent product labeling and post-marketing testing and other requirements. </w:t>
      </w:r>
    </w:p>
    <w:p>
      <w:pPr>
        <w:pStyle w:val="TextBody"/>
        <w:bidi w:val="0"/>
        <w:spacing w:before="240" w:after="0"/>
        <w:jc w:val="left"/>
        <w:rPr>
          <w:rFonts w:ascii="Times New Roman" w:hAnsi="Times New Roman"/>
          <w:sz w:val="20"/>
        </w:rPr>
      </w:pPr>
      <w:r>
        <w:rPr>
          <w:rFonts w:ascii="Times New Roman" w:hAnsi="Times New Roman"/>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AVROBIO’s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It is expected that the healthcare reform measures that have been adopted and may be adopted in the future, may result in more rigorous coverage criteria and in additional downward pressure on the price that AVROBIO receives for any approved product and could seriously harm AVROBIO’s future revenues. Any reduction in reimbursement from Medicare or other government programs may result in a similar reduction in payments from private payors. Should AVROBIO resume development of its product candidates, the implementation of cost containment measures or other healthcare reforms may prevent AVROBIO from being able to generate revenue, attain profitability or commercialize AVROBIO’s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AVROBIO’s business may rely, which could negatively impact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AVROBIO’s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may also slow the time necessary for new drugs to be reviewed and/or approved by necessary government agencies, which would adversely affect AVROBIO’s business.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or any other public health crisis and may experience delays in their regulatory activities. If a prolonged government shutdown occurs, it could significantly impact the ability of the FDA to timely review and process AVROBIO’s regulatory submissions, should AVROBIO resume development of its product candidates, which could have a material adverse effect on AVROBIO’s business. Further, future shutdowns of other government agencies, such as the SEC, may also impact AVROBIO’s business through review of AVROBIO’s public filings and AVROBIO’s ability to access the public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any contamination in AVROBIO’s manufacturing process, shortages of materials or failure of any of AVROBIO’s key suppliers to deliver necessary components could result in interruption in the supply of AVROBIO’s product candidates and delays in AVROBIO’s clinical development or commercialization schedules. </w:t>
      </w:r>
    </w:p>
    <w:p>
      <w:pPr>
        <w:pStyle w:val="TextBody"/>
        <w:bidi w:val="0"/>
        <w:spacing w:before="120" w:after="0"/>
        <w:jc w:val="left"/>
        <w:rPr>
          <w:rFonts w:ascii="Times New Roman" w:hAnsi="Times New Roman"/>
          <w:sz w:val="20"/>
        </w:rPr>
      </w:pPr>
      <w:r>
        <w:rPr>
          <w:rFonts w:ascii="Times New Roman" w:hAnsi="Times New Roman"/>
          <w:sz w:val="20"/>
        </w:rPr>
        <w:t xml:space="preserve">Given the nature of biologics manufacturing, there is a risk of contamination in AVROBIO’s manufacturing processes. Should AVROBIO resume development of AVROBIO’s product candidates, any contamination could materially adversely affect AVROBIO’s ability to produce product candidates on schedule and could, therefore, harm AVROBIO’s results of operations and cause reputational damage. </w:t>
      </w:r>
    </w:p>
    <w:p>
      <w:pPr>
        <w:pStyle w:val="TextBody"/>
        <w:bidi w:val="0"/>
        <w:spacing w:before="240" w:after="0"/>
        <w:jc w:val="left"/>
        <w:rPr>
          <w:rFonts w:ascii="Times New Roman" w:hAnsi="Times New Roman"/>
          <w:sz w:val="20"/>
        </w:rPr>
      </w:pPr>
      <w:r>
        <w:rPr>
          <w:rFonts w:ascii="Times New Roman" w:hAnsi="Times New Roman"/>
          <w:sz w:val="20"/>
        </w:rPr>
        <w:t xml:space="preserve">Some of the materials required in AVROBIO’s manufacturing process are derived from biologic sources. Such materials are difficult to procure and may be subject to contamination or recall. A material shortage, contamination, recall or restriction on the use of biologically derived substances in the manufacture of AVROBIO’s product candidates could adversely impact or disrupt the commercial manufacturing or the production of clinical material, which could materially and adversely affect AVROBIO’s development timelines and AVROBIO’s business, financial condition, results of operations and prospects. </w:t>
      </w:r>
    </w:p>
    <w:p>
      <w:pPr>
        <w:pStyle w:val="TextBody"/>
        <w:bidi w:val="0"/>
        <w:spacing w:before="360" w:after="0"/>
        <w:jc w:val="left"/>
        <w:rPr>
          <w:rFonts w:ascii="Times New Roman" w:hAnsi="Times New Roman"/>
          <w:b/>
          <w:sz w:val="20"/>
        </w:rPr>
      </w:pPr>
      <w:bookmarkStart w:id="32" w:name="toc770053_30"/>
      <w:bookmarkEnd w:id="32"/>
      <w:r>
        <w:rPr>
          <w:rFonts w:ascii="Times New Roman" w:hAnsi="Times New Roman"/>
          <w:b/>
          <w:sz w:val="20"/>
        </w:rPr>
        <w:t xml:space="preserve">Risks Related to AVROBIO’s Business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AVROBIO’s gene therapy approach utilizes lentiviral vectors derived from viruses, which may be perceived as unsafe or may result in unforeseen adverse events. Negative public opinion and increased regulatory scrutiny of gene therapy and genetic research may damage public perception of AVROBIO’s product candidates or adversely affect AVROBIO’s ability to conduct AVROBIO’s business or obtain regulatory approvals for AVROBIO’s product candidates, should AVROBIO resume their development. </w:t>
      </w:r>
    </w:p>
    <w:p>
      <w:pPr>
        <w:pStyle w:val="TextBody"/>
        <w:bidi w:val="0"/>
        <w:spacing w:before="120" w:after="0"/>
        <w:jc w:val="left"/>
        <w:rPr>
          <w:rFonts w:ascii="Times New Roman" w:hAnsi="Times New Roman"/>
          <w:sz w:val="20"/>
        </w:rPr>
      </w:pPr>
      <w:r>
        <w:rPr>
          <w:rFonts w:ascii="Times New Roman" w:hAnsi="Times New Roman"/>
          <w:sz w:val="20"/>
        </w:rPr>
        <w:t xml:space="preserve">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AVROBIO’s success will depend upon physicians specializing in the treatment of those diseases that AVROBIO’s product candidates target prescribing treatments that involve the use of AVROBIO’s product candidates in lieu of, or in addition to, existing treatments they are already familiar with and for which greater clinical data may be available. More restrictive government regulations or negative public opinion would have a negative effect on AVROBIO’s business or financial condition and may delay or impair the development and commercialization of AVROBIO’s product candidates or demand for any products should AVROBIO resume development of its product candidates. For example,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earlier gene therapy trials led to several well-publicized adverse events, including cases of leukemia, myelodysplastic syndromes and deaths seen in other trials using other vectors. Adverse events in AVROBIO’s clinical studies or discovered in long-term follow-up, even if not ultimately attributable to AVROBIO’s product candidates (such as the many adverse events that typically arise from the conditioning process), or adverse events in other gene therapy trials, and the resulting publicity could result in a decline in AVROBIO’s stock price, increased governmental regulation, unfavorable public perception and, should AVROBIO resume development of its product candidates, potential regulatory delays in the testing or approval of AVROBIO’s potential product candidates, stricter labeling requirements for those product candidates that are approved and a decrease in demand for any such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future success depends on AVROBIO’s ability to retain key employees, consultants and advisors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AVROBIO is highly dependent on principal members of AVROBIO’s executive team and key employees, the loss of whose services may adversely impact the achievement of AVROBIO’s objectives. While AVROBIO has entered into employment agreements with each of AVROBIO’s executive officers, any of them could leave AVROBIO’s employment at any time, as all of AVROBIO’s employees are “at will” employees. Following the resignation of AVROBIO’s former President and Chief Executive Officer, Geoff MacKay, on May 1, 2023, AVROBIO appointed its Chief Financial Officer, Erik Ostrowski, to serve in the additional roles of President and Interim Chief Executive Officer, effective on May 1, 2023. In July 2023, in connection with the determination to halt further development of AVROBIO’s programs and to conduct a comprehensive exploration of strategic alternatives, AVROBIO paused AVROBIO’s search for a permanent Chief Executive Officer. Accordingly, no assurance can be made as to when or whether AVROBIO will hire a permanent Chief Executive Officer. AVROBIO does not maintain “key person” insurance policies on the lives of these individuals or the lives of any of AVROBIO’s other employees. The loss of the services of one or more of AVROBIO’s current executive or key employees might impede the achievement of AVROBIO’s ongoing business commitments and strategic objectives. </w:t>
      </w:r>
    </w:p>
    <w:p>
      <w:pPr>
        <w:pStyle w:val="TextBody"/>
        <w:bidi w:val="0"/>
        <w:spacing w:before="240" w:after="0"/>
        <w:jc w:val="left"/>
        <w:rPr>
          <w:rFonts w:ascii="Times New Roman" w:hAnsi="Times New Roman"/>
          <w:sz w:val="20"/>
        </w:rPr>
      </w:pPr>
      <w:r>
        <w:rPr>
          <w:rFonts w:ascii="Times New Roman" w:hAnsi="Times New Roman"/>
          <w:sz w:val="20"/>
        </w:rPr>
        <w:t xml:space="preserve">Retaining other qualified employees, consultants and advisors for AVROBIO’s business, including scientific and technical personnel, remains critical to AVROBIO’s success. AVROBIO implemented a reduction in force in January 2022 in connection with the deprioritization of AVROBIO’s Fabry disease program, and through the first half of 2022 AVROBIO continued to streamline employee headcount including senior management. In July 2023, in connection with the determination to halt further development of AVROBIO’s programs and to conduct a comprehensive exploration of strategic alternatives, AVROBIO implemented a reduction in force by approximately 50% across different areas. AVROBIO’s remaining workforce was further reduced by 11 employees in a workforce reduction implemented effective as of October 31, 2023, three employees in a workforce reduction implemented effective as of November 30, 2023, and five employees in a further workforce reduction implemented effective as of December 31, 2023. Reductions in force, management changes and program reprioritizations can have an adverse impact on employee morale. While AVROBIO believes AVROBIO’s relations with AVROBIO’s continuing employees to be good, there can be no assurance that AVROBIO can avoid retention challenges for skilled personnel as AVROBIO explores potential strategic alternatives. There is currently a shortage of skilled executives and other personnel in AVROBIO’s industry, which is likely to continue. As a result, competition for skilled personnel, including in gene therapy research and vector manufacturing, is intense and the turnover rate can be high. AVROBIO may not be able to retain personnel on acceptable terms given the competition among numerous pharmaceutical and biotechnology companies for individuals with similar skill sets. In addition, AVROBIO’s ability to retain qualified personnel could be impacted by other factors, such as remote or hybrid working arrangements, which could impact employees’ productivity and morale. In addition, in recent months, the market price of AVROBIO’s common stock has experienced significant downward pressure, resulting in “underwater” or “out-of-the-money” stock options for many of AVROBIO’s employees, thereby limiting the desired retentive effect that AVROBIO’s equity incentive program was intended to achieve. The inability to recruit, if necessary, or the loss of the services of any executive, key employee, skilled personnel, consultant or advisor may impede AVROBIO’s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objectives. Furthermore, AVROBIO may not realize, in full or in part, the anticipated benefits, savings and improvements in AVROBIO’s cost structure from AVROBIO’s workforce reductions and restructuring efforts due to unforeseen difficulties, delays or unexpected costs. If AVROBIO is unable to realize the expected operational efficiencies and cost savings from the restructuring, AVROBIO’s operating results and financial condition would be adversely affected. AVROBIO’s restructuring plan may also be disruptive to AVROBIO’s operations, for example, AVROBIO’s reductions in force could yield unanticipated consequences, such as increased difficulties in implementing AVROBIO’s pursuit of strategic alternatives, including retention of AVROBIO’s remaining employees, attrition beyond AVROBIO’s reductions in force and employee litigation related to the reductions in force could be costly and prevent management from fully concentrating on the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need to expand or streamline AVROBIO’s operations and AVROBIO may experience difficulties in managing any such changes, which could disrupt AVROBIO’s operations.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may need to rapidly expand AVROBIO’s full-time employee base and to hire more consultants and contractors. AVROBIO’s management may need to divert a disproportionate amount of its attention away from AVROBIO’s day-to-day activities and devote a substantial amount of time to managing these growth activities. AVROBIO may not be able to effectively manage the expansion of AVROBIO’s operations, which may result in weaknesses in AVROBIO’s infrastructure, operational mistakes, loss of business opportunities, loss of employees and reduced productivity among remaining employees. AVROBIO’s expected growth could require significant capital expenditures and may divert financial resources from other projects if AVROBIO’s management is unable to effectively manage AVROBIO’s growth, AVROBIO’s expenses may increase more than expected, AVROBIO’s ability to generate and/or grow revenues could be reduced, and AVROBIO may not be able to implement AVROBIO’s business strategy. AVROBIO’s future financial performance and AVROBIO’s ability to commercialize product candidates and compete effectively will depend, in part, on AVROBIO’s ability to effectively manage any future growth. </w:t>
      </w:r>
    </w:p>
    <w:p>
      <w:pPr>
        <w:pStyle w:val="TextBody"/>
        <w:bidi w:val="0"/>
        <w:spacing w:before="240" w:after="0"/>
        <w:jc w:val="left"/>
        <w:rPr>
          <w:rFonts w:ascii="Times New Roman" w:hAnsi="Times New Roman"/>
          <w:sz w:val="20"/>
        </w:rPr>
      </w:pPr>
      <w:r>
        <w:rPr>
          <w:rFonts w:ascii="Times New Roman" w:hAnsi="Times New Roman"/>
          <w:sz w:val="20"/>
        </w:rPr>
        <w:t xml:space="preserve">Conversely, headwinds in the overall economy and limited availability of suitable financing to meet AVROBIO’s needs could constrain AVROBIO’s ability to achieve AVROBIO’s growth objectives, and could in turn lead to further reductions in force or scaling back of business operations, that could impact employee morale and adversely impact AVROBIO’s ability to manage ongoing operations, should AVROBIO resume development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and AVROBIO is unable to manage expected growth in the scale and complexity of AVROBIO’s operations, AVROBIO’s performance may suffer.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will need to expand AVROBIO’s managerial, operational, financial and other systems and resources to manage AVROBIO’s operations, resume AVROBIO’s research and development activities and, in the longer term, build a commercial infrastructure to support commercialization of any of AVROBIO’s product candidates that are approved for sale. Future growth would impose significant added responsibilities on members of management. It is likely that AVROBIO’s management, finance, development personnel, systems and facilities currently in place may not be adequate to support this future growth. AVROBIO’s need to effectively manage AVROBIO’s operations, growth and product candidates requires that AVROBIO continues to develop more robust business processes and improve AVROBIO’s systems and procedures in each of these areas and to attract and retain sufficient numbers of talented employees. AVROBIO may be unable to successfully implement these tasks on a larger scale and, accordingly, may not achieve AVROBIO’s research, development and growth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AVROBIO’s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0"/>
        <w:jc w:val="left"/>
        <w:rPr>
          <w:rFonts w:ascii="Times New Roman" w:hAnsi="Times New Roman"/>
          <w:sz w:val="20"/>
        </w:rPr>
      </w:pPr>
      <w:r>
        <w:rPr>
          <w:rFonts w:ascii="Times New Roman" w:hAnsi="Times New Roman"/>
          <w:sz w:val="20"/>
        </w:rPr>
        <w:t xml:space="preserve">AVROBIO is exposed to the risk of fraud or other misconduct by AVROBIO’s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AVROBIO. In particular, sales, marketing and business conduct in the healthcare industry are subject to extensive laws and regulations intended to prevent fraud, misconduct, kickbacks, self-dealing and other abusive practices. These laws and 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AVROBIO’s reputation. AVROBIO has adopted a code of conduct applicable to all of AVROBIO’s employees, but it is not always possible to identify and deter employee misconduct, and the precautions AVROBIO takes to detect and prevent this activity may not be effective in controlling unknown or unmanaged risks or losses or in protecting AVROBIO from governmental investigations or other actions or lawsuits stemming from a failure to comply with these laws or regulations. If any such actions are instituted against AVROBIO, and AVROBIO is not successful in defending itself or asserting AVROBIO’s rights, those actions could have a significant impact on AVROBIO’s business, including the imposition of significant fines or other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is subject to certain U.S. and foreign anti-corruption, anti-money laundering, export control, sanctions, and other trade laws and regulations. AVROBIO can face serious consequences for violations. </w:t>
      </w:r>
    </w:p>
    <w:p>
      <w:pPr>
        <w:pStyle w:val="TextBody"/>
        <w:bidi w:val="0"/>
        <w:spacing w:before="120" w:after="0"/>
        <w:jc w:val="left"/>
        <w:rPr>
          <w:rFonts w:ascii="Times New Roman" w:hAnsi="Times New Roman"/>
          <w:sz w:val="20"/>
        </w:rPr>
      </w:pPr>
      <w:r>
        <w:rPr>
          <w:rFonts w:ascii="Times New Roman" w:hAnsi="Times New Roman"/>
          <w:sz w:val="20"/>
        </w:rPr>
        <w:t xml:space="preserve">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AVROBIO has direct or indirect interactions with officials and employees of government agencies or government-affiliated hospitals, universities, and other organizations. AVROBIO also expects, should AVROBIO resume development of its product candidates, that AVROBIO’s non-U.S. activities would increase in time. Should AVROBIO resume development of its product candidates, AVROBIO would also expect to engage third parties for clinical trials and/or to obtain necessary permits, licenses, patent registrations, and other regulatory approvals and AVROBIO can be held liable for the corrupt or other illegal activities of AVROBIO’s personnel, agents, or partners, even if AVROBIO does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is subject, directly or indirectly, to federal and state healthcare fraud and abuse laws, false claims laws health information privacy and security laws, and other health care laws and regulations. If AVROBIO is unable to comply, or have not fully complied, with such laws, AVROBIO could face substantial penalties. </w:t>
      </w:r>
    </w:p>
    <w:p>
      <w:pPr>
        <w:pStyle w:val="TextBody"/>
        <w:bidi w:val="0"/>
        <w:spacing w:before="120" w:after="0"/>
        <w:jc w:val="left"/>
        <w:rPr>
          <w:rFonts w:ascii="Times New Roman" w:hAnsi="Times New Roman"/>
          <w:sz w:val="20"/>
        </w:rPr>
      </w:pPr>
      <w:r>
        <w:rPr>
          <w:rFonts w:ascii="Times New Roman" w:hAnsi="Times New Roman"/>
          <w:sz w:val="20"/>
        </w:rPr>
        <w:t xml:space="preserve">AVROBIO is subject, and may be increasingly subject if AVROBIO obtains FDA approval for any of AVROBIO’s product candidates, to various federal and state fraud and abuse laws and regulations,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without limitation, the federal Health Care Program Anti-Kickback Statute, the federal civil and criminal False Claims Act and Physician Payments Sunshine Act and regulations. Please see the section titled “</w:t>
      </w:r>
      <w:r>
        <w:rPr>
          <w:rFonts w:ascii="Times New Roman" w:hAnsi="Times New Roman"/>
          <w:i/>
          <w:sz w:val="20"/>
        </w:rPr>
        <w:t>Business – Government Regulation – Other Healthcare Laws and Compliance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laws will impact, among other things, AVROBIO’s clinical trial programs, healthcare professional interactions, grant making activities, and AVROBIO’s anticipated sales, marketing and medical educational programs. In addition, AVROBIO may be subject to patient privacy laws by both the federal government and the states in which AVROBIO conducts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time-and resource-consuming and can divert a company’s attention from the business. </w:t>
      </w:r>
    </w:p>
    <w:p>
      <w:pPr>
        <w:pStyle w:val="TextBody"/>
        <w:bidi w:val="0"/>
        <w:spacing w:before="240" w:after="0"/>
        <w:jc w:val="left"/>
        <w:rPr>
          <w:rFonts w:ascii="Times New Roman" w:hAnsi="Times New Roman"/>
          <w:sz w:val="20"/>
        </w:rPr>
      </w:pPr>
      <w:r>
        <w:rPr>
          <w:rFonts w:ascii="Times New Roman" w:hAnsi="Times New Roman"/>
          <w:sz w:val="20"/>
        </w:rPr>
        <w:t xml:space="preserve">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AVROBIO’s operations, as well as additional reporting obligations and oversight if AVROBIO becomes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AVROBIO expects to do business is found not to be in compliance with applicable laws, that person or entity may be subject to criminal, civil or administrative sanctions, including exclusions from government funded healthcare programs. Prohibitions or restrictions on personnel, sales or withdrawal of future marketed products could materially affect business in an adverse way. </w:t>
      </w:r>
    </w:p>
    <w:p>
      <w:pPr>
        <w:pStyle w:val="TextBody"/>
        <w:bidi w:val="0"/>
        <w:spacing w:before="240" w:after="0"/>
        <w:jc w:val="left"/>
        <w:rPr>
          <w:rFonts w:ascii="Times New Roman" w:hAnsi="Times New Roman"/>
          <w:sz w:val="20"/>
        </w:rPr>
      </w:pPr>
      <w:r>
        <w:rPr>
          <w:rFonts w:ascii="Times New Roman" w:hAnsi="Times New Roman"/>
          <w:sz w:val="20"/>
        </w:rPr>
        <w:t xml:space="preserve">Efforts to ensure that AVROBIO’s business arrangements will comply with applicable healthcare laws may involve substantial costs. It is possible that governmental and enforcement authorities will conclude that AVROBIO’s business practices may not comply with current or future statutes, regulations or case law interpreting applicable fraud and abuse or other healthcare laws and regulations. If any such actions are instituted against AVROBIO, and AVROBIO is not successful in defending itself or asserting AVROBIO’s rights, those actions could have a significant impact on AVROBIO’s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AVROBIO’s operations, any of which could adversely affect AVROBIO’s ability to operate AVROBIO’s business and AVROBIO’s results of operations. In addition, the approval and commercialization of any of AVROBIO’s candidates outside the United States will also likely subject AVROBIO to foreign equivalents of the healthcare laws mentioned above, among other foreign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health and data protection laws and regulations could lead to government enforcement actions (which could include civil or criminal penalties), private litigation, and/or adverse publicity and could negatively affect AVROBIO’s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health-related and other personal information could apply to AVROBIO’s operations or the operations of AVROBIO’s collaborators. In addition, AVROBIO may obtain health information from third parties (including research institutions from which AVROBIO obtains clinical trial data) that are subject to privacy and security requirements under Health Insurance Portability and Accountability Act of 1996 (“HIPAA”), as amended by Health Information Technology for Economic and Clinical Health Act of 2009 (“HITECH”). Depending on the facts and circumstances, AVROBIO could be subject to civil, criminal, and administrative penalties if AVROBIO knowingly obtain, use, or disclose individually identifiable health information maintained by a HIPAA-covered entity in a manner that is not authorized or permitted by HIPAA.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U.S. and international data protection laws and regulations could require AVROBIO to take on more onerous obligations in AVROBIO’s contracts, restrict AVROBIO’s ability to collect, use and disclose data, or in some cases, impact AVROBIO’s ability to operate in certain jurisdictions. Failure to comply with these laws and regulations could result in government enforcement actions (which could include civil, criminal and administrative penalties), private litigation, and/or adverse publicity and could negatively affect AVROBIO’s operating results and business. Moreover, clinical trial patients, employees and other individuals about whom AVROBIO or AVROBIO’s potential collaborators obtain personal information, as well as the providers who share this information with AVROBIO, may limit AVROBIO’s ability to collect, use and disclose the information. Claims that AVROBIO has violated individuals’ privacy rights, failed to comply with data protection laws, or breached AVROBIO’s contractual obligations, even if AVROBIO is not found liable, could be expensive and time-consuming to defend and could result in adverse publicity that could harm AVROBIO’s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data collection is governed by restrictive regulations governing the use, processing and cross-border transfer of personal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would expect to conduct clinical trials in the European Economic Area (“EEA”), and the UK and as a result would be subject to additional privacy restrictions. The collection, use, disclosure, transfer or other processing of personal health data in the EU and the UK is governed by the provisions of the European Union General Data Protection Regulation (“GDPR”) (references to the GDPR include both the “EU GDPR” and “UK GDPR” unless specified otherwise). The GDPR is wide-ranging in scope and imposes numerous requirements on companies that process personal data, including requirements relating to ensuring a legal basis or condition applies to the processing of personal data, stricter requirements relating to the processing of sensitive data (such as health data), providing information to individuals regarding data processing activities, when necessary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AVROBIO’s obligations with respect to any clinical trials conducted in the EEA or the UK. Its definition of personal data includes coded data, requires changes to informed consent practices and detailed notices for clinical trial subjects and investigators. In addition, the GDPR imposes strict rules on the transfer of personal data out of the EEA or the UK, including to the United States (see below). The GDPR also permits data protection authorities to require destruction of improperly gathered or used personal data and/or impose substantial fines for violations of the GDPR, which can be up to four percent of global revenues or 20 million Euros (£ 17.5 million for the UK),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EEA member states or the UK may make their own further laws and regulations limiting the processing of personal data, including genetic, biometric, or health data. </w:t>
      </w:r>
    </w:p>
    <w:p>
      <w:pPr>
        <w:pStyle w:val="TextBody"/>
        <w:bidi w:val="0"/>
        <w:spacing w:before="240" w:after="0"/>
        <w:jc w:val="left"/>
        <w:rPr>
          <w:rFonts w:ascii="Times New Roman" w:hAnsi="Times New Roman"/>
          <w:sz w:val="20"/>
        </w:rPr>
      </w:pPr>
      <w:r>
        <w:rPr>
          <w:rFonts w:ascii="Times New Roman" w:hAnsi="Times New Roman"/>
          <w:sz w:val="20"/>
        </w:rPr>
        <w:t xml:space="preserve">The GDPR prohibits cross-border data transfers of personal data to countries outside the EEA or the UK that are not considered by the European Commission and UK government as providing “adequate” protection to personal data, or third countries, including the United States in certain circumstances, unless a valid GDPR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 mechanism (for example, the European Commission approved Standard Contractual Clauses (“the SCCs”) and the UK International Data Transfer Agreement/Addendum (“the UK IDTA”)) has been put in place. Where relying on the SCCs/UK IDTA for data transfers, AVROBIO may also be required to carry out transfer impact assessments to assess whether the recipient is subject to local laws which allow public authority access to personal data. Further, the EU and United States have adopted its adequacy decision for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AVROBIO needing to make strategic considerations around where EEA and UK personal data is located and which service providers AVROBIO can utilize for the processing of EEA and UK personal data. </w:t>
      </w:r>
    </w:p>
    <w:p>
      <w:pPr>
        <w:pStyle w:val="TextBody"/>
        <w:bidi w:val="0"/>
        <w:spacing w:before="240" w:after="0"/>
        <w:jc w:val="left"/>
        <w:rPr>
          <w:rFonts w:ascii="Times New Roman" w:hAnsi="Times New Roman"/>
          <w:sz w:val="20"/>
        </w:rPr>
      </w:pPr>
      <w:r>
        <w:rPr>
          <w:rFonts w:ascii="Times New Roman" w:hAnsi="Times New Roman"/>
          <w:sz w:val="20"/>
        </w:rPr>
        <w:t xml:space="preserve">AVROBIO has yet to adopt and implement comprehensive processes, systems and other relevant measures within AVROBIO’s organization, and/or with AVROBIO’s relevant collaborators, service providers, contractors or consultants, which are appropriate to address relevant requirements relating to international transfers of personal data from Europe, and to minimize the potential impacts and risks resulting from those requirements, across AVROBIO’s organization. Failure to implement valid mechanisms for personal data transfers from Europe may result in AVROBIO’s facing increased exposure to regulatory actions, substantial fines and injunctions against processing personal data from Europe. Inability to export personal data may also: restrict AVROBIO’s activities outside Europe; limit AVROBIO’s ability to collaborate with partners as well as other service providers, contractors and other companies outside of Europe; and/or require AVROBIO to increase AVROBIO’s processing capabilities within Europe at significant expense or otherwise cause AVROBIO to change the geographical location or segregation of AVROBIO’s relevant systems and operations – any or all of which could adversely affect AVROBIO’s operations or financial results. Additionally, other countries outside of Europe have enacted or are considering enacting similar cross-border data transfer restrictions and laws requiring local data residency, which could increase the cost and complexity of delivering AVROBIO’s services and operating AVROBIO’s business. The type of challenges AVROBIO faces in Europe will likely also arise in other jurisdictions that adopt laws similar in construction to the GDPR or regulatory frameworks of equivalent complexity. </w:t>
      </w:r>
    </w:p>
    <w:p>
      <w:pPr>
        <w:pStyle w:val="TextBody"/>
        <w:bidi w:val="0"/>
        <w:spacing w:before="240" w:after="0"/>
        <w:jc w:val="left"/>
        <w:rPr>
          <w:rFonts w:ascii="Times New Roman" w:hAnsi="Times New Roman"/>
          <w:sz w:val="20"/>
        </w:rPr>
      </w:pPr>
      <w:r>
        <w:rPr>
          <w:rFonts w:ascii="Times New Roman" w:hAnsi="Times New Roman"/>
          <w:sz w:val="20"/>
        </w:rPr>
        <w:t xml:space="preserve">Although the UK is regarded as a third country under the EU GDPR, the European Commission has issued an adequacy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EU remain free flowing. The UK Government has also now introduced a Data Protection and Digital Information Bill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AVROBIO’s handling of personal data and AVROBIO’s privacy and data security compliance programs and could require AVROBIO to implement different compliance measures for the UK and the EEA. </w:t>
      </w:r>
    </w:p>
    <w:p>
      <w:pPr>
        <w:pStyle w:val="TextBody"/>
        <w:bidi w:val="0"/>
        <w:spacing w:before="240" w:after="0"/>
        <w:jc w:val="left"/>
        <w:rPr>
          <w:rFonts w:ascii="Times New Roman" w:hAnsi="Times New Roman"/>
          <w:sz w:val="20"/>
        </w:rPr>
      </w:pPr>
      <w:r>
        <w:rPr>
          <w:rFonts w:ascii="Times New Roman" w:hAnsi="Times New Roman"/>
          <w:sz w:val="20"/>
        </w:rPr>
        <w:t xml:space="preserve">Given the breadth and depth of its obligations, complying with the GDPR’s requirements is rigorous and time intensive and requires significant resources and assessment of AVROBIO’s technologies, systems and practices, as well as those of any third-party collaborators, service providers, contractors, or consultants that process or transfer personal data collected in the EEA or the UK. Compliance with the GDPR will be a rigorous and time-intensive process that may increase AVROBIO’s cost of doing business and require AVROBIO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change AVROBIO’s business practices, and despite those efforts, there is a risk that AVROBIO may be subject to fines and penalties, litigation, and reputational harm in connection with European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faces potential product liability, and, if successful claims are brought against AVROBIO, AVROBIO may incur substantial liability and costs. If the use of AVROBIO’s product candidates harms patients, or is perceived to harm patients even when such harm is unrelated to AVROBIO’s product candidates, AVROBIO’s regulatory approvals could be revoked or otherwise negatively impacted and AVROBIO could be subject to costly and damaging product liability claims. </w:t>
      </w:r>
    </w:p>
    <w:p>
      <w:pPr>
        <w:pStyle w:val="TextBody"/>
        <w:bidi w:val="0"/>
        <w:spacing w:before="120" w:after="0"/>
        <w:jc w:val="left"/>
        <w:rPr>
          <w:rFonts w:ascii="Times New Roman" w:hAnsi="Times New Roman"/>
          <w:sz w:val="20"/>
        </w:rPr>
      </w:pPr>
      <w:r>
        <w:rPr>
          <w:rFonts w:ascii="Times New Roman" w:hAnsi="Times New Roman"/>
          <w:sz w:val="20"/>
        </w:rPr>
        <w:t xml:space="preserve">The use of AVROBIO’s product candidates including in clinical studies and, should AVROBIO resume the development of its product candidates, the future sale of any products for which AVROBIO may obtain marketing approval, exposes AVROBIO to the risk of product liability claims. Product liability claims might be brought against AVROBIO by consumers, healthcare providers, pharmaceutical companies or others selling or otherwise coming into contact with AVROBIO’s products. There is a risk that AVROBIO’s product candidates may induce adverse events. If AVROBIO cannot successfully defend against product liability claims, AVROBIO could incur substantial liability and costs. In addition, regardless of merit or eventual outcome, product liability claims may result in: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impairment of AVROBIO’s business reputation;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of clinical study participants;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due to related litigation;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distraction of management’s attention from AVROBIO’s primary business;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patients or other claimants;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AVROBIO’s product candidates; and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AVROBIO’s product candidates, if approved for commercial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carries master product liability insurance of $5.0 million per occurrence and $5.0 million in the aggregate in the United States. For studies conducted in certain countries outside the United States, AVROBIO maintains local admitted policies with varying limits. AVROBIO believes AVROBIO’s product liability insurance coverage is sufficient in light of AVROBIO’s current clinical programs; however, AVROBIO may not be able to maintain insurance coverage at a reasonable cost or in sufficient amounts to protect AVROBIO against losses due to liability. If AVROBIO resume development of its product candidates and thereafter obtain marketing approval for product candidates, AVROBIO expects that AVROBIO would expand AVROBIO’s insurance coverage to include the sale of commercial products; however, AVROBIO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AVROBIO could cause AVROBIO’s stock price to decline and, if judgments exceed AVROBIO’s insurance coverage, could adversely affect AVROBIO’s results of operations and business. </w:t>
      </w:r>
    </w:p>
    <w:p>
      <w:pPr>
        <w:pStyle w:val="TextBody"/>
        <w:bidi w:val="0"/>
        <w:spacing w:before="240" w:after="0"/>
        <w:jc w:val="left"/>
        <w:rPr>
          <w:rFonts w:ascii="Times New Roman" w:hAnsi="Times New Roman"/>
          <w:sz w:val="20"/>
        </w:rPr>
      </w:pPr>
      <w:r>
        <w:rPr>
          <w:rFonts w:ascii="Times New Roman" w:hAnsi="Times New Roman"/>
          <w:sz w:val="20"/>
        </w:rPr>
        <w:t xml:space="preserve">Patients with the diseases targeted by certain of AVROBIO’s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AVROBIO’s product candidates. Such events could subject AVROBIO to costly litigation, require AVROBIO to pay substantial amounts of money to injured patients, delay, negatively impact or end AVROBIO’s opportunity to receive or maintain regulatory approval to market AVROBIO’s products, or require AVROBIO to suspend or abandon AVROBIO’s commercialization efforts. Even in a circumstance in which AVROBIO does not believe that an adverse event is related to AVROBIO’s products, the investigation into the circumstance may be time-consuming or inconclusive. These investigations may interrupt AVROBIO’s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sales efforts, delay AVROBIO’s regulatory approval process in other countries, or impact and limit the type of regulatory approvals AVROBIO’s product candidates receive or maintain. As a result of these factors, a product liability claim, even if successfully defended, could have a material adverse effect on AVROBIO’s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fails to comply with environmental, health and safety laws and regulations, AVROBIO could become subject to fines or penalties or incur costs that could have a material adverse effect on the success of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is subject to numerous environmental, health and safety laws and regulations, including those governing laboratory procedures and the handling, use, storage, treatment and disposal of hazardous materials and wastes. AVROBIO’s operations involve the use of hazardous and flammable materials, including chemicals and biological materials. AVROBIO’s operations also produce hazardous waste products. AVROBIO generally contracts with third parties for the disposal of these materials and wastes. AVROBIO cannot eliminate the risk of contamination or injury from these materials. In the event of contamination or injury resulting from AVROBIO’s use of hazardous materials, AVROBIO could be held liable for any resulting damages, and any liability could exceed AVROBIO’s resources. AVROBIO also could incur significant costs associated with civil or criminal fines and penalties. Furthermore, environmental laws and regulations are complex, change frequently and have tended to become more stringent. AVROBIO cannot predict the impact of such changes and cannot be certain of AVROBIO’s future compliance. In addition, AVROBIO may incur substantial costs in order to comply with current or future environmental, health and safety laws and regulations. These current or future laws and regulations may impair AVROBIO’s research, development or production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AVROBIO maintains workers’ compensation insurance to cover AVROBIO for costs and expenses AVROBIO may incur due to injuries to AVROBIO’s employees resulting from the use of hazardous materials or other work-related injuries, this insurance may not provide adequate coverage against potential liabilities. In addition, AVROBIO may incur substantial costs in order to comply with current or future environmental, health and safety laws and regulations. These current or future laws and regulations may impair AVROBIO’s research, development or production efforts. Failure to comply with these laws and regulations also may result in substantial fines, penalties or other sanctions or liabilities, which could materially adversely affect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might not be able to utilize a significant portion of AVROBIO’s net operating loss carryforwards and research and development tax credit carryforwards. </w:t>
      </w:r>
    </w:p>
    <w:p>
      <w:pPr>
        <w:pStyle w:val="TextBody"/>
        <w:bidi w:val="0"/>
        <w:spacing w:before="120" w:after="0"/>
        <w:jc w:val="left"/>
        <w:rPr>
          <w:rFonts w:ascii="Times New Roman" w:hAnsi="Times New Roman"/>
          <w:sz w:val="20"/>
        </w:rPr>
      </w:pPr>
      <w:r>
        <w:rPr>
          <w:rFonts w:ascii="Times New Roman" w:hAnsi="Times New Roman"/>
          <w:sz w:val="20"/>
        </w:rPr>
        <w:t>As of December 31, 2023 and 2022, AVROBIO had federal and state net operating loss carryforwards of $575.9 million and $657.0 million, respectively, and federal research and development tax credit carryforwards of approximately $6.4 million and $6.8 million, respectively. If not utilized, the net operating loss carryforwards and research and development credits will generally expire at various dates through 2041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AVROBIO may have experienced ownership changes in the past. AVROBIO may also experience ownership changes in the future as a result of subsequent shifts in AVROBIO’s stock ownership, some of which may be outside of AVROBIO’s control. In addition, the merger, if consummated, may also constitute an ownership change (within the meaning of Section 382 of the Code) which could eliminate or otherwise substantially limit AVROBIO’s ability to use its pre-change net operating loss carryforwards and other pre-change tax attributes.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ownership change occurred or occurs and AVROBIO’s ability to use AVROBIO’s historical net operating loss and tax credit carryforwards is materially limited (or entirely eliminated), or if AVROBIO’s research and development carryforwards are adjusted, it would harm AVROBIO’s future operating results by effectively increasing AVROBIO’s future tax obligations. For taxable years beginning after December 31, 2020, deductions for federal net operating losses arising in taxable years beginning after December 31, 2017 may only offset 80% of taxable income. </w:t>
      </w:r>
    </w:p>
    <w:p>
      <w:pPr>
        <w:pStyle w:val="TextBody"/>
        <w:bidi w:val="0"/>
        <w:spacing w:before="360" w:after="0"/>
        <w:jc w:val="left"/>
        <w:rPr>
          <w:rFonts w:ascii="Times New Roman" w:hAnsi="Times New Roman"/>
          <w:b/>
          <w:sz w:val="20"/>
        </w:rPr>
      </w:pPr>
      <w:bookmarkStart w:id="33" w:name="toc770053_31"/>
      <w:bookmarkEnd w:id="33"/>
      <w:r>
        <w:rPr>
          <w:rFonts w:ascii="Times New Roman" w:hAnsi="Times New Roman"/>
          <w:b/>
          <w:sz w:val="20"/>
        </w:rPr>
        <w:t xml:space="preserve">Risks Related to AVROBIO’s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Should AVROBIO resume development of its product candidates, third-party claims of intellectual property infringement may prevent or delay AVROBIO’s development and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AVROBIO’s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parties reexamination proceedings before the U.S. Patent and Trademark Office (“USPTO”) and corresponding foreign patent offices. Numerous U.S. and foreign issued patents and pending patent applications, which are owned by third parties, exist in the fields in which AVROBIO is pursuing development candidates. As the biotechnology and pharmaceutical industries expand and more patents are issued, the risk increases that AVROBIO’s product candidates may be subject to claims of infringement of the patent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AVROBIO or AVROBIO’s licensors are employing their proprietary technology without authorization. There may be third-party patents or patent applications with claims to materials, formulations, methods of manufacture or methods for treatment related to the use or manufacture of AVROBIO’s product candidates. In particular, AVROBIO is aware of issued patents in the United States that cover the lentiviral vectors used in the manufacture of AVROBIO’s product candidates. While AVROBIO believes that AVROBIO has reasonable defenses against a claim of infringement, potentially including that certain of these patents are expected to expire prior to commercializing AVROBIO’s product candidates, if approved, in the United States, there can be no assurance that AVROBIO will prevail in any such action by the holder of these patents. In the event that the holder of these patents seeks to enforce its patent rights and AVROBIO’s defenses against a claim of infringement are unsuccessful, AVROBIO may not be able to commercialize AVROBIO’s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AVROBIO’s management from AVROBIO’s ongoing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Because patent applications can take many years to issue, there may be currently pending patent applications which may later result in issued patents that AVROBIO’s product candidates may infringe or be alleged to infringe. In addition, third parties may obtain patents in the future and claim that use of AVROBIO’s or AVROBIO’s licensors’ technologies infringes upon these patents. If any third-party patents were held by a court of competent jurisdiction to cover the manufacturing process of any of AVROBIO’s product candidates, any molecules formed during the manufacturing process or any final product itself, the holders of any such patents may be able to block AVROBIO’s ability to commercialize such product candidate unless AVROBIO obtained a license under the applicable patents, or until such patents expire. </w:t>
      </w:r>
    </w:p>
    <w:p>
      <w:pPr>
        <w:pStyle w:val="TextBody"/>
        <w:bidi w:val="0"/>
        <w:spacing w:before="240" w:after="0"/>
        <w:jc w:val="left"/>
        <w:rPr>
          <w:rFonts w:ascii="Times New Roman" w:hAnsi="Times New Roman"/>
          <w:sz w:val="20"/>
        </w:rPr>
      </w:pPr>
      <w:r>
        <w:rPr>
          <w:rFonts w:ascii="Times New Roman" w:hAnsi="Times New Roman"/>
          <w:sz w:val="20"/>
        </w:rPr>
        <w:t xml:space="preserve">Similarly, if any third-party patents were held by a court of competent jurisdiction to cover aspects of AVROBIO’s formulations, processes for manufacture or methods of use, including combination therapy, the holders of any such patents may be able to block AVROBIO’s ability to develop and commercialize the applicable product candidate unless AVROBIO obtained a license or until such patent expires. In either case, such a license may not be available on commercially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AVROBIO may obtain injunctive or other equitable relief, which could effectively block AVROBIO’s ability to further develop and commercialize one or more of AVROBIO’s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candidates. Defense of these claims, regardless of their merit, would involve substantial litigation expense and would be a substantial diversion of employee resources from AVROBIO’s business. In the event of a successful claim of infringement against AVROBIO, AVROBIO may have to pay substantial damages, including treble damages and attorneys’ fees for willful infringement, pay royalties, redesign AVROBIO’s infringing products or obtain one or more licenses from third parties, which may be impossible or require substantial time and monetary expenditure. Even in the absence of a finding of infringement, AVROBIO may choose to obtain a license, if such a license is available. A successful claim of patent or other intellectual property infringement against AVROBIO could materially adversely affect AVROBIO’s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rights to develop and commercialize its product candidates, should AVROBIO resume development of its product candidates, are subject, in part, to the terms and conditions of licenses granted to AVROBIO by others. </w:t>
      </w:r>
    </w:p>
    <w:p>
      <w:pPr>
        <w:pStyle w:val="TextBody"/>
        <w:bidi w:val="0"/>
        <w:spacing w:before="120" w:after="0"/>
        <w:jc w:val="left"/>
        <w:rPr>
          <w:rFonts w:ascii="Times New Roman" w:hAnsi="Times New Roman"/>
          <w:sz w:val="20"/>
        </w:rPr>
      </w:pPr>
      <w:r>
        <w:rPr>
          <w:rFonts w:ascii="Times New Roman" w:hAnsi="Times New Roman"/>
          <w:sz w:val="20"/>
        </w:rPr>
        <w:t xml:space="preserve">AVROBIO depends upon the intellectual property rights granted to AVROBIO under licenses from third parties that are important or necessary to the development of AVROBIO’s technology and products, including technology related to AVROBIO’s manufacturing process and AVROBIO’s gene therapy product candidates. In particular, AVROBIO had in-licensed certain intellectual property rights and know-how from the University Health Network (“UHN”) (relevant to AVR-RD-01 and AVROBIO’s Fabry program, which AVROBIO deprioritized in January 2022) and affiliates of Lund University (relevant to AVR-RD-02 and AVROBIO’s Gaucher type 1 and type 3 programs), and AVROBIO’s Fabry license agreement with UHN was terminated as of January 4, 2024. In addition, AVROBIO has in-licensed patents and patent applications from BioMarin Pharmaceutical Inc. (“BioMarin”) (relevant to AVR-RD-03 and AVROBIO’s Pompe program) directed to compositions and methods related to the manufacture and use of AVR-RD-03. AVROBIO also previously had in place in-licensed patent applications from The University of Manchester relevant to AVR-RD-05 and AVROBIO’s Hunter program, which license agreement was terminated as of September 8, 2023. Any termination of AVROBIO’s remaining licenses could result in the loss of significant rights and could harm or prevent AVROBIO’s ability to commercialize AVROBIO’s product candidates, should AVROBIO resume development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Each of AVROBIO’s existing licenses with affiliates of Lund University and BioMarin are exclusive but are limited to particular fields, such as Gaucher disease type 1, or Pompe disease, and are subject to certain retained rights. Absent an amendment or additional agreement, AVROBIO may not have the right to use intellectual property in-licensed for one of AVROBIO’s programs for another program. In addition, licenses that AVROBIO may enter into in the future may not provide exclusive rights to use such intellectual property and technology in all relevant fields of use and in all territories in which AVROBIO may wish to develop or commercialize AVROBIO’s technology and products in the future. As a result, AVROBIO may not be able to prevent competitors from developing and commercializing competitive products in territories included in all of AVROBIO’s licenses. Licenses to additional third-party technology that may be required for AVROBIO’s development programs may not be available in the future or may not be available on commercially reasonable terms, or at all, which could have a material adverse effect on AVROBIO’s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some circumstances, AVROBIO may not have the right to control the preparation, filing and prosecution of patent applications, or to maintain the patents, covering technology that AVROBIO licenses from third parties. For example, pursuant to each of AVROBIO’s intellectual property licenses with BioMarin, the rights holders associated with Lund University, AVROBIO’s licensors retain control of such activities. Therefore, AVROBIO cannot be certain that these patents and applications will be prosecuted, maintained and enforced in a manner consistent with the best interests of AVROBIO’s business. If AVROBIO’s licensors fail to maintain such patents, or lose rights to those patents or patent applications, the rights AVROBIO has licensed may be reduced or eliminated and AVROBIO’s right to develop and commercialize any of AVROBIO’s products that are the subject of such licensed rights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AVROBIO’s current license agreements impose, and AVROBIO expects that future license agreements that AVROBIO may enter into will impose, various obligations, including diligence and certain payment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AVROBIO fails to satisfy AVROBIO’s obligations, the licensor may have the right to terminate the agreement. Disputes may arise between AVROBIO and any of AVROBIO’s licensors regarding intellectual property subject to such agreements and other issues. Such disputes over intellectual property that AVROBIO has licensed or the terms of AVROBIO’s license agreements may prevent or impair AVROBIO’s ability to maintain AVROBIO’s current arrangements on acceptable terms, or at all, or may impair the value of the arrangement to AVROBIO. Any such dispute could have a material adverse effect on AVROBIO’s business. If AVROBIO cannot maintain a necessary license agreement or if the agreement is terminated, AVROBIO may be unable to successfully develop and commercialize the affected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is unable to obtain and maintain patent protection for AVROBIO’s product candidates, or if the scope of the patent protection obtained is not sufficiently broad, AVROBIO’s competitors could develop and commercialize products similar or identical to AVROBIO’s, and AVROBIO’s ability to successfully commercialize AVROBIO’s product candidates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AVROBIO’s ability to compete effectively will depend, in part, on AVROBIO’s ability to maintain the proprietary nature of AVROBIO’s technology and manufacturing processes. AVROBIO relies on manufacturing and other know-how, patents, trade secrets, trademarks, license agreements and contractual provisions to establish AVROBIO’s intellectual property rights and protect AVROBIO’s products. These legal means, however, afford only limited protection and may not adequately protect AVROBIO’s rights. The failure to obtain, maintain, enforce or defend such intellectual property rights, for any reason, could allow third parties to make competing products or impact AVROBIO’s ability to develop, manufacture and market AVROBIO’s products, if approved, on a commercially viable basis, or at all, which could have a material adverse effect on AVROBIO’s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AVROBIO relies primarily on trade secrets, know-how and other unpatented technology, which are difficult to protect. Although AVROBIO seeks such protection in part by entering into confidentiality agreements with AVROBIO’s vendors, employees, consultants and others who may have access to proprietary information, AVROBIO cannot be certain that these agreements will not be breached, adequate remedies for any breach would be available or AVROBIO’s trade secrets, know-how and other unpatented proprietary technology will not otherwise become known to or be independently developed by AVROBIO’s competitors. Should AVROBIO resume development of its product candidates and AVROBIO is unsuccessful in protecting AVROBIO’s intellectual property rights, sales of AVROBIO’s products may suffer and AVROBIO’s ability to generate revenue could be severely impacted. </w:t>
      </w:r>
    </w:p>
    <w:p>
      <w:pPr>
        <w:pStyle w:val="TextBody"/>
        <w:bidi w:val="0"/>
        <w:spacing w:before="240" w:after="0"/>
        <w:jc w:val="left"/>
        <w:rPr>
          <w:rFonts w:ascii="Times New Roman" w:hAnsi="Times New Roman"/>
          <w:sz w:val="20"/>
        </w:rPr>
      </w:pPr>
      <w:r>
        <w:rPr>
          <w:rFonts w:ascii="Times New Roman" w:hAnsi="Times New Roman"/>
          <w:sz w:val="20"/>
        </w:rPr>
        <w:t xml:space="preserve">AVROBIO’s licensors and AVROBIO has sought, and AVROBIO intends to continue to seek to protect AVROBIO’s proprietary position by filing patent applications in the United States and, in at least some cases, one or more countries outside the United States related to product candidates that are important to AVROBIO’s business. However, AVROBIO cannot predict whether the patent applications AVROBIO and AVROBIO’s licensors are currently pursuing will issue as patents, whether the claims of any issued patents will provide AVROBIO with a competitive advantage, or whether AVROBIO will be able to successfully pursue patent applications in the future related to AVROBIO’s product candidates, should AVROBIO resume development of its product candidates. While AVROBIO has in-licensed patents and patent applications relevant to AVR-RD-03, AVROBIO currently has no owned or in-licensed patents or patent applications covering AVR-RD-01 or AVR-RD-02. Some of AVROBIO’s product candidates are in-licensed from third parties. Accordingly, in some cases, the availability and scope of potential patent protection is limited based on prior decisions by AVROBIO’s licensors or the inventors, such as decisions on when to file patent applications or whether to file patent applications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not be able to protect AVROBIO’s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AVROBIO’s intellectual property rights in some countries outside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States could be less extensive than those in the United States. Although AVROBIO’s license agreements grant AVROBIO worldwide rights, and AVROBIO’s currently in-licensed U.S. patent rights have certain corresponding foreign patents or patent applications, there can be no assurance that AVROBIO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AVROBIO and AVROBIO’s licensors pursue patent protection. Consequently, AVROBIO and AVROBIO’s licensors may not be able to prevent third parties from practicing AVROBIO’s inventions in all countries outside the United States, even in jurisdictions where AVROBIO and AVROBIO’s licensors pursue patent protection, or from selling or importing products made using AVROBIO’s inventions in and into the United States or other jurisdictions. Competitors may use AVROBIO’s technologies in jurisdictions where AVROBIO and AVROBIO’s licensors have not pursued and obtained patent protection to develop their own products and, further, may export otherwise infringing products to territories where AVROBIO has patent protection, but enforcement is not as strong as that in the United States. These products may compete with AVROBIO’s product candidates and AVROBIO’s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AVROBIO to stop the infringement of AVROBIO’s patents or marketing of competing products in violation of AVROBIO’s proprietary rights generally. Proceedings to enforce AVROBIO’s patent rights, even if obtained, in foreign jurisdictions could result in substantial costs and divert AVROBIO’s efforts and attention from other aspects of AVROBIO’s business, could put AVROBIO’s patents at risk of being invalidated or interpreted narrowly and AVROBIO’s patent applications at risk of not issuing and could provoke third parties to assert claims against AVROBIO. AVROBIO may not prevail in any lawsuits that AVROBIO initiate and the damages or other remedies awarded, if any, may not be commercially meaningful. Accordingly, AVROBIO’s efforts to enforce AVROBIO’s intellectual property rights around the world may be inadequate to obtain a significant commercial advantage from the intellectual property that AVROBIO develops or licenses.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AVROBIO’s product candidates could be found invalid or unenforceable if challenged in court. AVROBIO may not be able to protect AVROBIO’s trade secrets in court. </w:t>
      </w:r>
    </w:p>
    <w:p>
      <w:pPr>
        <w:pStyle w:val="TextBody"/>
        <w:bidi w:val="0"/>
        <w:spacing w:before="120" w:after="0"/>
        <w:jc w:val="left"/>
        <w:rPr>
          <w:rFonts w:ascii="Times New Roman" w:hAnsi="Times New Roman"/>
          <w:sz w:val="20"/>
        </w:rPr>
      </w:pPr>
      <w:r>
        <w:rPr>
          <w:rFonts w:ascii="Times New Roman" w:hAnsi="Times New Roman"/>
          <w:sz w:val="20"/>
        </w:rPr>
        <w:t xml:space="preserve">If one of AVROBIO’s licensing partners or AVROBIO initiate legal proceedings against a third-party to enforce a patent covering one of AVROBIO’s product candidates, should such a patent issue, the defendant could counterclaim that the patent covering AVROBIO’s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parties review and equivalent proceedings in foreign jurisdictions. Such proceedings could result in the revocation or cancellation of or amendment to AVROBIO’s patents in such a way that they no longer cover AVROBIO’s product candidates. The outcome following legal assertions of invalidity and unenforceability is unpredictable. With respect to the validity question, for example, AVROBIO cannot be certain that there is no invalidating prior art, of which the patent examiner and AVROBIO or AVROBIO’s licensing partners were unaware during prosecution. If a defendant were to prevail on a legal assertion of invalidity or unenforceability, AVROBIO could lose at least part, and perhaps all, of the patent protection on one or more of AVROBIO’s product candidates. Such a loss of patent protection could have a material adverse impact on AVROBIO’s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to the protection afforded by patents, AVROBIO relies on trade secret protection and confidentiality agreements to protect proprietary know-how that is not patentable or that AVROBIO elects not to patent, processes for which patents are difficult to enforce and any other elements of AVROBIO’s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AVROBIO seeks to protect AVROBIO’s proprietary technology and processes, in part, by entering into confidentiality agreements with AVROBIO’s employees, consultants, scientific advisors and contractors. AVROBIO cannot guarantee that AVROBIO has entered into such agreements with each party that may have or have had access to AVROBIO’s trade secrets or proprietary technology and processes. AVROBIO also seeks to preserve the integrity and confidentiality of AVROBIO’s data and trade secrets by maintaining physical security of AVROBIO’s premises and physical and electronic security of AVROBIO’s information technology systems. While AVROBIO has confidence in these individuals, organizations and systems, agreements or security measures may be breached, and AVROBIO may not have adequate remedies for any breach. In addition, AVROBIO’s trade secrets may otherwise become known or be independently discovered by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may be subject to claims asserting that AVROBIO’s employees, consultants or advisors have wrongfully used or disclosed alleged trade secrets of their current or former employers or claims asserting ownership of what AVROBIO regards as AVROBIO’s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Certain of AVROBIO’s employees, consultants or advisors are currently, or were previously, employed at universities or other biotechnology or pharmaceutical companies, including AVROBIO’s competitors or potential competitors. Although AVROBIO tries to ensure that AVROBIO’s employees, consultants and advisors do not use the proprietary information or know-how of others in their work for AVROBIO, AVROBIO may be subject to claims that these individuals or AVROBIO has used or disclosed intellectual property, including trade secrets or other proprietary information, of any such individual’s current or former employer. Litigation may be necessary to defend against these claims. If AVROBIO fails in defending any such claims, in addition to paying monetary damages, AVROBIO may lose valuable intellectual property rights or personnel. Even if AVROBIO is successful in defending against such claims, litigation could result in substantial costs and be a distraction to management. AVROBIO’s licensors may face similar risks, which could have an adverse impact on intellectual property that is licensed to AVROBIO.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AVROBIO’s policy to require AVROBIO’s employees and contractors who may be involved in the conception or development of intellectual property to execute agreements assigning such intellectual property to AVROBIO, AVROBIO may be unsuccessful in executing such an agreement with each party who, in fact, conceives or develops intellectual property that AVROBIO regards as AVROBIO’s own. The assignment of intellectual property rights may not be self-executing or the assignment agreements may be breached, and AVROBIO may be forced to bring claims against third parties, or defend claims that they may bring against AVROBIO, to determine the ownership of what AVROBIO regards as AVROBIO’s intellectual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may be subject to claims challenging the inventorship or ownership of the patents and other intellectual property that AVROBIO owns or licenses. </w:t>
      </w:r>
    </w:p>
    <w:p>
      <w:pPr>
        <w:pStyle w:val="TextBody"/>
        <w:bidi w:val="0"/>
        <w:spacing w:before="120" w:after="0"/>
        <w:jc w:val="left"/>
        <w:rPr>
          <w:rFonts w:ascii="Times New Roman" w:hAnsi="Times New Roman"/>
          <w:sz w:val="20"/>
        </w:rPr>
      </w:pPr>
      <w:r>
        <w:rPr>
          <w:rFonts w:ascii="Times New Roman" w:hAnsi="Times New Roman"/>
          <w:sz w:val="20"/>
        </w:rPr>
        <w:t xml:space="preserve">AVROBIO or AVROBIO’s licensors may be subject to claims that former employees, collaborators or other third parties have an ownership interest in the patents and intellectual property that AVROBIO owns or licenses or that AVROBIO may own or license in the future. While it is AVROBIO’s policy to require AVROBIO’s employees and contractors who may be involved in the development of intellectual property to execute agreements assigning such intellectual property to AVROBIO, AVROBIO may be unsuccessful in executing such an agreement with each party who in fact develops intellectual property that AVROBIO regards as AVROBIO’s own; AVROBIO’s licensors may face similar obstacles. AVROBIO could be subject to ownership disputes arising, for example, from conflicting obligations of consultants or others who are involved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developing AVROBIO’s product candidates. Litigation may be necessary to defend against any claims challenging inventorship or ownership. If AVROBIO or AVROBIO’s licensors fail in defending any such claims, AVROBIO may have to pay monetary damages and may lose valuable intellectual property rights, such as exclusive ownership of, or right to use, intellectual property, which could adversely impact AVROBIO’s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U.S. patent law could diminish the value of patents in general, thereby impairing AVROBIO’s ability to protect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AVROBIO’s business. However, the Leahy-Smith Act and its implementation could increase the uncertainties and costs surrounding the prosecution of AVROBIO’s patent applications and the enforcement or defense of AVROBIO’s issued patents, all of which could have a material adverse effect on AVROBIO’s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positions of companies engaged in the development and commercialization of biologics and pharmaceuticals are particularly uncertain. Two cases involving diagnostic method claims and “gene patents” were decided this year by the Supreme Court of the United States (“Supreme Court”). On March 20, 2012, the Supreme Court issued a decision in Mayo Collaborative Services v. Prometheus Laboratories, Inc.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 </w:t>
      </w:r>
    </w:p>
    <w:p>
      <w:pPr>
        <w:pStyle w:val="TextBody"/>
        <w:bidi w:val="0"/>
        <w:spacing w:before="240" w:after="0"/>
        <w:jc w:val="left"/>
        <w:rPr>
          <w:rFonts w:ascii="Times New Roman" w:hAnsi="Times New Roman"/>
          <w:sz w:val="20"/>
        </w:rPr>
      </w:pPr>
      <w:r>
        <w:rPr>
          <w:rFonts w:ascii="Times New Roman" w:hAnsi="Times New Roman"/>
          <w:sz w:val="20"/>
        </w:rPr>
        <w:t xml:space="preserve">Certain claims of AVROBIO’s licensed patents and patent applications contain, and any future patents AVROBIO may obtain may contain, claims that relate to specific recombinant DNA sequences that are naturally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occurring at least in part and, therefore, could be the subject of future challenges made by third parties. In addition, the 2014 USPTO guidance could impact AVROBIO’s ability to pursue similar patent claims in patent applications AVROBIO may prosecute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AVROBIO cannot assure you that AVROBIO’s efforts to seek patent protection for AVROBIO’s product candidates will not be negatively impacted by the decisions described above, rulings in other cases or changes in guidance or procedures issued by the USPTO. AVROBIO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AVROBIO’s existing patent rights and AVROBIO’s ability to protect and enforce AVROBIO’s intellectual property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Moreover, although the Supreme Court has held in Myriad that isolated segments of naturally occurring DNA are not patent-eligible subject matter, certain third parties could allege that activities that AVROBIO may undertake infringe other gene-related patent claims, and AVROBIO may deem it necessary to defend itself against these claims by asserting non-infringement and/or invalidity positions, or paying to obtain a license to these claims. In any of the foregoing or in other situations involving third-party intellectual property rights, if AVROBIO is unsuccessful in defending against claims of patent infringement, AVROBIO could be forced to pay damages or be subjected to an injunction that would prevent AVROBIO from utilizing the patented subject matter. Such outcomes could harm AVROBIO’s business, financial condition, results of operations or prospects.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AVROBIO does not obtain patent term extension and data exclusivity for AVROBIO’s product candidates, AVROBIO’s business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Depending upon the timing, duration and specifics of any FDA marketing approval of AVROBIO’s product candidates, one or more U.S. patents that AVROBIO licenses or may own or license in the future, if any, may be eligible for limited patent term extension under the Drug Price Competition and Patent Term Restoration Act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AVROBIO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AVROBIO requests. If AVROBIO is unable to obtain patent term extension or the term of any such extension is less than AVROBIO requests, AVROBIO’s competitors may obtain approval of competing products following AVROBIO’s patent expiration, and AVROBIO’s revenue could be reduced, possibly materially. In addition, AVROBIO does not control the efforts of AVROBIO’s licensors to obtain a patent term extension, and there can be no assurance that they will pursue or obtain such extensions to the patents that AVROBIO licenses from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AVROBIO’s trademarks and trade names are not adequately protected, then AVROBIO may not be able to build name recognition in AVROBIO’s markets of interest and AVROBIO’s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AVROBIO has registered the marks “AVROBIO” and “plato” with the USPTO and in certain other countries, but AVROBIO does not have trademarks or trademark applications with the USPTO for the marks “AVRO” or the AVROBIO logo. In the future, even if AVROBIO applies for registration of these marks, there can be no assurance that such registration will be approved. Once registered, AVROBIO’s trademarks or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names may be challenged, infringed, circumvented or declared generic or determined to be infringing on other marks. AVROBIO may not be able to protect AVROBIO’s rights to these trademarks and trade names, which AVROBIO needs to build name recognition among potential partners or customers in AVROBIO’s markets of interest. At times, competitors may adopt trade names or trademarks similar to AVROBIO’s, thereby impeding AVROBIO’s ability to build brand identity and possibly leading to market confusion. In addition, there could be potential trade name or trademark infringement claims brought by owners of other registered trademarks or trademarks that incorporate variations of AVROBIO’s registered or unregistered trademarks or trade names. Over the long term, if AVROBIO is unable to establish name recognition based on AVROBIO’s trademarks and trade names, then AVROBIO may not be able to compete effectively and AVROBIO’s business may be adversely affected. AVROBIO’s efforts to enforce or protect AVROBIO’s proprietary rights related to trademarks, trade secrets, domain names, copyrights or other intellectual property may be ineffective and could result in substantial costs and diversion of resources and could adversely impact AVROBIO’s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and regulatory exclusivity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AVROBIO’s intellectual property rights is uncertain because intellectual property rights have limitations, and may not adequately protect AVROBIO’s business or permit AVROBIO to maintain AVROBIO’s competitive advantage, should AVROBIO resume development of its product candidates.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gene therapy products that are similar to AVROBIO’s product candidates but that are not covered by the claims of the patents that AVROBIO licenses or may own or license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AVROBIO’s license partners or current or future collaborators, might not have been the first to make the inventions covered by the issued patents or pending patent applications that AVROBIO licenses or may own or license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AVROBIO’s license partners or current or future collaborators, might not have been the first to file patent applications covering certain of AVROBIO’s or their inventions;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AVROBIO’s technologies without infringing AVROBIO’s owned or licensed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AVROBIO’s pending licensed patent applications or those that AVROBIO may own or license in the future will not lead to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AVROBIO holds rights to or may hold rights to in the future may be held invalid or unenforceable, including as a result of legal challenges by AVROBIO’s competitors;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 or more of AVROBIO’s product candidates may never be protected by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competitors might conduct research and development activities in countries where AVROBIO does not have patent rights and then use the information learned from such activities to develop competitive products for sale in AVROBIO’s major commercial markets;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may not develop additional proprietary technologies that are patentable;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75"/>
        <w:gridCol w:w="110"/>
        <w:gridCol w:w="60"/>
        <w:gridCol w:w="6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AVROBIO’s business;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may choose not to file a patent application for certain trade secrets or know-how, and a third party may subsequently file a patent application or obtain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significantly harm AVROBIO’s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34" w:name="toc770053_32"/>
      <w:bookmarkEnd w:id="34"/>
      <w:r>
        <w:rPr>
          <w:rFonts w:ascii="Times New Roman" w:hAnsi="Times New Roman"/>
          <w:b/>
          <w:sz w:val="20"/>
        </w:rPr>
        <w:t xml:space="preserve">Risks Related to Ownership of AVROBIO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AVROBIO common stock may be highly volatile, and you may not be able to resell your shares at or above the price at which you purchased AVROBIO’s shares. </w:t>
      </w:r>
    </w:p>
    <w:p>
      <w:pPr>
        <w:pStyle w:val="TextBody"/>
        <w:bidi w:val="0"/>
        <w:spacing w:before="120" w:after="0"/>
        <w:jc w:val="left"/>
        <w:rPr>
          <w:rFonts w:ascii="Times New Roman" w:hAnsi="Times New Roman"/>
          <w:sz w:val="20"/>
        </w:rPr>
      </w:pPr>
      <w:r>
        <w:rPr>
          <w:rFonts w:ascii="Times New Roman" w:hAnsi="Times New Roman"/>
          <w:sz w:val="20"/>
        </w:rPr>
        <w:t xml:space="preserve">AVROBIO’s stock price is likely to be volatile. Since AVROBIO’s IPO in June 2018, through March 15, 2024, the trading price of AVROBIO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AVROBIO common stock may be influenced by many factors, including: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AVROBIO’s exploration of strategic alternatives;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results or delays in preclinical studies or clinical trials;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reports of adverse events in other gene therapy products or clinical studies of such products;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obtain additional funding;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successfully develop and commercialize AVROBIO’s product candidates;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maintain AVROBIO’s existing strategic collaborations or enter into new collaborations;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or AVROBIO’s licensors and strategic partners to prosecute, maintain or enforce AVROBIO’s intellectual property rights;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AVROBIO’s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obtain adequate product supply for AVROBIO’s product candidates or the inability to do so at acceptable prices; </w:t>
            </w:r>
          </w:p>
        </w:tc>
      </w:tr>
    </w:tbl>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decisions;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new products, services or technologies by AVROBIO’s competitors;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meet or exceed financial projections AVROBIO may provide to the public;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meet or exceed the financial projections of the investment community;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perception of the pharmaceutical industry by the public, legislatures, regulators and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partnerships, joint ventures or capital commitments by AVROBIO, AVROBIO’s strategic partners or AVROBIO’s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AVROBIO’s ability to obtain patent protection for AVROBIO’s technologies;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scientific or management personnel, or other skilled personnel;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AVROBIO’s common stock by AVROBIO or AVROBIO stockholders in the future; and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trading volume of AVROBIO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AVROBIO common stock, regardless of AVROBIO’s actual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AVROBIO could be subject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AVROBIO because pharmaceutical companies have experienced significant stock price volatility in recent years. If AVROBIO faces such litigation, it could result in substantial costs and a diversion of management’s attention and resources, which could harm AVROBIO’s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AVROBIO’s common stock may not be sustained. </w:t>
      </w:r>
    </w:p>
    <w:p>
      <w:pPr>
        <w:pStyle w:val="TextBody"/>
        <w:bidi w:val="0"/>
        <w:spacing w:before="120" w:after="0"/>
        <w:jc w:val="left"/>
        <w:rPr>
          <w:rFonts w:ascii="Times New Roman" w:hAnsi="Times New Roman"/>
          <w:sz w:val="20"/>
        </w:rPr>
      </w:pPr>
      <w:r>
        <w:rPr>
          <w:rFonts w:ascii="Times New Roman" w:hAnsi="Times New Roman"/>
          <w:sz w:val="20"/>
        </w:rPr>
        <w:t xml:space="preserve">Prior to AVROBIO’s IPO in June 2018, there had been no public market for AVROBIO common stock. Although AVROBIO common stock is listed on Nasdaq, an active trading market for AVROBIO’s shares may never be sustained. If an active market for AVROBIO common stock is not sustained, it may be difficult for you to sell shares you purchased without depressing the market price for the shares, or at all. </w:t>
      </w:r>
    </w:p>
    <w:p>
      <w:pPr>
        <w:pStyle w:val="TextBody"/>
        <w:bidi w:val="0"/>
        <w:spacing w:before="240" w:after="0"/>
        <w:jc w:val="left"/>
        <w:rPr>
          <w:rFonts w:ascii="Times New Roman" w:hAnsi="Times New Roman"/>
          <w:sz w:val="20"/>
        </w:rPr>
      </w:pPr>
      <w:r>
        <w:rPr>
          <w:rFonts w:ascii="Times New Roman" w:hAnsi="Times New Roman"/>
          <w:sz w:val="20"/>
        </w:rPr>
        <w:t xml:space="preserve">An inactive trading market may also impair AVROBIO’s ability to raise capital to continue to fund operations by selling additional shares and may impair AVROBIO’s ability to acquire other companies or technologies by using AVROBIO’s shares as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AVROBIO’s business, AVROBIO’s share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AVROBIO common stock will likely depend in part on the research and reports that securities or industry analysts publish about AVROBIO or AVROBIO’s business. AVROBIO does not have any control over these analysts. Although AVROBIO has obtained research coverage from certain analysts, there can be no assurance, including during such time period that AVROBIO pursues potential strategic alternatives, that analysts will continue to cover AVROBIO or provide favorable coverage. If one or more analysts downgrade AVROBIO’s stock or change their opinion of AVROBIO’s stock, AVROBIO’s share price would likely decline. In addition, if one or more analysts cease coverage of AVROBIO’s company or fail to regularly publish reports on AVROBIO, AVROBIO could lose visibility in the financial markets, which could cause AVROBIO’s share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ownership of AVROBIO common stock among AVROBIO’s existing executive officers, directors and principal stockholders may prevent new investors from influencing significant corporate decisions. </w:t>
      </w:r>
    </w:p>
    <w:p>
      <w:pPr>
        <w:pStyle w:val="TextBody"/>
        <w:bidi w:val="0"/>
        <w:spacing w:before="120" w:after="0"/>
        <w:jc w:val="left"/>
        <w:rPr>
          <w:rFonts w:ascii="Times New Roman" w:hAnsi="Times New Roman"/>
          <w:sz w:val="20"/>
        </w:rPr>
      </w:pPr>
      <w:r>
        <w:rPr>
          <w:rFonts w:ascii="Times New Roman" w:hAnsi="Times New Roman"/>
          <w:sz w:val="20"/>
        </w:rPr>
        <w:t xml:space="preserve">Based on shares outstanding as of March 15, 2024, AVROBIO’s executive officers, directors, five percent stockholders and their affiliates beneficially owned approximately 37.8% of AVROBIO’s voting stock. As a result, if these stockholders were to act together, they would be able to significantly influence all matters submitted to AVROBIO stockholders for approval, as well as AVROBIO’s management and affairs. For example, these stockholders, acting together, may be able to influence elections of directors, amendments of AVROBIO’s organizational documents, or approval of any merger, sale of assets, or other major corporate transaction. This may prevent or discourage unsolicited acquisition proposals or offers for AVROBIO common stock that you may believe are in your best interest as one of AVROBIO stockholders. Some of these persons or entities may have interests different than yours. For example, because many of these stockholders purchased their shares at prices substantially below the current trading price of AVROBIO’s stock and have held their shares for a longer period, they may be more interested in selling AVROBIO’s company to an acquirer than other investors or they may want AVROBIO to pursue strategies that deviate from the interests of other stockholders. Additionally, from time to time, any of AVROBIO’s non-affiliated stockholders may accumulate or acquire significant positions in AVROBIO common stock and may similarly be able to influence AVROBIO’s business or matters submitted to AVROBIO stockholders for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AVROBIO is a “smaller reporting company,” and the reduced disclosure requirements applicable to smaller reporting companies may make AVROBIO common shares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AVROBIO is a “smaller reporting company” as defined in Item 10(f)(1) of Regulation S-K. Smaller reporting companies may take advantage of certain reduced disclosure obligations, including, among other things, providing only two years of audited financial statements in its Annual Report on Form 10-K, and, similar to emerging growth companies, smaller reporting companies have reduced disclosure obligations regarding executive compensation. To the extent AVROBIO takes advantage of such reduced disclosure obligations, it may also make comparison of its financial statements with other public companies difficult or impossible. AVROBIO will remain a smaller reporting company until the last day of the fiscal year in which (i) the market value of its common shares held by non-affiliates exceeds $250 million as of the end of that year’s second fiscal quarter, or (ii) its annual revenues exceeded $100 million during such completed fiscal year and the market value of its common shares held by non-affiliates exceeds $700 million as of the end of that year’s second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Investors may find AVROBIO common stock less attractive to the extent AVROBIO will rely on these exemptions. If some investors find AVROBIO common stock less attractive as a result, there may be a less active trading market for AVROBIO common stock and its stock price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expects to continue to incur increased costs as a result of operating as a public company, and AVROBIO’s management is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and particularly because AVROBIO is no longer an “emerging growth company” as defined in Regulation S-K, AVROBIO will incur significant legal, accounting and other expenses that AVROBIO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AVROBIO’s management and other personnel will continue to devote a substantial amount of time to these compliance initiatives. Moreover, these rules and regulations have increased AVROBIO’s legal and financial compliance costs and will continue to make some activities more time-consuming and costly. For example, AVROBIO expects that these rules and regulations may make it more difficult and increasingly more expensive for AVROBIO to obtain and maintain director and officer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404, AVROBIO is required to furnish a report by AVROBIO’s management on AVROBIO’s internal control over financial reporting, and, once AVROBIO is no longer a smaller reporting company, AVROBIO will be required to furnish an attestation report on internal control over financial reporting issued by AVROBIO’s independent registered public accounting firm. To achieve compliance with Section 404, AVROBIO continues to be engaged in a process to document and evaluate AVROBIO’s internal control over financial reporting, which is both costly and challenging. In this regard, AVROBIO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AVROBIO’s efforts, there is a risk that AVROBIO will not be able to conclude that AVROBIO’s internal control over financial reporting is effective as required by Section 404. This could result in an adverse reaction in the financial markets due to a loss of confidence in the reliability of AVROBIO’s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fails to maintain an effective system of internal control over financial reporting, AVROBIO may not be able to accurately report AVROBIO’s financial results or prevent fraud. As a result, stockholders could lose confidence in AVROBIO’s financial and other public reporting, which would harm AVROBIO’s business and the trading price of AVROBIO’s common stock. </w:t>
      </w:r>
    </w:p>
    <w:p>
      <w:pPr>
        <w:pStyle w:val="TextBody"/>
        <w:bidi w:val="0"/>
        <w:spacing w:before="120" w:after="0"/>
        <w:jc w:val="left"/>
        <w:rPr>
          <w:rFonts w:ascii="Times New Roman" w:hAnsi="Times New Roman"/>
          <w:sz w:val="20"/>
        </w:rPr>
      </w:pPr>
      <w:r>
        <w:rPr>
          <w:rFonts w:ascii="Times New Roman" w:hAnsi="Times New Roman"/>
          <w:sz w:val="20"/>
        </w:rPr>
        <w:t xml:space="preserve">Effective internal control over financial reporting is necessary for AVROBIO to provide reliable financial reports and, together with adequate disclosure controls and procedures, are designed to prevent fraud. Any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implement required new or improved controls, or difficulties encountered in their implementation could cause AVROBIO to fail to meet AVROBIO’s reporting obligations. In addition, any testing by AVROBIO conducted in connection with Section 404, or any subsequent testing by AVROBIO’s independent registered public accounting firm, may reveal deficiencies in AVROBIO’s internal control over financial reporting that are deemed to be material weaknesses or that may require prospective or retroactive changes to AVROBIO’s financial statements, or may identify other areas for further attention or improvement. Inferior internal controls could also cause investors to lose confidence in AVROBIO’s reported financial information, which could have a negative effect on the trading price of AVROBIO’s stock. </w:t>
      </w:r>
    </w:p>
    <w:p>
      <w:pPr>
        <w:pStyle w:val="TextBody"/>
        <w:bidi w:val="0"/>
        <w:spacing w:before="240" w:after="0"/>
        <w:jc w:val="left"/>
        <w:rPr>
          <w:rFonts w:ascii="Times New Roman" w:hAnsi="Times New Roman"/>
          <w:sz w:val="20"/>
        </w:rPr>
      </w:pPr>
      <w:r>
        <w:rPr>
          <w:rFonts w:ascii="Times New Roman" w:hAnsi="Times New Roman"/>
          <w:sz w:val="20"/>
        </w:rPr>
        <w:t xml:space="preserve">AVROBIO is required to disclose changes made in AVROBIO’s internal controls and procedures on a quarterly basis and AVROBIO’s management is required to assess the effectiveness of these controls annually. However, for as long as AVROBIO is a smaller reporting company, AVROBIO’s independent registered public accounting firm will not be required to attest to the effectiveness of AVROBIO’s internal control over financial reporting pursuant to Section 404. AVROBIO will qualify as a smaller reporting company if the market value of AVROBIO’s common stock held by non-affiliates is below $250 million (or $700 million if AVROBIO’s annual revenue is less than $100 million) as of June 30 in any given year. An independent assessment of the effectiveness of AVROBIO’s internal control over financial reporting could detect problems that AVROBIO’s management’s assessment might not. Undetected material weaknesses in AVROBIO’s internal control over financial reporting could lead to financial statement restatements and require AVROBIO to incur the expense of remediation.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experiences material weaknesses or deficiencies in the future, or otherwise fails to establish and maintain effective internal controls, AVROBIO may be unable to produce timely and accurate financial statements, and AVROBIO may conclude that its internal control over financial reporting is not effective, which could adversely impact AVROBIO’s investors’ confidence and AVROBIO’s stock price. </w:t>
      </w:r>
    </w:p>
    <w:p>
      <w:pPr>
        <w:pStyle w:val="TextBody"/>
        <w:bidi w:val="0"/>
        <w:spacing w:before="120" w:after="0"/>
        <w:jc w:val="left"/>
        <w:rPr>
          <w:rFonts w:ascii="Times New Roman" w:hAnsi="Times New Roman"/>
          <w:sz w:val="20"/>
        </w:rPr>
      </w:pPr>
      <w:r>
        <w:rPr>
          <w:rFonts w:ascii="Times New Roman" w:hAnsi="Times New Roman"/>
          <w:sz w:val="20"/>
        </w:rPr>
        <w:t xml:space="preserve">AVROBIO expects to continue AVROBIO’s efforts to improve AVROBIO’s control processes, though there can be no assurance that AVROBIO’s efforts will ultimately be successful or avoid potential material weaknesses, and AVROBIO expects to continue incurring additional costs as a result of these efforts. If AVROBIO is unable to successfully remediate any material weaknesses in AVROBIO’s internal control over financial reporting, the accuracy and timing of AVROBIO’s financial reporting may be adversely affected, AVROBIO may be unable to maintain compliance with securities law requirements regarding timely filing of periodic reports in addition to applicable stock exchange listing requirements, investors may lose confidence in AVROBIO’s financial reporting, and AVROBIO’s stock price may decline as a result. AVROBIO also could become subject to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AVROBIO’s disclosure controls and procedures are designed to reasonably assure that information required to be disclosed by AVROBIO in reports AVROBIO files or submits under the Exchange Act is accumulated and communicated to management, recorded, processed, summarized and reported within the time periods specified in the rules and forms of the SEC. AVROBIO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AVROBIO’s control system, misstatements or insufficient disclosures due to error or fraud may occur and not be detected.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AVROBIO does not intend to pay dividends on AVROBIO common stock, so any returns will be limited to the value of AVROBIO’s stock. </w:t>
      </w:r>
    </w:p>
    <w:p>
      <w:pPr>
        <w:pStyle w:val="TextBody"/>
        <w:bidi w:val="0"/>
        <w:spacing w:before="120" w:after="0"/>
        <w:jc w:val="left"/>
        <w:rPr>
          <w:rFonts w:ascii="Times New Roman" w:hAnsi="Times New Roman"/>
          <w:sz w:val="20"/>
        </w:rPr>
      </w:pPr>
      <w:r>
        <w:rPr>
          <w:rFonts w:ascii="Times New Roman" w:hAnsi="Times New Roman"/>
          <w:sz w:val="20"/>
        </w:rPr>
        <w:t xml:space="preserve">AVROBIO has never declared or paid any cash dividends on AVROBIO common stock. AVROBIO currently anticipates that AVROBIO will retain future earnings for the development, operation and expansion of AVROBIO’s business and do not anticipate declaring or paying any cash dividends for the foreseeable future. Any return to stockholders will therefore be limited to the appreciation of their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AVROBIO’s charter and bylaws, as well as provisions of Delaware law, could make it more difficult for a third party to acquire AVROBIO or increase the cost of acquiring AVROBIO, even if doing so would benefit AVROBIO stockholders or remove AVROBIO’s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and bylaws and Delaware law contain provisions that may have the effect of delaying or preventing a change in control of AVROBIO or changes in AVROBIO’s management. AVROBIO’s charter and bylaws, include provisions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AVROBIO Board without stockholder approval and may contain voting, liquidation, dividend and other rights superior to AVROBIO common stock;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AVROBIO stockholders can be called only by the AVROBIO Board, the chairperson of the AVROBIO Board, AVROBIO’s Chief Executive Officer or AVROBIO’s President;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AVROBIO stockholders, including proposed nominations of persons for election to the AVROBIO Board;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110"/>
        <w:gridCol w:w="60"/>
        <w:gridCol w:w="5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AVROBIO’s directors may be removed only for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AVROBIO Board may be filled only by a majority of directors then in office, even though less than a quorum;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AVROBIO Board to modify, alter or repeal AVROBIO’s amended and restated by-laws;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AVROBIO common stock to amend specified provisions of AVROBIO’s charter and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AVROBIO’s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AVROBIO is incorporated in Delaware, AVROBIO is governed by the provisions of Section 203 of the DGCL, which limits the ability of stockholders owning in excess of 15% of AVROBIO’s outstanding voting stock to merge or combine with AVROBIO.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AVROBIO’s amended and restated certificate of incorporation or amended and restated by-laws or Delaware law that has the effect of delaying or deterring a change in control could limit the opportunity for AVROBIO stockholders to receive a premium for their shares of AVROBIO common stock, and could also affect the price that some investors are willing to pay for AVROBIO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AVROBIO’s bylaws contain exclusive forum provisions, which may limit a stockholder’s ability to bring a claim in a judicial forum it finds favorable and may discourage lawsuits with respect to such claims. </w:t>
      </w:r>
    </w:p>
    <w:p>
      <w:pPr>
        <w:pStyle w:val="TextBody"/>
        <w:bidi w:val="0"/>
        <w:spacing w:before="120" w:after="0"/>
        <w:jc w:val="left"/>
        <w:rPr>
          <w:rFonts w:ascii="Times New Roman" w:hAnsi="Times New Roman"/>
          <w:sz w:val="20"/>
        </w:rPr>
      </w:pPr>
      <w:r>
        <w:rPr>
          <w:rFonts w:ascii="Times New Roman" w:hAnsi="Times New Roman"/>
          <w:sz w:val="20"/>
        </w:rPr>
        <w:t xml:space="preserve">AVROBIO’s amended and restated bylaws provide that, unless AVROBIO consents in writing to an alternative forum, the Court of Chancery of the State of Delaware will be the sole and exclusive forum for any state law claim for (1) any derivative action or proceeding brought on AVROBIO’s behalf; (2) any action asserting a claim of breach of or based on a fiduciary duty owed by any of AVROBIO’s current or former directors, officers or other employees to AVROBIO or AVROBIO stockholders; (3) any action asserting a claim against AVROBIO or any of AVROBIO’s current or former directors, officers, employees or stockholders arising pursuant to any provision of the DGCL, AVROBIO’s amended and restated certificate of incorporation or AVROBIO’s amended and restated bylaws; or (4) any action asserting a claim governed by the internal affairs doctrine, or the Delaware Forum Provision. The Delaware Forum Provision will not apply to any causes of action arising under the Securities Act or the Exchange Act. AVROBIO’s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AVROBIO’s principal executive offices are located in Cambridge, Massachusetts. In addition, AVROBIO’s amended and restated bylaws provide that any person or entity purchasing or otherwise acquiring any interest in shares of AVROBIO’s capital stock is deemed to have notice of and consented to the foregoing Delaware Forum Provision and the Federal Forum Provision; provided, however, that stockholders cannot and will not be deemed to have waived AVROBIO’s compliance with the U.S.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AVROBIO recognizes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AVROBIO’s amended and restated bylaws may limit AVROBIO stockholders’ ability to bring a claim in a judicial forum that they find favorable for disputes with AVROBIO or AVROBIO’s directors, officers or employees, which may discourage such lawsuits against AVROBIO and AVROBIO’s directors, officers and employees even though an action, if successful, might benefit AVROBIO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AVROBIO’s Federal Forum Provision. The Federal Forum Provision may also impose additional litigation costs on stockholders who assert the provision is unenforceable, and if the Federal Forum Provision is found to be unenforceable, AVROBIO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AVROBIO than AVROBIO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failure to meet Nasdaq’s continued listing requirements could result in a delisting of AVROBIO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AVROBIO fails to satisfy the continued listing requirements of Nasdaq, such as the corporate governance requirements or the requirement to maintain a minimum bid price of $1.00 per share pursuant to Nasdaq Listing Rule 5450(a)(1) (the “Minimum Bid Price Requirement”) Nasdaq may take steps to delist AVROBIO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October 4, 2022, AVROBIO received a written notice from the staff (the “Staff”) of Nasdaq’s Listing Qualifications Department, notifying AVROBIO that, for the 30 consecutive business day period between August 22, 2022 through October 3, 2022, AVROBIO common stock had not complied with the Minimum Bid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Price Requirement. On February 23, 2023, AVROBIO received a written notice from the Staff notifying AVROBIO that for 10 consecutive business days, from February 8, 2023 to February 22, 2023, the closing bid price of AVROBIO common stock was at $1.00 per share or greater, and accordingly, the Staff advised AVROBIO that AVROBIO had regained 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On May 11, 2023, AVROBIO received a written notice from the Staff notifying AVROBIO that, for the 30 consecutive business day period between March 29, 2023 through May 10, 2023, AVROBIO common stock had not complied with the Minimum Bid Price Requirement. On June 12, 2023, AVROBIO received a written notice from the Staff notifying AVROBIO that for 14 consecutive business days, from May 22, 2023 to June 9, 2023, the closing bid price of AVROBIO common stock was at $1.00 per share or greater, and accordingly, the Staff advised AVROBIO that AVROBIO had regained 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While AVROBIO has regained compliance with the Minimum Bid Price Requirement as of the date hereof, AVROBIO can provide no assurance that AVROBIO will continue to remain in compliance with the Minimum Bid Price Requirement. If AVROBIO is unable to maintain compliance with any of Nasdaq’s continued listing requirements in the future, AVROBIO may be subject to delisting. At that time, AVROBIO may appeal the Staff’s delisting determination to a Nasdaq Hearing Panel. There can be no assurance that, if AVROBIO receives a delisting notice and appeal the delisting determination by the Staff to the Nasdaq Hearing Panel, such appeal would be successful. </w:t>
      </w:r>
    </w:p>
    <w:p>
      <w:pPr>
        <w:pStyle w:val="TextBody"/>
        <w:bidi w:val="0"/>
        <w:spacing w:before="240" w:after="0"/>
        <w:jc w:val="left"/>
        <w:rPr>
          <w:rFonts w:ascii="Times New Roman" w:hAnsi="Times New Roman"/>
          <w:sz w:val="20"/>
        </w:rPr>
      </w:pPr>
      <w:r>
        <w:rPr>
          <w:rFonts w:ascii="Times New Roman" w:hAnsi="Times New Roman"/>
          <w:sz w:val="20"/>
        </w:rPr>
        <w:t xml:space="preserve">Such a delisting would likely have a negative effect on the price of AVROBIO common stock and would impair your ability to sell or purchase AVROBIO common stock when you wish to do so. Any such delisting could also adversely impact AVROBIO’s ability to raise additional capital or enter into strategic transactions. Additionally, if AVROBIO common stock is not listed on, or becomes delisted from, Nasdaq for any reason, trading AVROBIO common stock could be conducted only in the over-the-counter (“OTC”) market or on an electronic bulletin board established for unlisted securities such as the OTC Bulletin Board, an inter-dealer automated quotation system for equity securities that is not a national securities exchange, and the liquidity and price of AVROBIO common stock may be more limited than if AVROBIO was quoted or listed on Nasdaq or another national securities exchange. In such circumstances, you may be unable to sell your common stock unless a market can be established or sustained. </w:t>
      </w:r>
    </w:p>
    <w:p>
      <w:pPr>
        <w:pStyle w:val="TextBody"/>
        <w:bidi w:val="0"/>
        <w:spacing w:before="360" w:after="0"/>
        <w:jc w:val="left"/>
        <w:rPr>
          <w:rFonts w:ascii="Times New Roman" w:hAnsi="Times New Roman"/>
          <w:b/>
          <w:sz w:val="20"/>
        </w:rPr>
      </w:pPr>
      <w:bookmarkStart w:id="35" w:name="toc770053_33"/>
      <w:bookmarkEnd w:id="35"/>
      <w:r>
        <w:rPr>
          <w:rFonts w:ascii="Times New Roman" w:hAnsi="Times New Roman"/>
          <w:b/>
          <w:sz w:val="20"/>
        </w:rPr>
        <w:t xml:space="preserve">Risks Related to Tectonic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Tectonic’s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has a limited operating history and has incurred net losses in every year since its inception. Tectonic expects to continue to incur net losses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Tectonic is a clinical-stage biotechnology company with a limited operating history. Since its inception in 2019, Tectonic has invested most of its resources in organizing and staffing its company, developing its technology and product candidates, building its intellectual property portfolio, conducting business planning, raising capital and providing general and administrative support for these operations. Consequently, Tectonic has no meaningful operations upon which to evaluate its business and predictions about Tectonic’s future success or viability may not be as accurate as they could be if Tectonic had a longer operating history or a history of successfully developing and commercializing drug products. Tectonic continues to incur significant research and development and other expenses related to its ongoing operations. As a result, Tectonic is not profitable and has incurred losses in each period since its inception. For the fiscal years ended December 31, 2023 and 2022, Tectonic reported a net loss of $42.8 million and $32.2 million, respectively. As of December 31, 2023, Tectonic had an accumulated deficit of $90.6 million. Tectonic expects to continue to incur significant losses for the foreseeable future, and expects these losses to increase as Tectonic continues its research and development of, and seek regulatory approvals for, its lead product candidate, TX45, along with any future product candidates it may develop.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Tectonic anticipates that its expenses will increase substantially if, and as, Tectonic: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the research and development of its clinical- and preclinical-stage product candidates and discovery-stage programs, including the continued development of its lead product candidate TX45;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increases the amount of research and development activities to identify and develop product candidates using its proprietary discovery approach;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makes milestone, royalty or other payments under in-license or collaboration agreements;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and protects its intellectual property portfolio;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expands its operational, financial and management systems and increases personnel, including personnel to support its clinical development, manufacturing and commercialization efforts and its operations as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medical affairs and distribution infrastructure to commercialize any products for which Tectonic may obtain marketing approval and intends to commercialize on its own or jointly with third parties;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invests in or in-license other technologies;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experiences any delays or encounter any issues with any of the above, including but not limited to failed studies, complex results, manufacturing challenges, safety issues or other regulatory challenges.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Tectonic, its collaborators and any potential future collaborators must develop and eventually commercialize products with significant market potential. This will require Tectonic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Tectonic may obtain marketing approval and satisfying any post-marketing requirements. Tectonic may never succeed in any or all of these activities and, even if it does, it may never generate revenue that is significant or large enough to achieve profitability. If Tectonic does achieve profitability, it may not be able to sustain or increase profitability on a quarterly or annual basis. Tectonic’s failure to become and remain profitable would decrease the value of the company and could impair its ability to raise capital, maintain its research and development efforts, expand its business or continue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 if Tectonic succeeds in commercializing one or more of its product candidates, Tectonic will continue to incur substantial research and development and other expenditures to develop and market additional product candidates. Tectonic may encounter unforeseen expenses, difficulties, complications, delays and other unknown factors that may adversely affect its business. The size of Tectonic’s future net losses will depend, in part, on the rate of future growth of its expenses and its ability to generate revenue. Tectonic’s prior losses and expected future losses have had and will continue to have an adverse effect on its stockholders’ equity and working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will need substantial additional funding in order to complete the development and commence commercialization of its product candidates. Failure to obtain this necessary capital when needed may force Tectonic to delay, reduce or eliminate certain of its product development or research operations. </w:t>
      </w:r>
    </w:p>
    <w:p>
      <w:pPr>
        <w:pStyle w:val="TextBody"/>
        <w:bidi w:val="0"/>
        <w:spacing w:before="120" w:after="0"/>
        <w:jc w:val="left"/>
        <w:rPr>
          <w:rFonts w:ascii="Times New Roman" w:hAnsi="Times New Roman"/>
          <w:sz w:val="20"/>
        </w:rPr>
      </w:pPr>
      <w:r>
        <w:rPr>
          <w:rFonts w:ascii="Times New Roman" w:hAnsi="Times New Roman"/>
          <w:sz w:val="20"/>
        </w:rPr>
        <w:t xml:space="preserve">To date, Tectonic has funded its operations primarily with proceeds from the sale of Series A convertible preferred stock, convertible promissory notes and the issuance of SAFEs. Tectonic expects its expenses to increase in connection with its ongoing activities, particularly as Tectonic completes the Phase 1 clinical trial of TX45, initiates the Phase 2 clinical trials of TX45, and continues to research, develop and initiate clinical trials of any other future product candidates. In addition, if Tectonic successfully completes development through Phase 3 and obtains regulatory approval for any of its product candidates, Tectonic expects to incur significant commercialization expenses related to product manufacturing, marketing, sales and distribution. Accordingly, Tectonic will need to obtain substantial additional funding in connection with its continuing operations.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Tectonic is unable to raise capital when needed or on attractive terms, Tectonic could be forced to delay, reduce or eliminate its product development programs or any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Tectonic expects that its existing cash and cash equivalents upon completion of the merger and Tectonic’s private financings will enable it to fund its operating expenses and capital expenditure requirements into mid-2027. Tectonic has based this estimate on assumptions that may prove to be wrong, and Tectonic could use its capital resources sooner than it currently expects. Tectonic’s future capital requirements for TX45 or its preclinical programs will depend on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progress, timing and completion of preclinical studies and clinical trials for its current or any future product candidates, as well as the associated costs, including any unforeseen costs Tectonic may incur as a result of preclinical study or clinical trial delays due to disease outbreaks, epidemics and pandemics or other causes;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milestone and royalty payments Tectonic is required to make or is eligible to receive under its license agreements with President and Fellows of Harvard College (“Harvard”) and other license agreements, as applicable;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potential new product candidates Tectonic identifies and decides to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need for additional or expanded pre-clinical studies and clinical trials beyond those that Tectonic plans to conduct with respect to its current and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growing the organization to the size needed to allow for the research, development and potential commercialization of its current or any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filing patent applications, maintaining and enforcing patents or defending against infringement or other claims raised by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of Tectonic’s existing license and collaboration agreements and the entry into new license and collaboration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time and costs involved in obtaining regulatory approval for its product candidates and any delays Tectonic may encounter as a result of evolving regulatory requirements or adverse results with respect to any of its product candidates;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completion of commercial-scale outsourced manufacturing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establishing sales, marketing and distribution capabilities for any product candidates for which Tectonic may receive regulatory approval in regions where Tectonic chooses to commercialize its products on its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revenues, if any, Tectonic may derive either directly or in the form of royalty payments from future sales of its product candidates, if approved; and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any approved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 does not have any committed external source of funds or other support for its development efforts and Tectonic cannot be certain that additional funding will be available on acceptable terms, or at all. Until Tectonic can generate sufficient product or royalty revenue to finance its cash requirements, which it may never do, Tectonic expects to finance its future cash needs through a combination of public or private equity offerings, debt financings, collaborations, strategic alliances, licensing arrangements and other marketing or distribution arrangements.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raise additional funds will depend on financial, economic and market conditions and other factors, over which it may have no or limited control. Market volatility resulting from geopolitical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economic instability, including the conflicts between Russia and Ukraine and Israel and Hamas or other factors could also adversely impact its ability to access capital as and when needed. If adequate funds are not available on commercially acceptable terms when needed, Tectonic may be forced to delay, reduce or terminate the development or commercialization of all or part of its research programs or product candidates or Tectonic may be unable to take advantage of future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recurring losses from operations and financial conditions raise substantial doubt about its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Tectonic’s recurring losses from operations and financial condition raise substantial doubt about its ability to continue as a going concern. In Tectonic’s financial statements for the year ended December 31, 2023, Tectonic concluded that its recurring losses from operations and need for additional financing to fund future operations raise substantial doubt about Tectonic’s ability to continue as a going concern. Similarly, Tectonic’s independent registered public accounting firm included an explanatory paragraph in its report on Tectonic’s financial statements for the year ended December 31, 2023 with respect to this uncertainty. Tectonic’s ability to continue as a going concern will require it to obtain additional funding. If Tectonic is unable to obtain sufficient funding, its business, prospects, financial condition and results of operations will be materially and adversely affected, and Tectonic may be unable to continue as a going concern. If Tectonic is unable to raise capital when needed or on acceptable terms, it would be forced to delay, limit, reduce or terminate its product development or future commercialization efforts of one or more of its product candidates, or may be forced to reduce or terminate its operations. If Tectonic is unable to continue as a going concern, Tectonic may have to liquidate its assets and may receive less than the value at which those assets are carried on its audited financial statements, and it is likely that investors will lose all or part of their investment. After the closing of the merger, in the combined company’s own required quarterly assessment, the combined company may again conclude that there is substantial doubt about its ability to continue as a going concern, and future reports from its independent registered public accounting firm may also contain statements expressing substantial doubt about its ability to continue as a going concern. Even if the reverse merger and the private financing close, the combined company may still need to seek additional funding. If the combined company seeks additional financing to fund its business activities in the future and there remains substantial doubt about its ability to continue as a going concern, investors and other financing sources may be unwilling to provide additional funding to it on commercially reasonable terms,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will cause dilution to Tectonic’s stockholders, restrict its operations, or require Tectonic to relinquish rights to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Tectonic can generate substantial product revenue, Tectonic expects to finance its cash needs through equity or debt financings, third-party funding, marketing, and distribution arrangements, as well as other collaborations, strategic alliances and licensing arrangements, or any combination of these approaches. Tectonic does not have any committed external source of funds. To the extent that Tectonic raises additional capital through the sale of equity or convertible debt securities, the ownership interest of current Tectonic stockholders will be diluted, and the terms of these securities may include liquidation or other preferences. Debt and equity financings, if available, may involve agreements that include covenants limiting or restricting Tectonic’s ability to take specific actions, such as redeeming shares, making investments, incurring additional debt, making capital expenditures, declaring dividends or placing limitations on Tectonic’s ability to acquire, sell or license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If Tectonic raises additional capital through future collaborations, strategic alliances, or third-party licensing arrangements, it may have to relinquish certain valuable rights to its intellectual property, future revenue streams, research programs or product candidates, or grant licenses on terms that may not be favorable to Tectonic. If Tectonic is unable to raise additional capital when needed, it may be required to delay, limit, reduce or terminate its clinical development or future commercialization efforts, or grant rights to develop and market product candidates that Tectonic would otherwise develop and market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Discovery, Development and Regulatory Approval of Tectonic’s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has limited experience in therapeutic discovery and development and its GEODe™ platform may never result in the regulatory approval of a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prior experience of individuals on the Tectonic management team in drug discovery and development, Tectonic is still a relatively young organization that has not yet completed the full cycle of activites from discovery through regulatory approval for any of its portfolio projects. Its GEODe™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is very early in its development efforts. If Tectonic is unable to advance TX45 or any of Tectonic’s other product candidates through clinical development, obtain regulatory approval and ultimately commercialize TX45 or any of Tectonic’s other product candidates, or experience significant delays in doing so, Tectonic’s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Tectonic has no products approved for sale and its lead product candidate, TX45, will require clinical development, regulatory review and approval in each jurisdiction in which Tectonic intends to market it, access to sufficient commercial manufacturing capacity, and significant sales and marketing efforts before Tectonic can generate any revenue from product sales. </w:t>
      </w:r>
    </w:p>
    <w:p>
      <w:pPr>
        <w:pStyle w:val="TextBody"/>
        <w:bidi w:val="0"/>
        <w:spacing w:before="240" w:after="0"/>
        <w:jc w:val="left"/>
        <w:rPr>
          <w:rFonts w:ascii="Times New Roman" w:hAnsi="Times New Roman"/>
          <w:sz w:val="20"/>
        </w:rPr>
      </w:pPr>
      <w:r>
        <w:rPr>
          <w:rFonts w:ascii="Times New Roman" w:hAnsi="Times New Roman"/>
          <w:sz w:val="20"/>
        </w:rPr>
        <w:t xml:space="preserve">Before obtaining marketing approval from regulatory authorities for the sale of its product candidates, Tectonic must conduct extensive clinical trials to demonstrate the safety and efficacy of the product candidates in humans. Tectonic is early in its product candidate development efforts, as TX45 is still in Phase 1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generate product revenues, which it does not expect will occur in the foreseeable future, if ever, will depend heavily on the successful development and eventual commercialization of TX45 and any future product candidates Tectonic develops, which may never occur. TX45 and any future product candidates Tectonic develops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Tectonic generates any revenues from product sales. The success of Tectonic’s current and future product candidates will depend on several factors,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preclinical studies and clinical trials for which the FDA, or any comparable foreign regulatory authority agree with the design, endpoints or implementation; </w:t>
            </w:r>
          </w:p>
        </w:tc>
      </w:tr>
    </w:tbl>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Tectonic’s financial and other resources to complete the necessary preclinical studies and clinical trials;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receiving regulatory approvals or authorizations for conducting Tectonic’s planned clinical trials or future clinical trials;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and successful patient enrollment in, and completion of, additional clinical trials on a timely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demonstrate to the satisfaction of the FDA or any comparable foreign regulatory authority that the applicable product candidate is safe, pure, and potent for its targeted indications;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for its product candidates from applicable regulatory authorities;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of any required post-marketing approval commitments to applicable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scaling up, either alone or with third-party manufacturers, manufacturing capabilities of clinical supply for Tectonic’s clinical trials and commercial manufacturing, if any of its product candidates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proprietary information protection or regulatory exclusivity for its product candidates, both in the United States and internationally;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scaling a sales and marketing organization and launching commercial sales of its product candidates,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its product candidates’ benefits and uses, if approved, by patients, the medical community and third-party payors;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its product candidates following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companies developing and commercializing other therapies in the indications which its product candidates target;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healthcare coverage and adequate reimbursement from third-party payors; and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Tectonic is not successful with respect to one or more of these factors in a timely manner or at all, it could experience significant delays or an inability to successfully commercialize TX45 or any future product candidates it develops, which would materially harm Tectonic’s business. If Tectonic does not receive marketing approvals for its current and future product candidates, Tectonic may not be able to continue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 of Tectonic’s product candidates are in discovery, preclinical or early clinical development. Clinical trials are difficult to design and implement, and they involve a lengthy and expensive process with uncertain outcomes. Tectonic may experience delays in completing, or ultimately be unable to complete, the development and commercialization of TX45 or any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is expensive and can take many years to complete, and its outcome is inherently uncertain. Failure can occur at any time during the clinical trial process and Tectonic’s future clinical trial results may not be successful. Tectonic cannot guarantee that any of its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To date, Tectonic has not completed any clinical trials required for the approval of any of its product candidates. Although Tectonic has recently commenced its Phase 1a clinical trial of TX45, in healthy volunteers, Tectonic may experience delays in its ongoing clinical trials or preclinical studies and Tectonic does not know whether planned clinical trials will begin on time, need to be redesigned, enroll patients on time, have sufficient drug supply for its product candidates on a timely basis or be completed on schedule, if at all. A failure of one or more clinical trials can occur at any stage of testing, and Tectonic’s ongoing and future clinical trials may not be successful. Tectonic also may experience numerous unforeseen events during its clinical trials that could delay or prevent its ability to receive marketing approval or commercialize TX45 or any future product candidates, including: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regulatory authorizations to commence a trial;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as to the design or implementation of its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reach agreement on acceptable terms with prospective contract research organizations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institutional review board (“IRB”) approval at each site;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recruit a sufficient number of suitable patients to participate in a trial;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have patients complete a trial or return for post-treatment follow-up;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adding new clinical trial sites;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sufficient quantities of its product candidates for use in clinical trials in a timely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occurrence of adverse events associated with the product candidate that are viewed to outweigh its potential benefits, such as complications with pharmacokinetic behaviors, or safety or tolerability concerns that could cause Tectonic or its collaborators, as applicable, to suspend or terminate a trial if Tectonic or its collaborators find that the participants are being exposed to unacceptable health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clinical trials in accordance with the FDA’s or any other regulatory authority’s good clinical practices (“GCP”) requirements, or regulatory guidelines in other countries;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policies and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of its third-party research contractors to comply with regulatory requirements or meet their contractual obligations to Tectonic in a timely manner, or at all;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establishing the appropriate dosage levels in clinical trials;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or stability of its product candidates falling below acceptable standards;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Tectonic could also encounter delays if a clinical trial is suspended or terminated by it,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its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Tectonic’s product candidates. Further, the FDA or comparable foreign regulatory authorities may disagree with Tectonic’s clinical trial design and its interpretation of data from clinical trials, or may change the requirements for approval even after they have reviewed and commented on the design for Tectonic’s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Tectonic’s product development costs will increase if it experiences delays in clinical testing or marketing approvals. Tectonic does not know whether any of its clinical trials will begin as planned, will need to be restructured or will be completed on schedule, or at all. Significant clinical trial delays also could shorten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periods during which Tectonic may have the exclusive right to commercialize its product candidates and may allow its competitors to bring products to market before Tectonic does, potentially impairing its ability to successfully commercialize its product candidates and harming Tectonic’s business and results of operations. Any delays in Tectonic’s clinical development programs may harm its business, financial condition and results of operations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clinical trials may fail to demonstrate substantial evidence of the safety, efficacy, purity and potency of its product candidates or any future product candidates, which would prevent or delay or limit the scope of regulatory approval and 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To obtain the requisite regulatory approvals to market and sell any of Tectonic’s product candidates, including TX45 and any other future product candidates, Tectonic must demonstrate through extensive preclinical studies and clinical trials that its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Tectonic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Tectonic, its collaborators or its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that Tectonic conducts may not demonstrate the efficacy and safety necessary to obtain regulatory approval to market its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Tectonic’s ongoing or future clinical trials are inconclusive with respect to the efficacy of its product candidates, if Tectonic does not meet the clinical endpoints with statistical and clinically meaningful significance, or if there are safety concerns associated with its product candidates, Tectonic may be delayed in obtaining marketing approval, if at all. Additionally, any safety concerns observed in any one of Tectonic’s clinical trials in its targeted indications could limit the prospects for regulatory approval of its product candidates in those and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Even if the trials are successfully completed, clinical data are often susceptible to varying interpretations and analyses or may not provide a sufficient risk-benefit ratio, and Tectonic cannot guarantee that the FDA or comparable foreign regulatory authorities will interpret the results as Tectonic does or find a risk-benefit ratio for a proposed indication acceptable, and more trials could be required before Tectonic submits its product candidates for approval. Tectonic cannot guarantee that the FDA or comparable foreign regulatory authorities will view its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Tectonic may be required to expend significant additional resources, which may not be available to it, to conduct additional trials in support of potential approval of its product candidates. Even if regulatory approval is secured for a product candidate, the terms of such approval may limit the scope and use of the specific product candidate, which may also limit its commercial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results of preclinical studies and early-stage clinical trials of Tectonic’s product candidates may not be predictive of the results of later-stage clinical trials. Initial success in Tectonic’s ongoing clinical trials may not be indicative of results obtained when these trials are completed or in later-stage trials.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nonclinical and preclinical studies and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Tectonic’s clinical trials will ultimately be successful or support further clinical development of any of its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Tectonic cannot be certain that it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Tectonic’s clinical development could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product candidates may be associated with serious adverse, undesirable or unacceptable side effects or other properties or safety risks, which may delay or halt their clinical development, or prevent marketing approval. If such side effects are identified during the development of its product candidates or following approval, Tectonic may suspend or abandon its development of such product candidates, the commercial profile of any approved label may be limited, or Tectonic may be subject to other significant negative consequences following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Undesirable side effects that may be caused by Tectonic’s product candidates could cause Tectonic or regulatory authorities to interrupt, delay or halt clinical trials and could result in a more restrictive label or the delay or denial of regulatory approval by the FDA or comparable foreign regulatory authorities. While Tectonic’s lead product candidate, TX45, has generally been well tolerated in its preclinical studies and the Phase 1 healthy volunteer trials to date, the results from future preclinical studies and clinical trials, including of Tectonic’s other product candidates, may identify safety concerns or other undesirable properties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Tectonic’s ongoing Phase 1 clinical trial of TX45, its planned Phase 2 clinical trials of TX45, and future clinical trials of these and other product candidates may show that its product candidates cause undesirable or unacceptable side effects or even death. In such an event, Tectonic’s trials could be suspended or terminated and the FDA or comparable foreign regulatory authorities could order it to cease further development of or deny approval of its product candidates for any or all targeted indications. The drug-related side effects could affect patient recruitment or the ability of enrolled patients to complete the trial or result in potential product liability claims. Any of these occurrences may harm Tectonic’s business, financial condition and results of operations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Moreover, if Tectonic’s product candidates are associated with undesirable side effects in preclinical studies or clinical trials or have characteristics that are unexpected, it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adverse developments in clinical trials of pharmaceutical and biopharmaceutical products conducted by others may cause the FDA or other regulatory oversight bodies to suspend or terminate Tectonic’s clinical trials or to change the requirements for approval of any of its product candidates. For example, immunogenicity is a concern for all protein therapeutics in human clinical trials, and immunogenic reactions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patients in Tectonic’s trials may lead to adverse effects and/or impact exposure, which in turn may lead to protocol amendments, clinical holds, or other actions that delay or significantly impact the prospects for Tectonic’s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any of Tectonic’s product candidates receives marketing approval and Tectonic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approvals of such product and require Tectonic to take such approved product off the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specific warnings, a contraindication or field alerts to physicians and pharmacies;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 medication guide outlining the risks of such side effects for distribution to patients, or that Tectonic implements a risk evaluation and mitigation strategy (“REMS”) plan to ensure that the benefits of the product outweigh its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required to change the way the product is administered, conduct additional clinical trials or change the labeling of the product;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subject to limitations on how it may promote the product;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subject to litigation or product liability claims; and </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75"/>
        <w:gridCol w:w="110"/>
        <w:gridCol w:w="60"/>
        <w:gridCol w:w="2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Tectonic, its collaborators or its potential future partners from achieving or maintaining market acceptance of the affected product or could substantially increase commercialization costs and expenses, which in turn could delay or prevent Tectonic from generating significant revenue from the sale of its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find it difficult to enroll patients in its clinical trials, which could delay or prevent Tectonic from proceeding with, or otherwise adversely affect, clinical trials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Tectonic’s product candidates is critical to its success. The timely completion of Tectonic’s clinical trials in accordance with their protocols depends, among other things, on its ability to recruit a sufficient number of eligible patients to participate and remain in the trial until its conclusion. Patients may be unwilling to participate in Tectonic’s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Tectonic’s product candidates, delays in testing the effectiveness of Tectonic’s product candidates or termination of the clinical trials altogether. Tectonic may not be able to identify, recruit and enroll a sufficient number of patients, or those with the required or desired characteristics, to complete its clinical trials in a timely manner. Patient enrollment and trial completion is affected by many factors, including the: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location of one of Tectonic’s expected trial sites in Moldova for the Phase 1b trial and its proximity to the conflict between Russia and the Ukraine;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and process for identifying patients;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for the trial;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 of the clinical trial;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safety profile, to date, of the product candidate under study;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Tectonic’s approach;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of competing product candidates currently under investigation for the treatment of similar diseases or conditions, or competing clinical trials for similar product candidates or targeting patient populations meeting Tectonic’s patient eligibility criteria;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degree of progression of the patient’s disease at the time of enrollment;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patient consent;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adequately monitor patients during and after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Tectonic’s clinical trials will compete with other clinical trials for product candidates that are in the same therapeutic areas as its product candidates, and this competition will reduce the number and types of patients available to Tectonic, because some patients who might have opted to enroll in its trials may instead opt to enroll in a trial being conducted by one of its competitors. Since the number of qualified clinical investigators is limited, Tectonic expects to conduct some of its clinical trials at the same clinical trial sites that some of its competitors use, which will reduce the number of patients who are available for its clinical trials in such clinical trial site. </w:t>
      </w:r>
    </w:p>
    <w:p>
      <w:pPr>
        <w:pStyle w:val="TextBody"/>
        <w:bidi w:val="0"/>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its future clinical trials, which could prevent completion of these trials and adversely affect Tectonic’s ability to advance the development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Tectonic’s clinical trials that Tectonic announces or publishes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Tectonic may publish interim, topline or preliminary data from its clinical trials. Preliminary and interim data from its clinical trials may change as more patient data become available. Preliminary or interim data from its clinical trials are not necessarily predictive of final results. Preliminary and interim data are subject to the risk that one or more of the clinical outcomes may materially change as patient enrollment continues, more patient data become available and Tectonic issues its final clinical trial report. Interim, topline and preliminary data also remain subject to audit and verification procedures that may result in the final data being materially different from the preliminary data Tectonic previously published. As a result, preliminary, topline and interim data should be viewed with caution until the final data are available. Material adverse changes in the final data compared to the interim data could significantly harm Tectonic’s business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Tectonic’s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Tectonic chooses to publicly disclose regarding a particular preclinical study or clinical trial is based on what is typically extensive information, and you or others may not agree with what Tectonic determines is the material or otherwise appropriate information to include in its disclosure, and any information Tectonic determines not to disclose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ultimately be deemed significant with respect to future decisions, conclusions, views, activities or otherwise regarding a particular product, if any, product candidate or its business. If the preliminary and interim data that Tectonic reports differ from actual results, or if others, including regulatory authorities, disagree with the conclusions reached, Tectonic’s ability to obtain approval for, and commercialize, its product candidates may be harmed, which could harm its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development is uncertain. Tectonic’s preclinical programs may experience delays or may never advance to clinical trials, which would adversely affect its ability to obtain regulatory approvals or commercialize these programs on a timely basis or at all, which would have an adverse effect on Tectonic’s business. </w:t>
      </w:r>
    </w:p>
    <w:p>
      <w:pPr>
        <w:pStyle w:val="TextBody"/>
        <w:bidi w:val="0"/>
        <w:spacing w:before="120" w:after="0"/>
        <w:jc w:val="left"/>
        <w:rPr>
          <w:rFonts w:ascii="Times New Roman" w:hAnsi="Times New Roman"/>
          <w:sz w:val="20"/>
        </w:rPr>
      </w:pPr>
      <w:r>
        <w:rPr>
          <w:rFonts w:ascii="Times New Roman" w:hAnsi="Times New Roman"/>
          <w:sz w:val="20"/>
        </w:rPr>
        <w:t xml:space="preserve">Before Tectonic can commence clinical trials for any product candidate, it must complete extensive preclinical studies that support any future Investigational New Drug (“IND”) applications in the United States, or similar applications in other jurisdictions. Tectonic has not interacted with or submitted any IND to the FDA and all of its clinical trials have, to date, been conducted in Australia. Conducting preclinical testing is a lengthy, time-consuming and expensive process and delays associated with product candidates for which Tectonic is directly conducting preclinical testing and studies may cause it to incur additional operating expenses. While Tectonic is currently conducting a Phase 1 clinical trial for TX45, and plans to initially conduct Phase 2 clinical trials for TX45, including some trials which may be outside of the United States, it cannot be certain of the timely completion or outcome of its preclinical testing and studies for its other product candidates and cannot predict if the FDA will accept Tectonic’s proposed clinical programs or if the outcome of its preclinical testing and foreign clinical trials will ultimately support the further development of its other product candidates. As a result, Tectonic cannot be sure that it will be able to submit INDs or similar applications for its preclinical programs on the timelines Tectonic expect, if at all, and Tectonic cannot be sure that submission of INDs or similar applications will result in the FDA or comparable foreign regulatory authorities allowing clinical trials to begin.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regulatory approval processes of the FDA and comparable foreign regulatory authorities are lengthy, time consuming and inherently unpredictable, and if Tectonic is ultimately unable to obtain regulatory approval for its product candidates, its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Tectonic has not obtained regulatory approval for any product candidate and it is possible that none of its existing product candidates or any product candidates Tectonic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Tectonic’s product candidates could fail to receive regulatory approval for many reasons, including the following: </w:t>
      </w:r>
    </w:p>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its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unable to demonstrate to the satisfaction of the FDA or comparable foreign regulatory authorities that a product candidate is safe, pure and potent for its proposed 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may not be sufficiently broad or representative to assure safety or efficacy in the population for which Tectonic seeks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clinical significance required by the FDA or comparable foreign regulatory authorities for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unable to demonstrate that a product candidate’s clinical and other benefits outweigh its safety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its interpretation of data from preclinical studies or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require additional preclinical studies or clinical trials beyond those that Tectonic currently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Tectonic’s product candidates may not be sufficient to support the submission of a Biologics License Application (“BLA”) as applicable, to the FDA or other submission or to obtain regulatory approval in the United States or elsewhere;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Tectonic contracts for clinical and commercial supplies;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any comparable foreign regulatory authorities or the laws they enforce may significantly change in a manner rendering Tectonic’s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lengthy approval process as well as the unpredictability of future clinical trial results may result in Tectonic’s failing to obtain regulatory approval to market any of its product candidates, which would significantly harm Tectonic’s business, financial condition and results of operations. The FDA and comparable foreign regulatory authorities have substantial discretion in the approval process, and determining when or whether regulatory approval will be obtained for any of its product candidates. Even if Tectonic believes the data collected from clinical trials of its product candidates are promising, such data may not be sufficient to support approval by the FDA or comparable foreign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Tectonic were to obtain approval, regulatory authorities may approve any of its product candidates for fewer or more limited indications than Tectonic requests, may not approve the price Tectonic intends to charge for its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Tectonic’s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any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Tectonic is presently conducting clinical development solely in Australia and will likely choose to conduct additional international clinical trials in the future. Tectonic has not interacted with or submitted any IND to the FDA.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Tectonic’s business plan, and which may result in its product candidates not receiving approval for commercialization in the applicable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Even if Tectonic receives regulatory approval of a product candidate, Tectonic will be subject to ongoing regulatory obligations and continued regulatory review, which may result in significant additional expense and Tectonic may be subject to penalties if it fails to comply with regulatory requirements or experience unanticipated problems with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any of Tectonic’s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Tectonic will be subject to continued compliance with current Good Manufacturing Practices (“cGMPs”) and GCP requirements for any clinical trials that it conducts post-approval.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Tectonic and its contract manufacturers will be subject to continual review and inspections to assess compliance with cGMP and adherence to commitments made in any BLA, other marketing application, and previous responses to inspection observations. Accordingly, Tectonic and others with whom it works must continue to expend time, money, and effort in all areas of regulatory compliance, including manufacturing, production and 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Any regulatory approvals that Tectonic receives for its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Tectonic’s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Tectonic’s product candidates, Tectonic will have to comply with requirements including submissions of safety and other post-marketing information and reports 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The FDA may impose consent decrees or withdraw approval if compliance with regulatory requirements and standards is not maintained or if problems occur after the product reaches the market. Later discovery of previously unknown problems with Tectonic’s product candidates, including adverse events of unanticipated severity or frequency, or with its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Tectonic’s products, withdrawal of the product from the market or voluntary or mandatory product recalls;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Tectonic or suspension or revocation of license approvals;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Tectonic’s product candidates;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Products may be promoted only for the approved indications and in accordance with the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Tectonic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 BLA must submit new or supplemental applications and obtain approval for certain changes to the approved product, product labeling, or manufacturing process. Tectonic could also be asked to conduct post-marketing clinical trials to verify the safety and efficacy of its products in general or in specific patient subsets. If original marketing approval was obtained via the accelerated approval pathway, Tectonic could be required to conduct a successful post-marketing clinical trial to confirm clinical benefit for its products. An unsuccessful post-marketing study or failure to complete such a study could result in the withdrawal of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the FDA and of comparable foreign regulatory authorities may change and additional government regulations may be enacted that could prevent, limit or delay regulatory approval of Tectonic’s product candidates. Tectonic cannot predict the likelihood, nature or extent of government regulation that may arise from future legislation or administrative action, either in the United States or abroad. If Tectonic is slow or unable to adapt to changes in existing requirements or the adoption of new requirements or policies, or if Tectonic is not able to maintain regulatory compliance, it may lose any marketing approval that Tectonic may have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approved, Tectonic’s investigational products may face competition from biosimilars approved through an abbreviated regulatory pathway. </w:t>
      </w:r>
    </w:p>
    <w:p>
      <w:pPr>
        <w:pStyle w:val="TextBody"/>
        <w:bidi w:val="0"/>
        <w:spacing w:before="120" w:after="0"/>
        <w:jc w:val="left"/>
        <w:rPr>
          <w:rFonts w:ascii="Times New Roman" w:hAnsi="Times New Roman"/>
          <w:sz w:val="20"/>
        </w:rPr>
      </w:pPr>
      <w:r>
        <w:rPr>
          <w:rFonts w:ascii="Times New Roman" w:hAnsi="Times New Roman"/>
          <w:sz w:val="20"/>
        </w:rPr>
        <w:t xml:space="preserve">Tectonic is developing TX45 initially for the treatment of Group 2 Pulmonary Hypertension (“PH”), which it anticipates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240" w:after="0"/>
        <w:jc w:val="left"/>
        <w:rPr>
          <w:rFonts w:ascii="Times New Roman" w:hAnsi="Times New Roman"/>
          <w:sz w:val="20"/>
        </w:rPr>
      </w:pPr>
      <w:r>
        <w:rPr>
          <w:rFonts w:ascii="Times New Roman" w:hAnsi="Times New Roman"/>
          <w:sz w:val="20"/>
        </w:rPr>
        <w:t xml:space="preserve">Tectonic believes that any of its product candidates approved as a biological product under a BLA should qualify for the 12-year period of exclusivity. However, there is a risk that this exclusivity could be shortened due to congressional action or otherwise, or that the FDA will not consider Tectonic’s investigational medicines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Tectonic’s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0"/>
        <w:jc w:val="left"/>
        <w:rPr>
          <w:rFonts w:ascii="Times New Roman" w:hAnsi="Times New Roman"/>
          <w:sz w:val="20"/>
        </w:rPr>
      </w:pPr>
      <w:r>
        <w:rPr>
          <w:rFonts w:ascii="Times New Roman" w:hAnsi="Times New Roman"/>
          <w:sz w:val="20"/>
        </w:rPr>
        <w:t xml:space="preserve">If competitors are able to obtain marketing approval for biosimilars referencing Tectonic’s products, its products may become subject to competition from such biosimilars, with the attendant competitive pressure and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become exposed to costly and damaging liability claims, either when testing its product candidates in the clinic or at the commercial stage, and Tectonic’s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Tectonic is exposed to potential product liability and professional indemnity risks that are inherent in the research, development, manufacturing, marketing and use of biotechnology products. Currently, Tectonic has no products that have been approved for commercial sale; however, the current and future use of product candidates by Tectonic and its collaborators in clinical trials, and the potential sale of any approved products in the future, may expose Tectonic to liability claims. These claims might be made by patients who use the product, healthcare providers, pharmaceutical companies, its collaborators or others selling such products. Any claims against Tectonic, regardless of their merit, could be difficult and costly to defend and could materially adversely affect the market for its product candidates or any prospects for commercialization of its product candidates. Although the clinical trial process is designed to identify and assess potential side effects, it is always possible that a product, even after regulatory approval, may exhibit unforeseen side effects. If any of Tectonic’s product candidates were to cause adverse side effects during clinical trials or after approval of the product candidate, it may be exposed to substantial liabilities. Physicians and patients may not comply with any warnings that identify known potential adverse effects and patients who should not use its product candidates. Regardless of the merits or eventual outcome, liability claims may result in: </w:t>
      </w:r>
    </w:p>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Tectonic’s products due to negative public perception;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injury to Tectonic’s reputation;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or difficulties in recruiting new trial participants;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or settle the related litigation;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Tectonic’s resources;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revenues from product sales; and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of Tectonic’s product candidates, if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Tectonic believes it maintains adequate product liability insurance for its product candidates, it is possible that its liabilities could exceed its insurance coverage. Tectonic intends to expand its insurance coverage to include the sale of commercial products if Tectonic obtains marketing approval for any of its product candidates. However, Tectonic may not be able to maintain insurance coverage at a reasonable cost or obtain insurance coverage that will be adequate to satisfy any liability that may arise. If a successful product liability claim or series of claims is brought against Tectonic for uninsured liabilities or in excess of insured liabilities, its assets may not be sufficient to cover such claims and its business operations could be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Should any of the events described above occur, this could have a material adverse effect on Tectonic’s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Tectonic’s limited resources and access to capital, Tectonic must, and has in the past decided to, prioritize development of certain product candidates over other potential product candidates. These decisions may prove to have been wrong and may adversely affect Tectonic’s ability to develop its own programs, its attractiveness as a commercial partner and may ultimately have an impact on its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Tectonic has limited resources and access to capital to fund its operations, it must decide which product candidates to pursue and the amount of resources to allocate to each. Tectonic’s decisions concerning the allocation of research, collaboration, management and financial resources toward particular proprietary molecules in its library, product candidates or therapeutic areas may not lead to the development of viable commercial products and may divert resources away from better opportunities. Similarly, Tectonic’s decisions to delay, terminate or collaborate with third parties in respect of certain product development programs may also prove not to be optimal and could cause Tectonic to miss valuable opportunities. If Tectonic makes incorrect determinations regarding the market potential of its product candidates or misread trends in the biotechnology industry, in particular for its lead product candidate, TX45, Tectonic’s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seek orphan drug designation for product candidates it develops, and Tectonic may be unsuccessful or may be unable to maintain the benefits associated with orphan drug designation, including the potential for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part of Tectonic’s business strategy, it may seek orphan drug designation for any product candidates it develops, and it may be unsuccessful. While Tectonic has not made a determination regarding whether Tectonic intends to seek orphan drug designation for any of its product candidates at this time, Tectonic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240" w:after="0"/>
        <w:jc w:val="left"/>
        <w:rPr>
          <w:rFonts w:ascii="Times New Roman" w:hAnsi="Times New Roman"/>
          <w:sz w:val="20"/>
        </w:rPr>
      </w:pPr>
      <w:r>
        <w:rPr>
          <w:rFonts w:ascii="Times New Roman" w:hAnsi="Times New Roman"/>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Even if Tectonic obtains orphan drug exclusivity for any of its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Tectonic may seek orphan drug designation for applicable indications for its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future product candidates, Tectonic may never receive such designations. Even if Tectonic does receive such designations, there is no guarantee that Tectonic will enjoy the benefits of those designations.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of Tectonic’s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Tectonic is unable to successfully commercialize any product candidate for which Tectonic receives regulatory approval, or experience significant delays in doing so, its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If Tectonic is successful in obtaining marketing approval from applicable regulatory authorities for TX45 or any other product candidate, its ability to generate revenues from any such products will depend on its success in: </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such products, whether alone or in collaboration with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approved labels with claims that are necessary or desirable for successful marketing, and that do not contain safety or other limitations that would impede Tectonic’s ability to market such products;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creating market demand for such products through marketing, sales and promotion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hiring, training, and deploying a sales force or contracting with third parties to commercialize such products in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creating strategic collaborations with, or offering licenses to, third parties to promote and sell such products in foreign markets where Tectonic receives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such products (i) in sufficient quantities, (ii) at acceptable quality and cost and (iii) in a presentation that is practical and compatible with the intended clinical use to meet commercial demand at launch and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agreements with wholesalers, distributors, and group purchasing organizations on commercially reasonable terms;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patent and trade secret protection and regulatory exclusivity for such products;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market acceptance of such products by patients, the medical community, and third-party payors;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coverage and adequate reimbursement from third-party payors for such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in the absence of such coverage and adequate reimbursement from third-party payors;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and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such products following launch.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Tectonic is not able to do any of the foregoing, its business, financial condition, results of operations, stock price and prospects will be materially harmed.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Tectonic faces significant competition from other biotechnology and pharmaceutical companies, and its operating results will suffer if Tectonic fails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characterized by intense competition and rapid innovation. Tectonic’s competitors may be able to develop other compounds or drugs that are able to achieve similar or better results. Tectonic’s potential competitors include major multinational pharmaceutical companies, established biotechnology companies, specialty pharmaceutical companies and universities and other research institutions. Many of its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Tectonic’s product candidates are also focused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treating. Established pharmaceutical companies may also invest heavily to accelerate discovery and development of novel therapeutics or to in-license novel therapeutics that could make the product candidates that Tectonic develops obsolete. Mergers and acquisitions in the biotechnology and pharmaceutical industries may result in even more resources being concentrated in Tectonic’s competitors. Competition may increase further as a result of advances in the commercial applicability of technologies and greater availability of capital for investment in these industries. Tectonic’s competitors, either alone or with collaborative partners, may succeed in developing, acquiring or licensing on an exclusive basis drug or biologic products that are more effective, safer, more easily commercialized or less costly than its product candidates or may develop proprietary technologies or secure patent protection that Tectonic may need for the development of its technologies and products. Tectonic believes the key competitive factors that will affect the development and commercial success of its product candidates are efficacy, safety, tolerability, reliability, convenience of use, price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Tectonic competes in the segments of the biotechnology, pharmaceutical and other related industries that develop and market therapies for the treatment of Group 2 PH and HHT disorders. Although there are no other companies who have commercialized therapies for the same therapeutic areas that Tectonic’s product candidates target, there are many other companies, including large biotechnology and pharmaceutical companies, that are developing therapies for the same therapeutic areas. For example, AstraZeneca for the treatment of Group 2 PH and Vaderis for the treatment of HHT. Also, treatments that could potentially be of use across all HFpEF patients, such as are currently being developed by Lilly and others, could also benefit the Group 2 PH subgroup of the HFpEF population and thus represent competition for Tectonic in this segment as well. </w:t>
      </w:r>
    </w:p>
    <w:p>
      <w:pPr>
        <w:pStyle w:val="TextBody"/>
        <w:bidi w:val="0"/>
        <w:spacing w:before="240" w:after="0"/>
        <w:jc w:val="left"/>
        <w:rPr>
          <w:rFonts w:ascii="Times New Roman" w:hAnsi="Times New Roman"/>
          <w:sz w:val="20"/>
        </w:rPr>
      </w:pPr>
      <w:r>
        <w:rPr>
          <w:rFonts w:ascii="Times New Roman" w:hAnsi="Times New Roman"/>
          <w:sz w:val="20"/>
        </w:rPr>
        <w:t xml:space="preserve">Tectonic anticipates that it will continue to face intense and increasing competition as new treatments enter the market and advanced technologies become available. There can be no assurance that Tectonic’s competitors are not currently developing, or will not in the future develop, products that are equally or more effective or are more economically attractive than any of its current or future product candidates. Competing products may gain faster or greater market acceptance than Tectonic’s products, if any, and medical advances or rapid technological development by competitors may result in its product candidates becoming non-competitive or obsolete before Tectonic is able to recover its research and development and commercialization expenses. If Tectonic or its product candidates do not compete effectively, it may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does not have a sales or marketing infrastructure and has no experience in the sale or marketing of biotechnology products. To achieve commercial success for any approved product, Tectonic must develop or acquire a sales and marketing organization, outsource these functions to third parties or enter into strategic collaborations. </w:t>
      </w:r>
    </w:p>
    <w:p>
      <w:pPr>
        <w:pStyle w:val="TextBody"/>
        <w:bidi w:val="0"/>
        <w:spacing w:before="120" w:after="0"/>
        <w:jc w:val="left"/>
        <w:rPr>
          <w:rFonts w:ascii="Times New Roman" w:hAnsi="Times New Roman"/>
          <w:sz w:val="20"/>
        </w:rPr>
      </w:pPr>
      <w:r>
        <w:rPr>
          <w:rFonts w:ascii="Times New Roman" w:hAnsi="Times New Roman"/>
          <w:sz w:val="20"/>
        </w:rPr>
        <w:t xml:space="preserve">Tectonic may decide to establish its own sales and marketing capabilities and promote its product candidates if and when regulatory approval has been obtained in the United States or in other jurisdictions. There are risks involved if Tectonic decides to establish its own sales and marketing capabilities or enter into arrangements with third parties to perform these services. Even if Tectonic establishes sales and marketing capabilities, Tectonic may fail to launch its products effectively or to market its products effectively since Tectonic has no experience in the sales and marketing of biotechnology products. In addition, recruiting and training a sales force is expensive and time consuming and could delay any product launch. In the event that any such launch is delayed or does not occur for any reason, Tectonic would have prematurely or unnecessarily incurred these commercialization expenses, and its investment would be lost if Tectonic cannot retain or reposition its sales and marketing personnel. Factors that may inhibit Tectonic’s efforts to commercialize its products on its own include: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inability to recruit, train and retain adequate numbers of effective sales and marketing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or educate adequate numbers of physicians on the benefits of its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Tectonic at a competitive disadvantage relative to companies with more extensive product lines;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and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marketing and promotion above those anticipated by Tectonic.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Tectonic enters into arrangements with third parties to perform sales and marketing services, its product revenues or the profitability of these product revenues to Tectonic could be lower than if it were to market and sell any products that it develops itself. Such collaborative arrangements with partners may place the commercialization of Tectonic’s products outside of its control and would make Tectonic subject to a number of risks including that Tectonic may not be able to control the amount or timing of resources that its collaborative partner devotes to Tectonic’s products or that Tectonic’s collaborator’s willingness or ability to complete its obligations, and Tectonic’s obligations under Tectonic’s arrangements may be adversely affected by business combinations or significant changes in Tectonic’s collaborator’s business strategy. In addition, Tectonic may not be successful in entering into arrangements with third parties to sell and market its products or may be unable to do so on terms that are favorable to Tectonic. Acceptable third parties may fail to devote the necessary resources and attention to sell and market Tectonic’s products effectively. </w:t>
      </w:r>
    </w:p>
    <w:p>
      <w:pPr>
        <w:pStyle w:val="TextBody"/>
        <w:bidi w:val="0"/>
        <w:spacing w:before="240" w:after="0"/>
        <w:jc w:val="left"/>
        <w:rPr>
          <w:rFonts w:ascii="Times New Roman" w:hAnsi="Times New Roman"/>
          <w:sz w:val="20"/>
        </w:rPr>
      </w:pPr>
      <w:r>
        <w:rPr>
          <w:rFonts w:ascii="Times New Roman" w:hAnsi="Times New Roman"/>
          <w:sz w:val="20"/>
        </w:rPr>
        <w:t xml:space="preserve">If Tectonic does not establish sales and marketing capabilities successfully, either on its own or in collaboration with third parties, Tectonic may not be successful in commercializing its products, if any, which in turn would have a material adverse effect on Tectonic’s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 product candidate Tectonic develops receives marketing approval, it may fail to achieve the degree of market acceptance by physicians, patients, third-party payors and others in the medical community necessary for commercial success. The revenues that Tectonic generates from their sales may be limited, and Tectonic may never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Tectonic has never commercialized a product candidate for any indication. Even if Tectonic’s product candidates are approved by the appropriate regulatory authorities for marketing and sale, they may not gain acceptance among physicians, patients, third-party payors and others in the medical community. If any product candidates for which Tectonic obtains regulatory approval does not gain an adequate level of market acceptance, Tectonic could be prevented from or significantly delayed in achieving profitability. Market acceptance of its product candidates by the medical community, patients and third-party payors will depend on a number of factors, some of which are beyond its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Efforts to educate the medical community and third-party payors on the benefits of its product candidates may require significant resources and may not be successful. If any of Tectonic’s product candidates are approved but do not achieve an adequate level of market acceptance, Tectonic could be prevented from or significantly delayed in achieving profitability. The degree of market acceptance of any product for which Tectonic receives marketing approval will depend on a number of factors, including: </w:t>
      </w:r>
    </w:p>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0"/>
        <w:gridCol w:w="6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Tectonic’s product candidates are approved;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Tectonic’s product candidates as a safe and effective treatment;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its product candidates over alternative treatments;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comparable foreign regulatory authorities;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or comparable foreign regulatory authorities;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Tectonic’s product candidates in relation to other potentially competitive products;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Tectonic’s product candidates in relation to alternative treatments;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Tectonic’s product candidates;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from third-party payors and government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administration, including as compared to alternative treatments and competitive therapies;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Tectonic’s sales and marketing efforts and distribution support; and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presence or perceived risk of potential product liability claims.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may negatively impact Tectonic’s ability to profitably sell TX45 and any potential future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Tectonic’s ability to profitably sell any product for which it obtains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Tectonic’s business. For example, the Tax Cuts and Jobs Act, repealed the tax-based shared responsibility payment imposed by the ACA on certain individuals who fail to maintain qualifying health coverage that is commonly referred to as the “individual mandate.” On June 17, 2021, the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0"/>
        <w:jc w:val="left"/>
        <w:rPr>
          <w:rFonts w:ascii="Times New Roman" w:hAnsi="Times New Roman"/>
          <w:sz w:val="20"/>
        </w:rPr>
      </w:pPr>
      <w:r>
        <w:rPr>
          <w:rFonts w:ascii="Times New Roman" w:hAnsi="Times New Roman"/>
          <w:sz w:val="20"/>
        </w:rPr>
        <w:t xml:space="preserve">Further,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on August 16, 2022, President Biden signed the Inflation Reduction Act (the “IRA”), into law, which among other things, (1) directs the Department of Health and Human Services (the “HHS”), to negotiate the price of certain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Tectonic’s interest in pursuing orphan drug designation for its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take effect progressively starting in fiscal year 2023. On August 29, 2023, HHS announced the list of the first ten drugs that will be subject to price negotiations, although the Medicare drug pricing negotiation program is currently subject to legal challenges. The IRA permits HHS to implement many of these provisions through guidance, as opposed to regulation, for the initial years. HHS has and will continue to issue and update guidance as these programs are implemented. It is currently unclear how the IRA will be implemented but is likely to have a significant impact on the pharmaceutical industry.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TX45 and any potential future product candidates, which would adversely affect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Tectonic expects that the healthcare reform measures that have been adopted and may be adopted in the future may result in more rigorous coverage criteria and additional downward pressure on the price that it receives for any approved product and could seriously harm its future revenues. Any reduction in reimbursement from Medicare or other government programs may result in a similar reduction in payments from private payors. The implementation of cost containment measures or other healthcare reforms may prevent Tectonic from being able to generate revenue, attain profitability or commercialize its products.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TX45 and any potential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product candidates that Tectonic may successfully develop and for which it may obtain regulatory approval and may affect its overall financial condition and ability to develop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Tectonic expects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Tectonic’s products may be subject to favorable pricing and reimbursement status only in certain EU countries. If Tectonic is unable to maintain favorable pricing and reimbursement status in EU member states that represent significant markets, including following periodic review, its anticipated revenue from and growth prospects for its products in the EU could be negatively affected. Moreover, in order to obtain reimbursement for its products in some EU member states, Tectonic may be required to compile additional data comparing the cost-effectiveness of its products to other available therapies. Efforts to generate additional data for the HTA process will involve additional expenses which may substantially increase the cost of commercializing and marketing Tectonic’s products in certain EU member states. </w:t>
      </w:r>
    </w:p>
    <w:p>
      <w:pPr>
        <w:pStyle w:val="TextBody"/>
        <w:bidi w:val="0"/>
        <w:spacing w:before="240" w:after="0"/>
        <w:jc w:val="left"/>
        <w:rPr>
          <w:rFonts w:ascii="Times New Roman" w:hAnsi="Times New Roman"/>
          <w:sz w:val="20"/>
        </w:rPr>
      </w:pPr>
      <w:r>
        <w:rPr>
          <w:rFonts w:ascii="Times New Roman" w:hAnsi="Times New Roman"/>
          <w:sz w:val="20"/>
        </w:rPr>
        <w:t xml:space="preserve">Tectonic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240" w:after="0"/>
        <w:jc w:val="left"/>
        <w:rPr>
          <w:rFonts w:ascii="Times New Roman" w:hAnsi="Times New Roman"/>
          <w:sz w:val="20"/>
        </w:rPr>
      </w:pPr>
      <w:r>
        <w:rPr>
          <w:rFonts w:ascii="Times New Roman" w:hAnsi="Times New Roman"/>
          <w:sz w:val="20"/>
        </w:rPr>
        <w:t xml:space="preserve">If Tectonic or any third parties it may engage are slow or unable to adapt to changes in existing requirements or the adoption of new requirements or policies, or if Tectonic or such third parties are not able to maintain regulatory compliance, its product candidates may lose any regulatory approval that may have been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Tectonic’s business may rely, which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Tectonic’s operations may rely, including those that fund research and development activities, is subject to the political process, which is inherently fluid and unpredictable.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Disruptions at the FDA and other agencies may also slow the time necessary for new product candidates to be reviewed and/or approved by necessary government agencies, which would adversely affect Tectonic’s business. If a prolonged government shutdown occurs, it could significantly impact the ability of the FDA to timely review and process Tectonic’s regulatory submissions, which could have a material adverse effect on its business. Further, future government shutdowns could impact Tectonic’s ability to access the public markets and obtain necessary capital in order to properly capitalize and continue its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relationships with healthcare providers, customers and third-party payors will be subject to applicable anti-kickback, fraud and abuse, transparency and other healthcare laws and regulations, which, if violated, could expose it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will play a primary role in the recommendation and prescription of any product candidates for which Tectonic or its partner obtains marketing approval. Tectonic’s arrangements with healthcare providers, third-party payors and customers may expose it to broadly applicable fraud and abuse and other healthcare laws and regulations that may constrain the business or financial arrangements and relationships through which it researches, markets, sells and distributes its products for which Tectonic or its partner obtain marketing approval. Restrictions under applicable federal and state healthcare laws and regulations,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Tectonic’s business arrangements with third parties will comply with applicable healthcare laws and regulations will involve substantial costs. It is possible that governmental authorities will conclude that Tectonic’s business practices may not comply with current or future statutes, regulations or case law interpreting applicable fraud and abuse or other healthcare laws and regulations. If Tectonic’s operations are found to be in violation of any of these laws or any other governmental regulations that may apply to it, Tectonic may be subject to significant civil, criminal and administrative penalties, damages, fines, additional regulatory oversight, litigation, imprisonment, exclusion from government funded healthcare programs, such as Medicare and Medicaid, and the curtailment or restructuring of its operations. If any of the physicians or other healthcare providers or entities with whom Tectonic expects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Tectonic’s business could be materially and adversely affected in the future by political unrest in China, as well as the effects of disease outbreaks, epidemics and pandemics. </w:t>
      </w:r>
    </w:p>
    <w:p>
      <w:pPr>
        <w:pStyle w:val="TextBody"/>
        <w:bidi w:val="0"/>
        <w:spacing w:before="120" w:after="0"/>
        <w:jc w:val="left"/>
        <w:rPr>
          <w:rFonts w:ascii="Times New Roman" w:hAnsi="Times New Roman"/>
          <w:sz w:val="20"/>
        </w:rPr>
      </w:pPr>
      <w:r>
        <w:rPr>
          <w:rFonts w:ascii="Times New Roman" w:hAnsi="Times New Roman"/>
          <w:sz w:val="20"/>
        </w:rPr>
        <w:t xml:space="preserve">Disease outbreaks, epidemics and pandemics in regions where Tectonic may have clinical trial sites or other business operations could adversely affect its business, including by causing significant disruptions in its operations and/or in the operations of third-party manufacturers and CROs upon whom it relies. Disease outbreaks, epidemics and pandemics have negative impacts on its ability to initiate new clinical trial sites, to enroll new patients and to maintain existing patients who are participating in its clinical trials, which may include increased clinical trial costs, longer timelines and delay in Tectonic’s ability to obtain regulatory approvals of TX45 and 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Tectonic’s key manufacturer and supplier is located in China, Tectonic is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Tectonic’s components may in the future be subject to these tariffs, which could increase its manufacturing costs and could make its products, if successfully developed and approved, less competitive than those of Tectonic’s competitors whose inputs are not subject to these tariffs. Tectonic may otherwise experience supply disruptions or delays, and although it carefully manages its inventory and lead-times, Tectonic’s supplier may not continue to provide it with battery components in its required quantities, to its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Tectonic’s ability to work with such entities, thereby potentially disrupting the supply of material to Tectonic.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biotechnology companies, and would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of Tectonic’s product candidates and Tectonic’s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supply chain issues may be exacerbated during disease outbreaks, epidemics and pandemics and may also impact the ability of Tectonic’s clinical trial sites to obtain basic medical supplies used in its trials in a timely fashion, if at all. </w:t>
      </w:r>
    </w:p>
    <w:p>
      <w:pPr>
        <w:pStyle w:val="TextBody"/>
        <w:bidi w:val="0"/>
        <w:spacing w:before="120" w:after="0"/>
        <w:jc w:val="left"/>
        <w:rPr>
          <w:rFonts w:ascii="Times New Roman" w:hAnsi="Times New Roman"/>
          <w:sz w:val="20"/>
        </w:rPr>
      </w:pPr>
      <w:r>
        <w:rPr>
          <w:rFonts w:ascii="Times New Roman" w:hAnsi="Times New Roman"/>
          <w:sz w:val="20"/>
        </w:rPr>
        <w:t xml:space="preserve">If Tectonic’s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its clinical trials could adversely affect its ability to conduct ongoing and future clinical trials of TX45 on Tectonic’s anticipated development timelines. Likewise, the operations of Tectonic’s third-party manufacturers may be requisitioned, diverted or allocated by U.S. or foreign government orders. If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Tectonic’s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Tectonic’s clinical trials, perhaps substantially, which could materially and adversely affect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estimates of market opportunity and forecasts of market growth may prove to be inaccurate, and even if the markets in which Tectonic compete achieve the forecasted growth, its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Tectonic’s market opportunity estimates and growth forecasts are subject to significant uncertainty and are based on assumptions and estimates which may not prove to be accurate. Its estimates and forecasts relating to size and expected growth of its target market may prove to be inaccurate. Even if the markets in which Tectonic competes meet its size estimates and growth forecasts, its business may not grow at similar rates, or at all. Tectonic’s growth is subject to many factors, including its success in implementing its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Tectonic’s revenue will be dependent, in part, upon the size of the markets in the territories for which Tectonic gains regulatory approval, the accepted price for the product, the ability to obtain coverage and reimbursement, the ability to gain market share and whether Tectonic owns the commercial rights for that territory. If the number of its addressable patients is not as significant as Tectonic estimates, the indication approved by regulatory authorities is narrower than Tectonic expects or the treatment population is narrowed by competition, physician choice or treatment guidelines, Tectonic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Tectonic obtains approval to market TX45 or other potential future product candidates, these products may become subject to unfavorable pricing regulations, reimbursement practices from third-party payors or healthcare reform initiatives in the United States and abroad, which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Tectonic’s products should be based on prices of other commercially available drugs for the same disease, rather than allowing it to market its products at a premium as new drugs. As a result, Tectonic might obtain marketing approval for a product in a particular country, but then be subject to price regulations that delay or limit its commercial launch of the product, possibly for lengthy time periods, which could negatively impact the revenue it generates from the sale of the product in that particular country. In some foreign markets, prescription pharmaceutical pricing remains subject to continuing governmental control even after initial approval is granted. Adverse pricing limitations may hinder Tectonic’s ability to recoup its investment in one or more product candidates, even if Tectonic’s product candidates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Tectonic’s commercial success also depends on coverage and adequate reimbursement of its product candidates by third-party payors, including government payors, private health insurers, health maintenance organizations and other organizations, which may be difficult or time-consuming to obtain, may be limited in scope and may not be obtained in all jurisdictions in which it may seek to market its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Tectonic cannot be sure that coverage and reimbursement will be available for any product that it or its partners commercialize and, if reimbursement is available, what the level of reimbursement will be. Coverage and reimbursement may impact the demand for, or the price of, any product candidate for which Tectonic or its partners obtain regulatory approval. If coverage and reimbursement are not available or reimbursement is available only to limited levels, it and its partners may not be able to successfully commercialize any product candidate for which marketing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Tectonic’s costs, including costs of research, development, manufacture, sale and distribution. Interim reimbursement levels for new drugs, if applicable, may also not be sufficient to cover Tectonic’s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Tectonic’s inability to promptly obtain coverage and profitable reimbursement rates from both government-funded and private payors for any approved products that it develops could have a material adverse effect on its operating results, ability to raise capital needed to commercialize products and overall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Tectonic’s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Tectonic’s success depends in part on its ability to protect its intellectual property. It is difficult and costly to protect its proprietary rights and technology, and Tectonic may not be able to ensure their protection. </w:t>
      </w:r>
    </w:p>
    <w:p>
      <w:pPr>
        <w:pStyle w:val="TextBody"/>
        <w:bidi w:val="0"/>
        <w:spacing w:before="120" w:after="0"/>
        <w:jc w:val="left"/>
        <w:rPr>
          <w:rFonts w:ascii="Times New Roman" w:hAnsi="Times New Roman"/>
          <w:sz w:val="20"/>
        </w:rPr>
      </w:pPr>
      <w:r>
        <w:rPr>
          <w:rFonts w:ascii="Times New Roman" w:hAnsi="Times New Roman"/>
          <w:sz w:val="20"/>
        </w:rPr>
        <w:t xml:space="preserve">Tectonic’s commercial success will depend in large part on obtaining and maintaining patent, trademark and trade secret protection of its proprietary technologies and its product candidates, their respective components, formulations, combination therapies, methods used to manufacture them and methods of treatment, as well as successfully defending these patents against third-party challenges. Tectonic’s ability to stop unauthorized third parties from making, using, selling, offering to sell or importing its product candidates is dependent upon the extent to which Tectonic has rights under valid and enforceable patents that cover these activities. If Tectonic is unable to secure and maintain patent protection for any product or technology it develops, or if the scope of the patent protection secured is not sufficiently broad, its competitors could develop and commercialize products and technology similar or identical to Tectonic’s, and its ability to commercialize any product candidates Tectonic may develop may be adversely affected. The patenting process is expensive and time-consuming, and Tectonic may not be able to file, prosecute and maintain all necessary or desirable patent applications at a reasonable cost or in a timely manner. In addition, Tectonic may not pursue, obtain or maintain patent protection in all relevant markets. It is also possible that Tectonic will fail to identify patentable aspects of its research and development output before it is too late to obtain patent protection. Moreover, in some circumstances, Tectonic may not have the right to control the preparation, filing and prosecution of patent applications, or to maintain the patents, covering technology that it licenses from or licenses to third parties and is reliant on its licensors or licensees. Therefore, these patents and applications may not be prosecuted and enforced in a manner consistent with the best interests of Tectonic’s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strength of patents in the biotechnology field involves complex legal and scientific questions and can be uncertain. The patent applications that Tectonic owns or in-licenses may fail to result in issued patents with claims that cover its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Tectonic’s patents and patent applications may not adequately protect its intellectual property or prevent others from designing around its claims. If the breadth or strength of protection provided by the patent applications Tectonic holds with respect to its product candidates is threatened, it could dissuade companies from collaborating with Tectonic to develop, and threaten its ability to commercialize, its product candidates. Further, if Tectonic encounters delays in its clinical trials, the period of time during which Tectonic could market its product candidates under patent protection would be reduced. Since patent applications in the United States and most other countries are confidential for a period of time after filing, Tectonic cannot be certain that it was the first to file any patent application related to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Tectonic may be required to disclaim part or all of the term of certain patents or all of the term of certain patent applications. There may be prior art of which Tectonic is not aware that may affect the validity or enforceability of a patent claim, and Tectonic may be subject to a third-party preissuance submission of prior art to the USPTO. There also may be prior art of which Tectonic is aware, but which it does not believe affects the validity or enforceability of a claim, which may, nonetheless, ultimately be found to affect the validity or enforceability of a claim. No assurance can be given that if challenged, Tectonic’s patents would be declared by a court to be valid or enforceable or that even if found valid and enforceable, a competitor’s technology or product would be found by a court to infringe its patents. Tectonic may analyze patents or patent applications of its competitors that it believes are relevant to its activities, and consider that it is free to operate in relation to its product candidates, but Tectonic’s competitors may achieve issued claims, including in patents Tectonic considers to be unrelated, which block its efforts or may potentially result in its product candidates or its activities infringing such claims. The possibility exists that others will develop products which have the same effect as Tectonic’s products on an independent basis which do not infringe its patents or other intellectual property rights, or will design around the claims of patents that Tectonic has had issued that cover its products. </w:t>
      </w:r>
    </w:p>
    <w:p>
      <w:pPr>
        <w:pStyle w:val="TextBody"/>
        <w:bidi w:val="0"/>
        <w:spacing w:before="240" w:after="0"/>
        <w:jc w:val="left"/>
        <w:rPr>
          <w:rFonts w:ascii="Times New Roman" w:hAnsi="Times New Roman"/>
          <w:sz w:val="20"/>
        </w:rPr>
      </w:pPr>
      <w:r>
        <w:rPr>
          <w:rFonts w:ascii="Times New Roman" w:hAnsi="Times New Roman"/>
          <w:sz w:val="20"/>
        </w:rPr>
        <w:t xml:space="preserve">Recent or future patent reform legislation could increase the uncertainties and costs surrounding the prosecution of Tectonic’s patent applications and the enforcement or defense of its issued patents. Under the enacted Leahy-Smith America Invents Act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Tectonic’s patent applications and the enforcement or defense of its issued patents, all of which could have a material adverse effect on its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degree of future protection for Tectonic’s proprietary rights is uncertain because legal means afford only limited protection and may not adequately protect its rights or permit Tectonic to gain or keep its competitive advantage.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or use compounds or cells that are similar to the biological compositions of Tectonic’s product candidates but that are not covered by the claims of its patents;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active biological ingredients in Tectonic’s current product candidates will eventually become commercially available in biosimilar drug products, and no patent protection may be available with regard to formulation or method of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or its licensors, as the case may be, may fail to meet its obligations to the U.S. government in regards to any in-licensed patents and patent applications funded by U.S. government grants, leading to the loss of patent rights;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or its licensors, as the case may be, might not have been the first to file patent applications for these inventions;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Tectonic’s technologies;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Tectonic’s pending patent applications will not result in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Tectonic’s or its licensors’ patents, as the case may be, or parts of Tectonic’s or their patents;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110"/>
        <w:gridCol w:w="60"/>
        <w:gridCol w:w="6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others may circumvent Tectonic’s owned or in-licensed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Tectonic’s products or technology similar to its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Tectonic’s or its licensors’, as the case may be, proprietary rights to the same extent as the laws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claims of Tectonic’s owned or in-licensed issued patents or patent applications, if and when issued, may not cover its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owned or in-licensed issued patents may not provide it with any competitive advantages, may be narrowed in scope, or be held invalid or unenforceable as a result of legal challenges by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Tectonic’s owned or in-licensed patents or patent applications may become involved with competitors, develop products or processes which design around its patents, or become hostile to Tectonic or the patents or patent applications on which they are named as inventors;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Tectonic’s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has engaged in scientific collaborations in the past, and will continue to do so in the future. Such collaborators may develop adjacent or competing products to Tectonic’s that are outside the scope of its patents;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not develop additional proprietary technologies for which it can obtain patent protection;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product candidates Tectonic develops may be covered by third parties’ patents or other exclusive rights; or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Tectonic’s business.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Tectonic depends on intellectual property licensed from third parties and termination of any of these licenses could result in the loss of significant rights, which would harm its business. </w:t>
      </w:r>
    </w:p>
    <w:p>
      <w:pPr>
        <w:pStyle w:val="TextBody"/>
        <w:bidi w:val="0"/>
        <w:spacing w:before="120" w:after="0"/>
        <w:jc w:val="left"/>
        <w:rPr>
          <w:rFonts w:ascii="Times New Roman" w:hAnsi="Times New Roman"/>
          <w:sz w:val="20"/>
        </w:rPr>
      </w:pPr>
      <w:r>
        <w:rPr>
          <w:rFonts w:ascii="Times New Roman" w:hAnsi="Times New Roman"/>
          <w:sz w:val="20"/>
        </w:rPr>
        <w:t>Tectonic is dependent on patents, know-how and proprietary technology, both its own and licensed from others. Any termination of these licenses could result in the loss of significant rights and could harm Tectonic’s ability to commercialize its product candidates. Please see the section titled “</w:t>
      </w:r>
      <w:r>
        <w:rPr>
          <w:rFonts w:ascii="Times New Roman" w:hAnsi="Times New Roman"/>
          <w:i/>
          <w:sz w:val="20"/>
        </w:rPr>
        <w:t>Tectonic’s Business—Collaboration, License and Services Agreements</w:t>
      </w:r>
      <w:r>
        <w:rPr>
          <w:rFonts w:ascii="Times New Roman" w:hAnsi="Times New Roman"/>
          <w:sz w:val="20"/>
        </w:rPr>
        <w:t xml:space="preserve">” on page 376 this proxy statement/prospectus for additional information regarding Tectonic’s license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Disputes may also arise between Tectonic and its licensors regarding intellectual property subject to a license agreement,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whether and the extent to which Tectonic’s technology and processes infringe on intellectual property of the licensor that is not subject to the licensing agreement;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right to sublicense patent and other rights to third parties under collaborative development relationships;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diligence obligations with respect to the use of the licensed technology in relation to its development and commercialization of its product candidates, and what activities satisfy those diligence obligations;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or ownership of inventions and know-how resulting from the joint creation or use of intellectual property by Tectonic’s licensors and Tectonic and its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Tectonic believes to be the scope of its rights to the relevant intellectual property or technology, or increase what Tectonic believes to be its financial or other obligations under the relevant agreement, either of which could have a material adverse effect on Tectonic’s business, financial condition, results of operations and prospects. If disputes over intellectual property that Tectonic has licensed prevent or impair Tectonic’s ability to maintain its current licensing arrangements on acceptable terms, Tectonic may be unable to successfully develop and commercialize the affected product candidates. </w:t>
      </w:r>
    </w:p>
    <w:p>
      <w:pPr>
        <w:pStyle w:val="TextBody"/>
        <w:bidi w:val="0"/>
        <w:spacing w:before="0" w:after="0"/>
        <w:jc w:val="left"/>
        <w:rPr>
          <w:rFonts w:ascii="Times New Roman" w:hAnsi="Times New Roman"/>
          <w:sz w:val="20"/>
        </w:rPr>
      </w:pPr>
      <w:r>
        <w:rPr>
          <w:rFonts w:ascii="Times New Roman" w:hAnsi="Times New Roman"/>
          <w:sz w:val="20"/>
        </w:rPr>
        <w:t xml:space="preserve">Tectonic is generally also subject to all of the same risks with respect to protection of intellectual property that it licenses, as Tectonic is for intellectual property that it owns, which are described below. If Tectonic or its licensors fail to adequately protect this intellectual property, Tectonic’s ability to commercialize products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 fails to comply with its obligations under its patent license with a third party, Tectonic could lose license rights that are important to its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is a party to a license agreement pursuant to which it in-licenses key patent and patent applications for its product candidates. These existing licenses impose various diligence, milestone payment, royalty, insurance and other obligations on Tectonic. If Tectonic fails to comply with these obligations, its licensors may have the right to terminate the license, in which event Tectonic would not be able to develop or market the products covered by such licensed intellectual property. Termination of these agreements or reduction or elimination of Tectonic’s rights under these agreements, or restrictions on its ability to freely assign or sublicense its rights under such agreements when it is in the interest of Tectonic’s business to do so, may impede, delay or prohibit the further development or commercialization of one or more product candidates that rely on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Tectonic may have limited control over the maintenance and prosecution of these in-licensed patents and patent applications, activities or any other intellectual property that may be related to its in-licensed intellectual property. For example, Tectonic cannot be certain that such activities by its licensor have been or will be conducted in compliance with applicable laws and regulations or will result in valid and enforceable patents and other intellectual property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 is unable to protect the confidentiality of its proprietary information, Tectonic’s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protection, Tectonic relies upon know-how, as well as non-disclosure agreements and invention assignment agreements with its employees, consultants and third-parties, to protect its confidential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proprietary information, especially where Tectonic does not believe patent protection is appropriate or obtainable. In addition to contractual measures, Tectonic tries to protect the confidential nature of its proprietary information using physical and technological security measures. Such measures may not, for example, in the case of misappropriation by an employee or third party with authorized access, provide adequate protection for Tectonic’s proprietary information. Tectonic’s security measures may not prevent an employee or consultant from misappropriating its proprietary information and providing them to a competitor, and recourse Tectonic takes against such misconduct may not provide an adequate remedy to protect its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Tectonic. If any of Tectonic’s confidential or proprietary information were to be disclosed or misappropriated, or if any such information was independently developed by a competitor, Tectonic’s competitive position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courts outside the United States are sometimes less willing to protect proprietary information. If Tectonic chooses to go to court to stop a third party from using any of its proprietary information, Tectonic may incur substantial costs. These lawsuits may consume Tectonic’s time and other resources even if it is successful. Although Tectonic takes steps to protect its proprietary information and proprietary information, including through contractual means with its employees and consultants, third parties may independently develop substantially equivalent proprietary information and techniques or otherwise gain access to, or disclose, its technology. </w:t>
      </w:r>
    </w:p>
    <w:p>
      <w:pPr>
        <w:pStyle w:val="TextBody"/>
        <w:bidi w:val="0"/>
        <w:spacing w:before="240" w:after="0"/>
        <w:jc w:val="left"/>
        <w:rPr>
          <w:rFonts w:ascii="Times New Roman" w:hAnsi="Times New Roman"/>
          <w:sz w:val="20"/>
        </w:rPr>
      </w:pPr>
      <w:r>
        <w:rPr>
          <w:rFonts w:ascii="Times New Roman" w:hAnsi="Times New Roman"/>
          <w:sz w:val="20"/>
        </w:rPr>
        <w:t xml:space="preserve">Thus, Tectonic may not be able to meaningfully protect its proprietary information. It is Tectonic’s policy to require its employees, consultants, outside scientific collaborators, sponsored researchers and other advisors to execute confidentiality agreements upon the commencement of employment or consulting relationships with Tectonic. These agreements provide that all confidential information concerning its business or financial affairs developed or made known to the individual or entity during the course of the party’s relationship with Tectonic is to be kept confidential and not disclosed to third parties except in specific circumstances. In the case of employees, the agreements provide that all inventions conceived by the individual, and which are related to Tectonic’s current or planned business or research and development or made during normal working hours, on its premises or using its equipment or proprietary information, are Tectonic’s exclusive property. In addition, Tectonic takes other appropriate precautions, such as physical and technological security measures, to guard against misappropriation of its proprietary information by third parties. Tectonic have also adopted policies and conduct training that provides guidance on its expectations, and its advice for best practices, in protecting its proprietary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may prevent or delay Tectonic’s product discovery and development efforts. </w:t>
      </w:r>
    </w:p>
    <w:p>
      <w:pPr>
        <w:pStyle w:val="TextBody"/>
        <w:bidi w:val="0"/>
        <w:spacing w:before="120" w:after="0"/>
        <w:jc w:val="left"/>
        <w:rPr>
          <w:rFonts w:ascii="Times New Roman" w:hAnsi="Times New Roman"/>
          <w:sz w:val="20"/>
        </w:rPr>
      </w:pPr>
      <w:r>
        <w:rPr>
          <w:rFonts w:ascii="Times New Roman" w:hAnsi="Times New Roman"/>
          <w:sz w:val="20"/>
        </w:rPr>
        <w:t xml:space="preserve">Tectonic’s commercial success depends in part on its ability to develop, manufacture, market and sell its product candidates and use its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sz w:val="20"/>
        </w:rPr>
        <w:t>inter partes</w:t>
      </w:r>
      <w:r>
        <w:rPr>
          <w:rFonts w:ascii="Times New Roman" w:hAnsi="Times New Roman"/>
          <w:sz w:val="20"/>
        </w:rPr>
        <w:t xml:space="preserve"> review, post grant review, and reexamination proceedings before the USPTO or oppositions and other comparable proceedings in foreign jurisdictions. Tectonic may be exposed to, or threatened with, future litigation by third parties having patent or other intellectual property rights alleging that its product candidates and/or proprietary technologies infringe their intellectual property rights. Numerous U.S. and foreign issued patents and pending patent applications, which are owned by third parties, exist in the fields in which Tectonic is developing its product candidates. There may be third-party patents or patent applications with claims to materials, formulations, methods of manufacture or methods for treatment related to Tectonic’s product candidates and programs. As the biotechnology and pharmaceutical industries expand and more patents are issued, the risk increases that its product candidates may give rise to claims of infringement of the patent rights of others. Moreover, it is not always clear to industry participants, including Tectonic,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patents cover various types of drugs, products or their methods of use or manufacture. Thus, because of the large number of patents issued and patent applications filed in Tectonic’s fields, there may be a risk that third parties may allege they have patent rights encompassing its product candidates, technologies or methods. </w:t>
      </w:r>
    </w:p>
    <w:p>
      <w:pPr>
        <w:pStyle w:val="TextBody"/>
        <w:bidi w:val="0"/>
        <w:spacing w:before="240" w:after="0"/>
        <w:jc w:val="left"/>
        <w:rPr>
          <w:rFonts w:ascii="Times New Roman" w:hAnsi="Times New Roman"/>
          <w:sz w:val="20"/>
        </w:rPr>
      </w:pPr>
      <w:r>
        <w:rPr>
          <w:rFonts w:ascii="Times New Roman" w:hAnsi="Times New Roman"/>
          <w:sz w:val="20"/>
        </w:rPr>
        <w:t xml:space="preserve">If a third-party claims that Tectonic infringes its intellectual property rights, it may face a number of issues,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infringement and other intellectual property claims which, regardless of merit, may be expensive and time-consuming to litigate and may divert Tectonic’s management’s attention from its core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damages for infringement, which Tectonic may have to pay if a court decides that the product candidate or technology at issue infringes on or violates the third party’s rights, and, if the court finds that the infringement was willful, Tectonic could be ordered to pay treble damages and the patent owner’s attorneys’ fees;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court prohibiting Tectonic from developing, manufacturing, marketing or selling its product candidates, or from using Tectonic’s proprietary technologies, unless the third party licenses its product rights to Tectonic, which it is not required to do;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license is available from a third party, Tectonic may have to pay substantial royalties, upfront fees and other amounts, and/or grant cross-licenses to intellectual property rights for its products;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redesigning Tectonic’s product candidates or processes so they do not infringe, which may not be possible or may require substantial monetary expenditures and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Tectonic’s competitors may be able to sustain the costs of complex patent litigation more effectively than Tectonic can because they have substantially greater resources. In addition, any uncertainties resulting from the initiation and continuation of any litigation could have a material adverse effect on Tectonic’s ability to raise the funds necessary to continue its operations or could otherwise have a material adverse effect on its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Tectonic is employing their proprietary technology without authorization. Generally, conducting clinical trials and other development activities in the United States is protected under the Safe Harbor exemption as set forth in 35 U.S.C. § 271. If and when TX45 or another one of Tectonic’s product candidates is approved by the FDA, that certain third party may then seek to enforce its patent by filing a patent infringement lawsuit against Tectonic. While Tectonic does not believe that any claims of such patent that could otherwise materially adversely affect commercialization of its product candidates, if approved, are valid and enforceable, Tectonic may be incorrect in this belief, or Tectonic may not be able to prove it in a litigation. In this regard, patents issued in the United States by law enjoy a presumption of validity that can be rebutted only with evidence that is “clear and convincing,” a heightened standard of proof. There may be third-party patents of which Tectonic is currently unaware with claims to materials, formulations, methods of manufacture or methods for treatment related to the use or manufacture of its product candidates. Because patent applications can take many years to issue, there may be currently pending patent applications which may later result in issued patents that Tectonic’s product candidates may infringe. In addition, third parties may obtain patents in the future and claim that use of Tectonic’s technologies infringes upon these patents. If any third-party patents were held by a court of competent jurisdiction to cover the manufacturing process of Tectonic’s product candidates, constructs or molecules used in or formed during the manufacturing process, or any final product itself, the holders of any such patents may be able to block Tectonic’s ability to commercialize the product candidate unless Tectonic obtained a license under the applicable patents, or until such patents expire or they are finally determined to be held invalid or unenforceable. Similarly, if any third-party patent were held by a court of competent jurisdiction to cover aspects of Tectonic’s formulations, processes for manufacture or methods of use, the holders of any such patent may be able to block its ability to develop and commercialize the product candidate unless Tectonic obtained a license or until such patent expires or is finally determined to be held invalid or unenforceable. In either case, such a license may not be available on commercially reasonable terms or at all. If Tectonic is unable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obtain a necessary license to a third-party patent on commercially reasonable terms, or at all, Tectonic’s ability to commercialize its product candidates may be impaired or delayed, which could in turn significantly harm its business. Even if Tectonic obtains a license, it may be non-exclusive, thereby giving its competitors access to the same technologies licensed to Tectonic. In addition, if the breadth or strength of protection provided by its patents and patent applications is threatened, it could dissuade companies from collaborating with Tectonic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Tectonic may seek and obtain injunctive or other equitable relief, which could effectively block its ability to further develop and commercialize its product candidates. Defense of these claims, regardless of their merit, would involve substantial litigation expense and would be a substantial diversion of employee resources from Tectonic’s business. In the event of a successful claim of infringement against Tectonic, it may have to pay substantial damages, including treble damages and attorneys’ fees for willful infringement, obtain one or more licenses from third parties, pay royalties or redesign its infringing products, which may be impossible or require substantial time and monetary expenditure. Tectonic cannot predict whether any such license would be available at all or whether it would be available on commercially reasonable terms. Even if such a license is available, it may be non-exclusive, which could result in Tectonic’s competitors gaining access to the same intellectual property. Furthermore, even in the absence of litigation, Tectonic may need to obtain licenses from third parties to advance its research or allow commercialization of its product candidates. Tectonic may fail to obtain any of these licenses at a reasonable cost or on reasonable terms, if at all. In that event, Tectonic would be unable to further develop and commercialize its product candidates, which could harm its business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Lastly, Tectonic may need to indemnify its customers and distributors against claims relating to the infringement of intellectual property rights of third parties related to its product candidates, including TX45. Third parties may assert infringement claims against Tectonic’s customers or distributors. These claims may require Tectonic to initiate or defend protracted and costly litigation on behalf of its customers or distributors, regardless of the merits of these claims. If any of these claims succeed, Tectonic may be forced to pay damages on behalf of its customers, suppliers or distributors, or may be required to obtain licenses for the product candidates or services they use. If Tectonic cannot obtain all necessary licenses on commercially reasonable terms, its customers may be forced to stop using its products or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assert that Tectonic’s employees or consultants have wrongfully used or disclosed confidential information or misappropriated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Tectonic employs individuals who were previously employed at universities or other biopharmaceutical or pharmaceutical companies, including its competitors or potential competitors. Although no claims against Tectonic are currently pending, and although Tectonic tries to ensure that its employees and consultants do not use the proprietary information or know-how of others in their work for Tectonic, it may be subject to claims that Tectonic or its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Tectonic fails in defending any such claims, in addition to paying monetary damages, it may lose valuable intellectual property rights or personnel. Even if Tectonic is successful in defending against such claims, litigation or other legal proceedings relating to intellectual property claims may cause it to incur significant expenses, and could distract Tectonic’s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Tectonic’s common stock. This type of litigation or proceeding could substantially increase its operating losses and reduce its resources available for development activities. Tectonic may not have sufficient financial or other resources to adequately conduct such litigation or proceedings. Some of Tectonic’s competitors may be able to sustain the costs of such litigation or proceedings more effectively than Tectonic can because of their substantially greater financial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Uncertainties resulting from the initiation and continuation of patent litigation or other intellectual property related proceedings could adversely affect Tectonic’s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not be successful in obtaining or maintaining necessary rights to develop any future product candidates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Because Tectonic’s programs may involve additional product candidates that may require the use of proprietary rights held by third parties, the growth of its business may depend in part on its ability to acquire, in-license or use these proprietary rights. </w:t>
      </w:r>
    </w:p>
    <w:p>
      <w:pPr>
        <w:pStyle w:val="TextBody"/>
        <w:bidi w:val="0"/>
        <w:spacing w:before="240" w:after="0"/>
        <w:jc w:val="left"/>
        <w:rPr>
          <w:rFonts w:ascii="Times New Roman" w:hAnsi="Times New Roman"/>
          <w:sz w:val="20"/>
        </w:rPr>
      </w:pPr>
      <w:r>
        <w:rPr>
          <w:rFonts w:ascii="Times New Roman" w:hAnsi="Times New Roman"/>
          <w:sz w:val="20"/>
        </w:rPr>
        <w:t xml:space="preserve">Tectonic’s product candidates may also require specific formulations to work effectively and efficiently and these rights may be held by others. Tectonic may develop products containing its compounds and pre-existing pharmaceutical compounds. Tectonic may be unable to acquire or in-license any compositions, methods of use, processes or other third-party intellectual property rights from third parties that Tectonic identifies as necessary or important to its business operations. Tectonic may fail to obtain any of these licenses at a reasonable cost or on reasonable terms, if at all, which would harm its business. Tectonic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Tectonic were able to develop such alternatives, which may not be feasible. Even if Tectonic is able to obtain a license, it may be non-exclusive, thereby giving its competitors access to the same technologies licensed to it. In that event, Tectonic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Additionally, Tectonic sometimes collaborate with academic institutions to accelerate its preclinical research or development under written agreements with these institutions. In certain cases, these institutions provide Tectonic with an option to negotiate a license to any of the institution’s rights in technology resulting from the collaboration. Regardless of such option, Tectonic may be unable to negotiate a license within the specified timeframe or under terms that are acceptable to it. If Tectonic is unable to do so, the institution may offer the intellectual property rights to others, potentially blocking its ability to pursue its program. If Tectonic is unable to successfully obtain rights to required third-party intellectual property or to maintain the existing intellectual property rights it has, Tectonic may have to abandon development of such program and its business and financial condition could suffer.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which may be more established, or have greater resources than Tectonic does, may also be pursuing strategies to license or acquire third-party intellectual property rights that Tectonic may consider necessary or attractive in order to commercialize its product candidates. More established companies may have a competitive advantage over Tectonic due to their size, cash resources and greater clinical development and commercialization capabilities. There can be no assurance that Tectonic will be able to successfully complete such negotiations and ultimately acquire the rights to the intellectual property surrounding the additional product candidates that it may seek to acquire.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be involved in lawsuits to protect or enforce its patents or the patents of its licensors,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Tectonic’s patents or the patents of its licensors. To counter infringement or unauthorized use, Tectonic may be required to file infringement claims, which can be expensive and time-consuming. In addition, in an infringement proceeding, a court may decide that one or more of Tectonic’s patents is not valid or is unenforceable, or may refuse to stop the other party from using the technology at issue on the grounds that its patents do not cover the technology in question. An adverse result in any litigation or defense proceedings could put one or more of Tectonic’s patents at risk of being invalidated, held unenforceable, or interpreted narrowly and could put its patent applications at risk of not issuing. Defense of these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regardless of their merit, would involve substantial litigation expense and would be a substantial diversion of employee resources from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Tectonic may choose to challenge the patentability of claims in a third party’s U.S. patent by requesting that the USPTO review the patent claims in an </w:t>
      </w:r>
      <w:r>
        <w:rPr>
          <w:rFonts w:ascii="Times New Roman" w:hAnsi="Times New Roman"/>
          <w:i/>
          <w:sz w:val="20"/>
        </w:rPr>
        <w:t>ex-parte</w:t>
      </w:r>
      <w:r>
        <w:rPr>
          <w:rFonts w:ascii="Times New Roman" w:hAnsi="Times New Roman"/>
          <w:sz w:val="20"/>
        </w:rPr>
        <w:t xml:space="preserve"> re-exam, </w:t>
      </w:r>
      <w:r>
        <w:rPr>
          <w:rFonts w:ascii="Times New Roman" w:hAnsi="Times New Roman"/>
          <w:i/>
          <w:sz w:val="20"/>
        </w:rPr>
        <w:t>inter partes</w:t>
      </w:r>
      <w:r>
        <w:rPr>
          <w:rFonts w:ascii="Times New Roman" w:hAnsi="Times New Roman"/>
          <w:sz w:val="20"/>
        </w:rPr>
        <w:t xml:space="preserve"> review or post-grant review proceedings. These proceedings are expensive and may consume Tectonic’s time or other resources. Tectonic may choose to challenge a third party’s patent in patent opposition proceedings in the foreign patent offices. The costs of these opposition proceedings could be substantial, and may consume Tectonic’s time or other resources. If Tectonic fails to obtain a favorable result at the USPTO or other patent office then it may be exposed to litigation by a third party alleging that the patent may be infringed by its product candidates or proprietary technologies.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Tectonic cannot be certain that others have not filed patent applications for technology covered by its owned and in-licensed issued patents or its pending applications, or that Tectonic or, if applicable, a licensor were the first to invent the technology. Tectonic’s competitors may have filed, and may in the future file, patent applications covering products or technology similar to Tectonic’s. Any such patent application may have priority over Tectonic’s owned and in-licensed patent applications or patents, which could require Tectonic to obtain rights to issued patents covering such technologies. If another party has filed a U.S. patent application on inventions similar to those owned by or in-licensed to Tectonic, Tectonic or, in the case of in-licensed technology, the licensor may have to participate in an interference proceeding declared by the USPTO to determine priority of invention in the United States. If Tectonic or one of its licensors is a party to an interference proceeding involving a U.S. patent application on inventions owned by or in-licensed to Tectonic, Tectonic may incur substantial costs, divert management’s time and expend other resources, even if it is successful. </w:t>
      </w:r>
    </w:p>
    <w:p>
      <w:pPr>
        <w:pStyle w:val="TextBody"/>
        <w:bidi w:val="0"/>
        <w:spacing w:before="240" w:after="0"/>
        <w:jc w:val="left"/>
        <w:rPr>
          <w:rFonts w:ascii="Times New Roman" w:hAnsi="Times New Roman"/>
          <w:sz w:val="20"/>
        </w:rPr>
      </w:pPr>
      <w:r>
        <w:rPr>
          <w:rFonts w:ascii="Times New Roman" w:hAnsi="Times New Roman"/>
          <w:sz w:val="20"/>
        </w:rPr>
        <w:t xml:space="preserve">Interference proceedings provoked by third parties or brought by the USPTO may be necessary to determine the priority of inventions with respect to Tectonic’s patents or patent applications or those of its licensors. An unfavorable outcome could result in a loss of Tectonic’s current patent rights and could require it to cease using the related technology or to attempt to license rights to it from the prevailing party. Tectonic’s business could be harmed if the prevailing party does not offer it a license on commercially reasonable terms or at all. Litigation or interference proceedings may result in a decision adverse to Tectonic’s interests and, even if it is successful, may result in substantial costs and distract Tectonic’s management and other employees. Tectonic may not be able to prevent, alone or with its licensors, misappropriation of its proprietary or confidential information, particularly in countries where the laws may not protect those rights as fully as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Tectonic’s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Tectonic’s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Tectonic’s patent protection depends on compliance with various procedural, document submission, fee payment and other requirements imposed by governmental patent agencies, and its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Tectonic’s competitors might be able to enter the market, which would have a material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Tectonic’s product candidates could be found invalid or unenforceable if challenged in court or the USPTO. </w:t>
      </w:r>
    </w:p>
    <w:p>
      <w:pPr>
        <w:pStyle w:val="TextBody"/>
        <w:bidi w:val="0"/>
        <w:spacing w:before="120" w:after="0"/>
        <w:jc w:val="left"/>
        <w:rPr>
          <w:rFonts w:ascii="Times New Roman" w:hAnsi="Times New Roman"/>
          <w:sz w:val="20"/>
        </w:rPr>
      </w:pPr>
      <w:r>
        <w:rPr>
          <w:rFonts w:ascii="Times New Roman" w:hAnsi="Times New Roman"/>
          <w:sz w:val="20"/>
        </w:rPr>
        <w:t xml:space="preserve">If Tectonic or one of its licensing partners initiate legal proceedings against a third party to enforce a patent covering one of its product candidates, the defendant could counterclaim that the patent covering its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Tectonic’s patents in such a way that they no longer cover its product candidates. The outcome following legal assertions of invalidity and unenforceability is unpredictable. With respect to the validity question, for example, Tectonic cannot be certain that there is no invalidating prior art, of which Tectonic, its patent counsel and the patent examiner were unaware during prosecution. If a defendant were to prevail on a legal assertion of invalidity and/or unenforceability, or if Tectonic is otherwise unable to adequately protect Tectonic’s rights, Tectonic would lose at least part, and perhaps all, of the patent protection on its product candidates. Such a loss of patent protection could have a material adverse impact on Tectonic’s business and its ability to commercialize or license its technology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Moreover, the patents included in Tectonic’s patent portfolio may expire before, or soon after, its first product achieves marketing approval in the United States or foreign jurisdictions. Upon the expiration of its current or future owned or licensed patents, Tectonic may lose the right to exclude others from practicing these inventions. The expiration of these patents could also have a similar material adverse effect on Tectonic’s business, results of operations, financial condition and prospects. Tectonic owns pending patent applications covering its proprietary technologies or its product candidates that if issued as patents are expected to expire from 2041 through 2042, without taking into account any possible patent term adjustments or extensions. However, Tectonic cannot be assured that the USPTO or relevant foreign patent offices will grant any of these patent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in the U.S. and in ex-U.S. jurisdictions could diminish the value of patents in general, thereby impairing Tectonic’s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Tectonic’s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Tectonic’s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Tectonic’s ability to obtain new patents or to enforce its existing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patents that Tectonic might obtain in the future. For example, in the case </w:t>
      </w:r>
      <w:r>
        <w:rPr>
          <w:rFonts w:ascii="Times New Roman" w:hAnsi="Times New Roman"/>
          <w:i/>
          <w:sz w:val="20"/>
        </w:rPr>
        <w:t>Amgen Inc. v. Sanofi,</w:t>
      </w:r>
      <w:r>
        <w:rPr>
          <w:rFonts w:ascii="Times New Roman" w:hAnsi="Times New Roman"/>
          <w:sz w:val="20"/>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Times New Roman" w:hAnsi="Times New Roman"/>
          <w:i/>
          <w:sz w:val="20"/>
        </w:rPr>
        <w:t>Assoc. for Molecular Pathology v. Myriad Genetics, Inc.,</w:t>
      </w:r>
      <w:r>
        <w:rPr>
          <w:rFonts w:ascii="Times New Roman" w:hAnsi="Times New Roman"/>
          <w:sz w:val="20"/>
        </w:rPr>
        <w:t xml:space="preserve"> the Supreme Court held that certain claims to DNA molecules are not patentable. Tectonic cannot predict how these decisions or any future decisions by the courts, the U.S. Congress or the USPTO may impact the value of its patents. Similarly, any adverse changes in the patent laws of other jurisdictions could have a material adverse effect on Tectonic’s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not be able to protect its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Tectonic’s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Tectonic may not be able to prevent third parties from practicing its inventions in all countries outside the United States, or from selling or importing products made using its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Tectonic or any of its licensors are forced to grant a license to third parties with respect to any patents relevant to its business, its competitive position may be impaired, and its business, financial condition, results of operations and prospects may be adversely affected. Also, competitors may use Tectonic’s technologies in jurisdictions where Tectonic has not obtained patent protection to develop their own products and, further, may export otherwise infringing products to territories where Tectonic has patent protection but where enforcement is not as strong as that in the United States. These products may compete with Tectonic’s products in jurisdictions where it does not have any issued patents and its patent claims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Tectonic to stop the infringement of its patents or marketing of competing products against third parties in violation of its proprietary rights generally. The initiation of proceedings by third parties to challenge the scope or validity of Tectonic’s patent rights in foreign jurisdictions could result in substantial cost and divert its efforts and attention from other aspects of its business. Proceedings to enforce Tectonic’s patent rights in foreign jurisdictions could result in substantial costs and divert its efforts and attention from other aspects of its business, could put its patents at risk of being invalidated or interpreted narrowly and its patent applications at risk of not issuing and could provoke third parties to assert claims against Tectonic. Tectonic may not prevail in any lawsuits that it initiates and the damages or other remedies awarded, if any, may not be commercially meaningful. Accordingly, Tectonic’s efforts to enforce its intellectual property rights around the world may be inadequate to obtain a significant commercial advantage from the intellectual property that it develops or licenses.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incur substantial costs as a result of litigation or other proceedings relating to patents, and it may be unable to protect its rights to its products and technology. </w:t>
      </w:r>
    </w:p>
    <w:p>
      <w:pPr>
        <w:pStyle w:val="TextBody"/>
        <w:bidi w:val="0"/>
        <w:spacing w:before="120" w:after="0"/>
        <w:jc w:val="left"/>
        <w:rPr>
          <w:rFonts w:ascii="Times New Roman" w:hAnsi="Times New Roman"/>
          <w:sz w:val="20"/>
        </w:rPr>
      </w:pPr>
      <w:r>
        <w:rPr>
          <w:rFonts w:ascii="Times New Roman" w:hAnsi="Times New Roman"/>
          <w:sz w:val="20"/>
        </w:rPr>
        <w:t xml:space="preserve">If Tectonic or its licensors choose to go to court to stop a third party from using the inventions claimed in its owned or in-licensed patents, that third party may ask the court to rule that the patents are invalid and/or should not be enforced against that third party. These lawsuits are expensive and would consume time and other resources even if Tectonic or they, as the case may be, were successful in stopping the infringement of these patents. In addition, there is a risk that the court will decide that these patents are not valid and that Tectonic or they, as the case may be, do not have the right to stop others from using the inventions.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is also the risk that, even if the validity of these patents is upheld, the court will refuse to stop the third party on the ground that such third party’s activities do not infringe Tectonic’s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Tectonic’s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240" w:after="0"/>
        <w:jc w:val="left"/>
        <w:rPr>
          <w:rFonts w:ascii="Times New Roman" w:hAnsi="Times New Roman"/>
          <w:sz w:val="20"/>
        </w:rPr>
      </w:pPr>
      <w:r>
        <w:rPr>
          <w:rFonts w:ascii="Times New Roman" w:hAnsi="Times New Roman"/>
          <w:sz w:val="20"/>
        </w:rPr>
        <w:t xml:space="preserve">Tectonic, or its licensors, may not be able to detect infringement against Tectonic’s owned or in-licensed patents, as the case may be, which may be especially difficult for manufacturing processes or formulation patents. Even if Tectonic or its licensors detect infringement by a third party of its owned or in-licensed patents, Tectonic or its licensors, as the case may be, may choose not to pursue litigation against or settlement with the third party. If Tectonic, or its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Tectonic or its licensors to enforce Tectonic’s owned or in-licensed patents, as the case may be, against such third party. </w:t>
      </w:r>
    </w:p>
    <w:p>
      <w:pPr>
        <w:pStyle w:val="TextBody"/>
        <w:bidi w:val="0"/>
        <w:spacing w:before="240" w:after="0"/>
        <w:jc w:val="left"/>
        <w:rPr>
          <w:rFonts w:ascii="Times New Roman" w:hAnsi="Times New Roman"/>
          <w:sz w:val="20"/>
        </w:rPr>
      </w:pPr>
      <w:r>
        <w:rPr>
          <w:rFonts w:ascii="Times New Roman" w:hAnsi="Times New Roman"/>
          <w:sz w:val="20"/>
        </w:rPr>
        <w:t xml:space="preserve">If another party questions the patentability of any of Tectonic’s claims in its owned or in-licensed U.S. patents, the third-party can request that the USPTO review the patent claims such as in an </w:t>
      </w:r>
      <w:r>
        <w:rPr>
          <w:rFonts w:ascii="Times New Roman" w:hAnsi="Times New Roman"/>
          <w:i/>
          <w:sz w:val="20"/>
        </w:rPr>
        <w:t>inter partes</w:t>
      </w:r>
      <w:r>
        <w:rPr>
          <w:rFonts w:ascii="Times New Roman" w:hAnsi="Times New Roman"/>
          <w:sz w:val="20"/>
        </w:rPr>
        <w:t xml:space="preserve"> review, </w:t>
      </w:r>
      <w:r>
        <w:rPr>
          <w:rFonts w:ascii="Times New Roman" w:hAnsi="Times New Roman"/>
          <w:i/>
          <w:sz w:val="20"/>
        </w:rPr>
        <w:t>ex</w:t>
      </w:r>
      <w:r>
        <w:rPr>
          <w:rFonts w:ascii="Times New Roman" w:hAnsi="Times New Roman"/>
          <w:sz w:val="20"/>
        </w:rPr>
        <w:t xml:space="preserve"> </w:t>
      </w:r>
      <w:r>
        <w:rPr>
          <w:rFonts w:ascii="Times New Roman" w:hAnsi="Times New Roman"/>
          <w:i/>
          <w:sz w:val="20"/>
        </w:rPr>
        <w:t>parte</w:t>
      </w:r>
      <w:r>
        <w:rPr>
          <w:rFonts w:ascii="Times New Roman" w:hAnsi="Times New Roman"/>
          <w:sz w:val="20"/>
        </w:rPr>
        <w:t xml:space="preserve"> re-exam or post-grant review proceedings. These proceedings are expensive and may result in a loss of scope of some claims or a loss of the entire patent. In addition to potential USPTO review proceedings, Tectonic may become a party to patent opposition proceedings in foreign patent offices, where either its owned or in-licensed foreign patents are challenged. </w:t>
      </w:r>
    </w:p>
    <w:p>
      <w:pPr>
        <w:pStyle w:val="TextBody"/>
        <w:bidi w:val="0"/>
        <w:spacing w:before="240" w:after="0"/>
        <w:jc w:val="left"/>
        <w:rPr>
          <w:rFonts w:ascii="Times New Roman" w:hAnsi="Times New Roman"/>
          <w:sz w:val="20"/>
        </w:rPr>
      </w:pPr>
      <w:r>
        <w:rPr>
          <w:rFonts w:ascii="Times New Roman" w:hAnsi="Times New Roman"/>
          <w:sz w:val="20"/>
        </w:rPr>
        <w:t xml:space="preserve">In the future, Tectonic may be involved in similar proceedings challenging the patent rights of others, and the outcome of such proceedings is highly uncertain. An adverse determination in any such proceeding could reduce the scope of, or invalidate, Tectonic’s patent rights, allow third parties to commercialize its technology or products and compete directly with Tectonic, without payment to it, or result in its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Tectonic’s right to exclude others from practicing one or more of its inventions in the relevant country or jurisdiction, which could have a material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Tectonic’s competitive position on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Tectonic’s product candidates are obtained, once the patent life has expired, Tectonic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Tectonic’s owned and licensed patent portfolio may not provide it with sufficient rights to exclude others from commercializing products similar or identical to Tectonic’s.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Tectonic does not obtain patent term extension and data exclusivity for any product candidates it may develop, its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any FDA marketing approval of any product candidates Tectonic may develop, one or more of its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Tectonic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Tectonic requests. If Tectonic is unable to obtain patent term extension or term of any such extension is less than it requests, its competitors may obtain approval of competing products following Tectonic’s patent expiration, and Tectonic’s business, financial condition, results of operations, and prospects could be materially harmed. Further, for Tectonic’s licensed patents, Tectonic may not have the right to control prosecution, including filing with the USPTO, of a petition for patent term extension under the Hatch-Waxman Act. Thus, if one of Tectonic’s licensed patents is eligible for patent term extension under the Hatch-Waxman Act, Tectonic may not be able to control whether a petition to obtain a patent term extension is filed, or obtained, from the USPTO.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Tectonic’s trademarks and trade names are not adequately protected, then Tectonic may not be able to build name recognition in its markets of interest and its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Tectonic’s trademarks or trade names may be challenged, infringed, circumvented or declared generic or determined to be infringing on other marks. Tectonic may not be able to protect its rights to these trademarks and trade names or may be forced to stop using these names, which Tectonic needs for name recognition by potential partners or customers in its markets of interest. At times, competitors may adopt trade names or trademarks similar to Tectonic’s, thereby impeding its ability to build brand identity and possibly leading to market confusion. In addition, there could be potential trade name or trademark infringement claims brought by owners of other registered trade names or trademarks that incorporate variations of Tectonic’s unregistered trade names or trademarks. If Tectonic is unable to establish name recognition based on its trademarks and trade names, Tectonic may not be able to compete effectively and its business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Tectonic’s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currently relies and expects to rely in the future on the use of manufacturing suites in third-party facilities or on third parties to manufacture TX45 and any other product candidates, and Tectonic may rely on third parties to produce and process its products, if approved. Tectonic’s business could be adversely affected if it is unable to use third-party manufacturing suites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Tectonic does not currently lease or own any facility that may be used as its clinical-scale manufacturing and processing facility and currently relies on a contract manufacturing organization (“CMO”), WuXi Biologics (Hong Kong) Limited (“WuXi Biologics”), to manufacture its product candidate used in Tectonic’s Phase 1a clinical trial. Tectonic currently has a sole source relationship with WuXi Biologics for its supply of TX45 (see the section titled “</w:t>
      </w:r>
      <w:r>
        <w:rPr>
          <w:rFonts w:ascii="Times New Roman" w:hAnsi="Times New Roman"/>
          <w:i/>
          <w:sz w:val="20"/>
        </w:rPr>
        <w:t>Tectonic’s Business–Collaboration, License and Services Agreements</w:t>
      </w:r>
      <w:r>
        <w:rPr>
          <w:rFonts w:ascii="Times New Roman" w:hAnsi="Times New Roman"/>
          <w:sz w:val="20"/>
        </w:rPr>
        <w:t xml:space="preserve">” located elsewhere in this proxy statement/prospectus for additional information on Tectonic’s relationship with WuXi Biologics). If there should be any disruption in such supply arrangement, including any adverse events affecting Tectonic’s sole supplier, Wuxi Biologics, it could have a negative effect on the clinical development of its product candidates and other operations while Tectonic works to identify and qualify an alternate supply source.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not control the manufacturing process of, and may be completely dependent on, its contract manufacturing partner for compliance with cGMP requirements and any other regulatory requirements of the FDA or comparable foreign regulatory authorities for the manufacture of a product candidate. Tectonic performs periodic audits of each CMO facility that supports its supply of TX45 and reviews and approves all TX45 cGMP-related documentation. Tectonic also has a quality agreement with WuXi Biologics that documents its mutual agreement on compliance with cGMPs and expectations on quality-required communications to Tectonic. Beyond this, Tectonic has no control over the ability of its CMO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Tectonic may need to find alternative manufacturing facilities, which would require the incurrence of significant additional costs and materially and adversely affect its ability to develop, obtain regulatory approval for or market such product candidate, if approved. Similarly, Tectonic’s failure, or the failure of its CMO, to comply with applicable regulations could result in sanctions being imposed on Tectonic,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Tectonic’s business and results of operations. In addition, Tectonic has not yet caused any product candidates to be manufactured on a commercial scale and may not be able to do so for any of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Moreover, Tectonic’s CMO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 and Ukraine, may affect its third-party vendors and cause delays. Furthermore, since Tectonic has engaged WuXi Biologics, a manufacturer located in China, it is exposed to the possibility of product supply disruption and increased costs in the event of changes in the policies of the United States or Chinese governments or political unrest or unstable economic conditions in China. For example, the recently proposed BIOSECURE Act introduced in the U.S. House of Representatives, as well as a substantially similar bill in the U.S. Senate, target U.S. government contracts, loans, and grants to entities that use equipment or services from certain Chinese biotechnology companies and would authorize the U.S. government to name other Chinese biotechnology companies of concern. If these bills become law, or similar laws are passed, they would have the potential to severely restrict the ability of companies to contract with certain Chinese biotechnology companies of concern without losing the ability to contract with, or otherwise receive funding from, the U.S. government. If Tectonic is required to change manufacturers for any reason, it will be required to verify that the new manufacturer maintains facilities and procedures that comply with quality standards and with all applicable regulations and guidelines. For example, in the event that Tectonic needs to transfer from WuXi Biologics, which is its sole manufacturing source for TX45, it anticipates that the complexity of the manufacturing process may materially impact the amount of time it would take to secure a replacement manufacturer. The delays associated with the verification of a new manufacturer, if Tectonic is able to identify an alternative source, could negatively affect its ability to supply product candidates, including TX45, in a timely manner or within budget. If any CMO on which Tectonic will rely fails to manufacture quantities of a product candidate at quality levels necessary to meet regulatory requirements and at a scale sufficient to meet anticipated demand at a cost that allows it to achieve profitability, Tectonic’s business, financial condition, cash flows, and prospects could be materially and adversely affected. In addition, Tectonic’s CMO and/or distribution partners are responsible for transporting temperature-controlled materials that can be inadvertently degraded during transport due to several factors, rendering certain batches unsuitable for trial use for failure to meet, among others, Tectonic’s integrity and purity specifications. Tectonic and its CMO may also face product seizure or detention or refusal to permit the import or export of products. Tectonic’s business could be materially adversely affected by business disruptions to its third-party providers that could materially adversely affect its anticipated timelines, potential future revenue and financial condition and increase its costs and expenses. Each of these risks could delay or prevent the completion of Tectonic’s preclinical studies and clinical trials or the approval of any of its product candidates by the FDA, result in higher costs or adversely impact commercialization of its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Tectonic relies, and expects to continue to rely, on third parties, including independent clinical investigators, contracted laboratories and CROs, to conduct its preclinical studies and clinical trials. If these third parties do not successfully carry out their contractual duties or meet expected deadlines, Tectonic may not be able to obtain regulatory approval for or commercialize its product candidates and Tectonic’s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Tectonic has relied upon and plan to continue to rely upon third parties, including independent clinical investigators, contracted laboratories and third-party CROs, to conduct its preclinical studies and clinical trials in accordance with applicable regulatory requirements, to validate its assays and to monitor and manage data for its ongoing preclinical and clinical programs. Tectonic relies on these parties for execution of its preclinical studies and clinical trials, and control only certain aspects of their activities. Nevertheless, Tectonic is responsible for ensuring that each of its studies and trials is conducted in accordance with the applicable protocol, legal and regulatory requirements and scientific standards, and its reliance on these third parties does not relieve Tectonic of its regulatory responsibilities. Tectonic and its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Tectonic, its investigators or any of its CROs or contracted laboratories fail to comply with applicable GLPs and GCPs, the clinical data generated in its clinical trials may be deemed unreliable and the FDA or comparable foreign regulatory authorities may require Tectonic to perform additional preclinical studies or clinical trials before approving its marketing applications. Tectonic cannot assure you that upon inspection by a given regulatory authority, such regulatory authority will determine that any of its preclinical studies or clinical trials comply with applicable GLP or GCP regulations. In addition, Tectonic’s clinical trials must be conducted with product, including biologic product, produced in compliance with applicable cGMP regulations. Tectonic’s failure to comply with these regulations may require it to repeat preclinical studies or clinical trials, which would delay the regulatory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Further, these laboratories, investigators and CROs are not Tectonic’s employees and Tectonic will not be able to control, other than by contract, the amount of resources, including time, which they devote to its product candidates and clinical trials. If independent laboratories, investigators or CROs fail to devote sufficient resources to the development of Tectonic’s product candidates, or if their performance is substandard, it may delay or compromise the prospects for approval and commercialization of any product candidates that Tectonic develops. In addition, the use of third-party service providers requires Tectonic to disclose its proprietary information to these parties, which could increase the risk that this information will be misappropriated. </w:t>
      </w:r>
    </w:p>
    <w:p>
      <w:pPr>
        <w:pStyle w:val="TextBody"/>
        <w:bidi w:val="0"/>
        <w:spacing w:before="240" w:after="0"/>
        <w:jc w:val="left"/>
        <w:rPr>
          <w:rFonts w:ascii="Times New Roman" w:hAnsi="Times New Roman"/>
          <w:sz w:val="20"/>
        </w:rPr>
      </w:pPr>
      <w:r>
        <w:rPr>
          <w:rFonts w:ascii="Times New Roman" w:hAnsi="Times New Roman"/>
          <w:sz w:val="20"/>
        </w:rPr>
        <w:t xml:space="preserve">Tectonic’s CROs have the right to terminate their agreements with Tectonic in the event of an uncured material breach. In addition, some of its CROs have an ability to terminate their respective agreements with Tectonic if it can be reasonably demonstrated that the safety of the subjects participating in Tectonic’s clinical trials warrants such termination, if Tectonic makes a general assignment for the benefit of its creditors or if Tectonic is liquidated. </w:t>
      </w:r>
    </w:p>
    <w:p>
      <w:pPr>
        <w:pStyle w:val="TextBody"/>
        <w:bidi w:val="0"/>
        <w:spacing w:before="240" w:after="0"/>
        <w:jc w:val="left"/>
        <w:rPr>
          <w:rFonts w:ascii="Times New Roman" w:hAnsi="Times New Roman"/>
          <w:sz w:val="20"/>
        </w:rPr>
      </w:pPr>
      <w:r>
        <w:rPr>
          <w:rFonts w:ascii="Times New Roman" w:hAnsi="Times New Roman"/>
          <w:sz w:val="20"/>
        </w:rPr>
        <w:t xml:space="preserve">There is a limited number of third-party service providers that specialize or have the expertise required to achieve its business objectives. If any of Tectonic’s relationships with these third-party laboratories, CROs or clinical investigators terminate, Tectonic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its preclinical or clinical protocols, regulatory requirements or for other reasons, its preclinical or clinical trials may be extended, delayed or terminated and Tectonic may not be able to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regulatory approval for or successfully commercialize its product candidates. As a result, Tectonic’s results of operations and the commercial prospects for its product candidates would be harmed, its costs could increase and its ability to generate revenues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Tectonic’s ability to meet its desired clinical development timelines. Though Tectonic carefully manage its relationships with its contracted laboratories and CROs, there can be no assurance that Tectonic will not encounter similar challenges or delays in the future or that these delays or challenges will not have a material adverse impact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clinical investigators may serve as scientific advisors or consultants to Tectonic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Tectonic from commercializing its clinical-stage product candidate or any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future collaborations will be important to its business. If Tectonic is unable to enter into new collaborations, or if these collaborations are not successful, its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 part of Tectonic’s strategy is to strategically evaluate and, as deemed appropriate, enter into additional strategic collaborations in the future when strategically attractive, including potentially with major biotechnology or pharmaceutical companies. Tectonic has limited capabilities for product development and do not yet have any capability for commercialization. Accordingly, Tectonic may enter into collaborations with other companies to provide it with important technologies and funding for its programs and technology. If Tectonic fails to enter into or maintain collaborations on reasonable terms or at all, its ability to develop its existing or future research programs and product candidates could be delayed, the commercial potential of its product could change and its costs of development and commercialization could increase. Furthermore, Tectonic may find that its programs require the use of intellectual property rights held by third parties, and the growth of its business may depend in part on its ability to acquire or in-license these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Any future collaborations Tectonic enters into may pose a number of risks, including, but not limited to, the following: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efforts and resources that they will apply;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Tectonic’s products and product candidates if the collaborators believe that the competitive products are more likely to be successfully developed or can be commercialized under terms that are more economically attractive than Tectonic’s;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Tectonic may be viewed by its collaborators as competitive with their own product candidates or products, which may cause collaborators to cease to devote resources to the commercialization of its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fail to comply with applicable regulatory requirements regarding the development, manufacture, distribution or marketing of a product candidate or product;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with marketing and distribution rights to one or more of Tectonic’s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Tectonic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Tectonic’s intellectual property rights or may use its proprietary information in such a way as to invite litigation that could jeopardize or invalidate its intellectual property or proprietary information or expose Tectonic to potential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Tectonic to litigation and potential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collaborator of Tectonic’s is involved in a business combination, the collaborator might deemphasize or terminate the development or commercialization of any product candidate licensed to it by Tectonic;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by the collaborator, and, if terminated, Tectonic could be required to raise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Tectonic’s collaborations do not result in the successful discovery, development and commercialization of product candidates or if one of its collaborators terminates its agreement with Tectonic, it may not receive any future research funding or milestone or royalty payments under such collaboration. All of the risks relating to product development, regulatory approval and commercialization described in this prospectus also apply to the activities of its therapeutic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of Tectonic’s collaborators terminates its agreement with Tectonic, Tectonic may find it more difficult to attract new collaborators and its perception in the business and financial communities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Tectonic faces significant competition in seeking appropriate collaborative partners. Tectonic’s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Tectonic’s ownership of technology (which can exist if there is a challenge to such ownership regardless of the merits of the challenge)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industry and market conditions generally. The collaborator may also consider alternative product candidates or technologies for similar indications that may be available to collaborate on and whether such a collaboration could be more attractive than the one with Tectonic. </w:t>
      </w:r>
    </w:p>
    <w:p>
      <w:pPr>
        <w:pStyle w:val="TextBody"/>
        <w:bidi w:val="0"/>
        <w:spacing w:before="240" w:after="0"/>
        <w:jc w:val="left"/>
        <w:rPr>
          <w:rFonts w:ascii="Times New Roman" w:hAnsi="Times New Roman"/>
          <w:sz w:val="20"/>
        </w:rPr>
      </w:pPr>
      <w:r>
        <w:rPr>
          <w:rFonts w:ascii="Times New Roman" w:hAnsi="Times New Roman"/>
          <w:sz w:val="20"/>
        </w:rPr>
        <w:t xml:space="preserve">Tectonic may not be able to negotiate collaborations on a timely basis, on acceptable terms, or at all. If Tectonic is unable to do so, Tectonic may have to curtail the development of the product candidate for which Tectonic is seeking to collaborate, reduce or delay its development program or one or more of its other development programs, delay its potential commercialization, reduce the scope of any sales or marketing activities or increase its expenditures and undertake development or commercialization activities at Tectonic’s own expense. If Tectonic elects to increase its expenditures to fund development or commercialization activities on its own, Tectonic may need to obtain additional capital, which may not be available to Tectonic on acceptable terms or at all. If Tectonic does not have sufficient funds, it may not be able to further develop product candidates or bring them to market and generate product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Nonclinical research requires the use of Non-Human Primates (“NHP”), the supply of which could delay or prevent development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various rules, regulations and cGMP requirements, Tectonic’s ability to advance its pre-clinical programs and successfully develop its product candidates requires access to animal research models sufficient to assess safety and in some cases to establish the rationale for therapeutic use. Failure to access or a significant delay in accessing animal research models that meet Tectonic’s needs or that fulfil regulatory requirements may materially adversely affect its ability to advance Tectonic’s pre-clinical programs and successfully develop its product candidates and this could result in significant harm to Tectonic’s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Tectonic is unable to obtain NHPs in sufficient quantities and in a timely manner to meet the needs of its pre-clinical research programs, if the price of NHPs that are available increases significantly, or if Tectonic’s suppliers are unable to ship the NHPs in their possession that are reserved for them, Tectonic’s ability to advance its pre-clinical programs and successfully develop its pre-clinical candidates may be materially adversely affected or significantly delayed.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Related to Tectonic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will incur significantly increased costs as a result of operating as a public company, and its management will be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Tectonic will incur significant legal, accounting and other expenses that it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Tectonic operate its business in ways Tectonic cannot currently anticipate. Tectonic’s management and other personnel will need to devote a substantial amount of time to these compliance initiatives. Moreover, these rules and regulations will increase Tectonic’s legal and financial compliance costs and will make some activities more time-consuming and costlier. For example, Tectonic expects these rules and regulations to make it more difficult and more expensive for Tectonic to obtain director and officer liability insurance and Tectonic may be required to incur substantial costs to maintain its current levels of such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build Tectonic’s finance infrastructure and improve its accounting systems and controls could impair Tectonic’s ability to comply with the financial reporting and internal controls requirements for publicly traded companies.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Tectonic will operate in an increasingly demanding regulatory environment, which requires Tectonic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Tectonic to produce reliable financial reports and are important to help prevent financial fraud. Commencing with Tectonic’s fiscal year ending the year after the Merger is completed, Tectonic must perform system and process evaluation and testing of its internal controls over financial reporting to allow management to report on the effectiveness of Tectonic’s internal controls over financial reporting in its Annual Report on Form 10-K filing for that year, as required by Section 404 of the Sarbanes-Oxley Act. Prior to the closing of the merger, Tectonic has never been required to test its internal controls within a specified period and, as a result, Tectonic may experience difficulty in meeting these reporting requirements in a timely manner. If Tectonic is not able to comply with the requirements of Section 404 of the Sarbanes-Oxley Act in a timely manner, or if Tectonic is unable to maintain proper and effective internal controls, Tectonic may not be able to produce timely and accurate financial statements. If Tectonic cannot provide reliable financial reports or prevent fraud, its business and results of operations could be harmed, investors could lose confidence in Tectonic’s reported financial information and Tectonic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Tectonic will become subject to the periodic reporting requirements of the Exchange Act. Tectonic designed its disclosure controls and procedures to reasonably assure that information Tectonic must disclose in reports it files or submits under the Exchange Act is accumulated and communicated to management, and recorded, processed, summarized and reported within the time periods specified in the rules and forms of the SEC. Tectonic believes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240" w:after="0"/>
        <w:jc w:val="left"/>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For example, Tectonic’s directors or executive officers could inadvertently fail to disclose a new relationship or arrangement causing Tectonic to fail to make any related party transaction disclosures. Additionally, controls can be circumvented by the individual acts of some persons, by collusion of two or more people or by an unauthorized override of the controls. Accordingly, because of the inherent limitations in Tectonic’s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information technology systems of Tectonic, its CROs, its CMOs, service providers, its current and potential future partners or other third parties upon which it relies were compromised, Tectonic could experience adverse consequences, including but not limited to material disruptions to Tectonic’s business operations, regulatory investigations or actions, litigation, fines and penalties, reputational harm, loss of revenue or profits, or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Tectonic collects, stores, receives, processes, generates, uses, transfers, discloses, makes accessible, protects, secures, disposes of, shares, and transmits (collectively, process) proprietary, confidential and sensitive information, including personal information (such as health-related data of clinical trial participants and employee information), in the course of its business. Similarly, third-parties upon which Tectonic relies process certain of that information on Tectonic’s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Cyber-attacks, malicious internet-based activity, online and offline fraud, and other similar activities threaten the confidentiality, integrity, and availability of Tectonic’s sensitive information and information technology systems, and those of the third parties upon which Tectonic relies.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Tectonic’s operations, loss of sensitive data and income, reputational harm, and diversion of funds. Extortion payments may alleviate the negative impact of a ransomware attack, but Tectonic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Security incidents may result from the actions of a wide variety of actors with a wide range of motives and expertise, including traditional hackers, Tectonic personnel or the personnel of the third parties upon which Tectonic relies, organized criminal threat actors, hacktivists, sophisticated nation-states and nation-state-supported actors. During times of war and other major conflicts, Tectonic, the third parties upon which it relies, and Tectonic’s customers may be vulnerable to a heightened risk of these attacks, including retaliatory cyber-attacks, that could materially disrupt Tectonic’s systems and operations, supply chain, and ability to produce, sell and distribute its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Future or past business transactions (such as acquisitions or integrations) could expose Tectonic to additional cybersecurity risks and vulnerabilities, as its systems could be negatively affected by vulnerabilities present in acquired or integrated entities’ systems and technologies. Furthermore, Tectonic may discover security issues that were not found during due diligence of such acquired or integrated entities, and it may be difficult to integrate companies into its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Tectonic’s reliance on third-party service providers could introduce new cybersecurity risks and vulnerabilities, and other threats to its business operations. For example, Tectonic relies on third parties to operate critical business systems and process sensitive data in a variety of contexts, including, without limitation, cloud-based infrastructure, data center facilities, encryption and authentication technology, personnel email, and other functions. Tectonic also relies on third parties, including CROs, clinical trial sites and clinical trial vendors, to collect, store, and transmit sensitive data as part of its research activities. Tectonic’s ability to monitor these third parties is limited, and these third parties may not have adequate information security measures in place. If Tectonic’s third-party service providers experience a security incident or other interruption, Tectonic could experience adverse consequences. While Tectonic may be entitled to damages if its third-party service providers fail to satisfy their privacy or security-related obligations to Tectonic, any award may be insufficient to cover damages, or Tectonic may be unable to recover such awards. Supply-chain attacks have also increased in frequency and severity, and Tectonic cannot guarantee that third parties’ infrastructure in its supply chain or its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Certain functional areas of Tectonic’s workforce work remotely on a full- or part-time basis or otherwise utilize network connections, computers and devices outside of Tectonic’s premises or network, which imposes additional risks to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Tectonic has implemented security measures designed to protect against security incidents, there can be no assurance that these measures will be effective. Tectonic takes steps designed to detect, mitigate, and remediate vulnerabilities in its information systems (such as its hardware and/or software, including that of third parties upon which Tectonic rely). Tectonic may not, however, detect and remediate all such vulnerabilities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on a timely basis. Further, Tectonic may experience delays in developing and deploying remedial measures and patches designed to address identified vulnerabilities. Vulnerabilities could be exploited and result in a security incident. Tectonic maybe required to, or it may choose to, expend significant resources or modify its business activities (including its clinical trial activities) in an effort to protect against security incidents, particularly where required by applicable data privacy and security laws or regulations or industry standards. Certain data privacy and security obligations may require Tectonic to implement and maintain specific security measures or industry-standard or reasonable security measures to protect its information technology systems and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Tectonic’s sensitive information or its information technology systems, or those of the third parties upon which Tectonic rely. If Tectonic’s information systems or data, or that of the third parties on which it relies, are compromised, it could interrupt Tectonic’s operations, disrupt its development programs and have a material adverse effect on its business, financial condition and results of operations. For example, the loss or corruption of clinical trial data from completed or future clinical trials could result in delays in Tectonic’s regulatory approval efforts and significantly increase Tectonic’s costs to recover or reproduce the data. Likewise, Tectonic relies on third parties for the manufacture of TX45, to analyze clinical trial samples and to conduct clinical trials, and security incidents experienced by these third parties could have a material adverse effect on its business. Security incidents affecting Tectonic or the third parties Tectonic relies on or partners with could also result in substantial remediation costs and expose Tectonic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its operations (including availability of data), financial loss and other liabilities and harms. Additionally, such incidents may trigger data privacy and security obligations requiring Tectonic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Tectonic or a third-party partner may result in negative publicity, harm to Tectonic’s reputation, or other adverse effects. </w:t>
      </w:r>
    </w:p>
    <w:p>
      <w:pPr>
        <w:pStyle w:val="TextBody"/>
        <w:bidi w:val="0"/>
        <w:spacing w:before="240" w:after="0"/>
        <w:jc w:val="left"/>
        <w:rPr>
          <w:rFonts w:ascii="Times New Roman" w:hAnsi="Times New Roman"/>
          <w:sz w:val="20"/>
        </w:rPr>
      </w:pPr>
      <w:r>
        <w:rPr>
          <w:rFonts w:ascii="Times New Roman" w:hAnsi="Times New Roman"/>
          <w:sz w:val="20"/>
        </w:rPr>
        <w:t xml:space="preserve">Tectonic’s contracts may not contain limitations of liability, and even where they do, there can be no assurance that limitations of liability in its contracts are sufficient to protect Tectonic from claims related to its data privacy and security obligations. Additionally, Tectonic cannot be certain that its insurance coverage will be adequate for data security liabilities actually incurred, will continue to be available to it on economically and commercially reasonable terms, or at all, or that any insurer will not deny coverage as to any future claim.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Tectonic from public sources, data brokers, or other means that reveals competitively sensitive details about the company and could be used to undermine Tectonic’s competitive advantage or market position. Additionally, sensitive information of Tectonic could be leaked, disclosed, or revealed as a result of or in connection with its employees’, personnel’s, or vendors’ use of generative AI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Tectonic is subject to rapidly changing and increasingly stringent U.S. and foreign laws, regulations, and rules, contractual obligations, industry standards, policies and other obligations relating to privacy, data protection and information security. Tectonic’s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processes proprietary, confidential and sensitive information, including personal information (including health-related data), which subjects it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may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and may apply to Tectonic’s processing of personal information from clinical trial participants and other individuals located in the EEA, the United Kingdom (the “UK”), or Switzerland and, if TX45 or any potential future product candidates are approved, Tectonic’s possible commercialization of those products in the EEA, the UK, or Switzerland (as applicable).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Tectonic can satisfy or rely on these measures to lawfully transfer personal data to the United States. If Tectonic is unable to implement a valid compliance solution for cross-border transfers of personal information, or if the requirements for a legally-compliant transfer are too onerous, Tectonic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Tectonic’s inability to import personal information from the EEA, UK or Switzerland or other countries may also restrict or prohibit its clinical trial activities in those countries; limit its ability to collaborate with CROs, service providers, contractors and other companies subject to laws restricting cross-border data transfers; require Tectonic to increase its data processing capabilities in other countries at significant expense and may otherwise negatively impact Tectonic’s business operations. Tectonic may also become subject to new laws in the EEA and other jurisdictions that regulate cybersecurity and non-personal data, such as data collected through the internet of things. Depending on how these laws are interpreted, Tectonic may have to make changes to its business practices and products to comply with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other countries have enacted or are considering enacting similar cross-border data transfer restrictions and laws requiring local data residency, which could increase the cost and complexity of delivering Tectonic’s services and operating its business. </w:t>
      </w:r>
    </w:p>
    <w:p>
      <w:pPr>
        <w:pStyle w:val="TextBody"/>
        <w:bidi w:val="0"/>
        <w:spacing w:before="240" w:after="0"/>
        <w:jc w:val="left"/>
        <w:rPr>
          <w:rFonts w:ascii="Times New Roman" w:hAnsi="Times New Roman"/>
          <w:sz w:val="20"/>
        </w:rPr>
      </w:pPr>
      <w:r>
        <w:rPr>
          <w:rFonts w:ascii="Times New Roman" w:hAnsi="Times New Roman"/>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contains an exemption for certain personal information processed in connection with clinical trials, Tectonic may process other personal information that is subject to the CCPA. Other states, such as Virginia, Colorado, Connecticut, and Utah, have also passed comprehensive privacy laws that become effective in 2023, and similar laws have been passed or are being considered in several other states, as well as at the federal and local levels. The evolving patchwork of differing state and federal privacy and data security laws increases the cost and complexity of operating Tectonic’s business and increases its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Tectonic is bound by contractual obligations and its efforts to comply with such obligations may not be successful. Tectonic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its practices, Tectonic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Tectonic’s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Tectonic to devote significant resources (including, without limitation, financial and time-related resources). These obligations may necessitate changes to Tectonic’s information technologies, systems and practices and to those of any third parties that process personal information on its behalf. In addition, these obligations may require Tectonic to change aspects of its business model. Although Tectonic endeavors to comply with applicable data privacy and security obligations, Tectonic may at times fail (or be perceived to have failed) to do so. Moreover, despite Tectonic’s efforts, its personnel or third parties upon whom it relies may fail to comply with such obligations, which could impact whether or not it is in compliance. </w:t>
      </w:r>
    </w:p>
    <w:p>
      <w:pPr>
        <w:pStyle w:val="TextBody"/>
        <w:bidi w:val="0"/>
        <w:spacing w:before="240" w:after="0"/>
        <w:jc w:val="left"/>
        <w:rPr>
          <w:rFonts w:ascii="Times New Roman" w:hAnsi="Times New Roman"/>
          <w:sz w:val="20"/>
        </w:rPr>
      </w:pPr>
      <w:r>
        <w:rPr>
          <w:rFonts w:ascii="Times New Roman" w:hAnsi="Times New Roman"/>
          <w:sz w:val="20"/>
        </w:rPr>
        <w:t xml:space="preserve">If Tectonic (or third parties on which it relies) fail, or are perceived to have failed, to address or comply with data privacy, protection and security obligations, Tectonic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Tectonic’s reputation, business or financial condition, including but not limited to: loss of customers; interruptions or stoppages in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operations (including clinical trials); inability to process personal information or to operate in certain jurisdictions; limited ability to develop or commercialize its products; expenditure of time and resources to defend any claim or inquiry; adverse publicity; or revision or restructuring of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or the third parties upon whom it depends may be adversely affected by earthquakes, fires or other natural disasters and Tectonic’s business continuity and disaster recovery plans may not adequately protect Tectonic from a serious disaster. </w:t>
      </w:r>
    </w:p>
    <w:p>
      <w:pPr>
        <w:pStyle w:val="TextBody"/>
        <w:bidi w:val="0"/>
        <w:spacing w:before="120" w:after="0"/>
        <w:jc w:val="left"/>
        <w:rPr>
          <w:rFonts w:ascii="Times New Roman" w:hAnsi="Times New Roman"/>
          <w:sz w:val="20"/>
        </w:rPr>
      </w:pPr>
      <w:r>
        <w:rPr>
          <w:rFonts w:ascii="Times New Roman" w:hAnsi="Times New Roman"/>
          <w:sz w:val="20"/>
        </w:rPr>
        <w:t xml:space="preserve">If earthquakes, fires, other natural disasters, terrorism and similar unforeseen events beyond Tectonic’s control prevent it from using all or a significant portion of its headquarters or other facilities, it may be difficult or, in certain cases, impossible for Tectonic to continue its business for a substantial period of time. Tectonic does not have a disaster recovery or business continuity plan in place and may incur substantial expenses as a result of the absence or limited nature of Tectonic’s internal or third-party service provider disaster recovery and business continuity plans, which could have a material adverse effect on Tectonic’s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Tectonic’s business. If such an event were to affect Tectonic’s supply chain, it could have a material adverse effect on Tectonic’s ability to conduct its clinical trials, its development plans and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conducts certain research and development operations through its Australian wholly-owned subsidiary. If Tectonic loses its ability to operate in Australia, or if its subsidiary is unable to receive the research and development incentive payment allowed by Australian regulations, Tectonic’s business and results of operations could suffer.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Tectonic formed a wholly-owned Australian subsidiary, Tectonic Therapeutic Pty Ltd., to conduct various preclinical studies and clinical trials for its product candidates in Australia. Due to the geographical distance and lack of employees currently in Australia, as well as Tectonic’s lack of experience operating in Australia, Tectonic may not be able to efficiently or successfully monitor its clinical activities in Australia, including conducting preclinical studies and clinical trials. Furthermore, Tectonic has no assurance that the results of any clinical trials that Tectonic conducts for its product candidate in Australia will be accepted by the FDA or comparable foreign regulatory authorities for development and commercialization approvals.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current Australian tax regulations provide for a refundable research and development incentive payment equal to 43.5% of qualified expenditures to companies with an annual turnover of less than AU$20 million. Tectonic Therapeutic Pty Ltd. may be eligible to receive incentive payments during 2024 for research expenditures made during 2023 and 2022. If its subsidiary loses its ability to operate in Australia, or if Tectonic is ineligible or unable to receive the research and development incentive payment, or the Australian government significantly reduces or eliminates the incentive program, Tectonic’s business and results of operation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Legislation or other changes in U.S. tax law could adversely affect Tectonic’s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Tectonic. In recent years, many changes have been made to applicable tax laws and changes are likely to continue to occur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cannot be predicted whether, when, in what form, or with what effective dates, new tax laws may be enacted, or regulations and rulings may be enacted, promulgated or issued under existing or new tax laws, which could result in an increase in Tectonic’s tax liability or require changes in the manner in which Tectonic operates in order to minimize or mitigate any adverse effects of changes in tax law or in the interpretation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ability to use Tectonic’s U.S. net operating loss carryforwards and certain other U.S.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Tectonic had U.S. federal net operating loss carryforwards of approximately $43.6 million. The amount of net operating loss carryforwards that Tectonic is permitted to deduct is limited to 80% of taxable income in each such taxable year to which the net operating loss carryforwards are applied. In addition, Tectonic’s U.S. federal net operating losses and tax credits may be subject to limitations under Sections 382 and 383 of the Code, if Tectonic has undergone or undergoes an “ownership change,” generally defined as a greater than 50 percentage point change (by value) in its equity ownership by certain stockholders over a rolling three-year period. Tectonic may have experienced such ownership changes in the past and may experience ownership changes in the future as a result of shifts in its stock ownership, some of which are outside its control. Tectonic’s net operating losses and tax credits may also be impaired or restricted under state law.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utilize its net operating loss carryforwards could be limited by an “ownership change” as described above, which could result in increased tax liability to Tectonic.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Tectonic’s business, financial condition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Tectonic’s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Tectonic’s growth strategy and financial performance and could require Tectonic to delay or abandon clinical development plans. In addition, there is a risk that one or more of Tectonic’s current service providers, manufacturers and other partners may not survive an economic downturn, which could directly affect Tectonic’s ability to attain its operating goals on schedule and on budget. </w:t>
      </w:r>
    </w:p>
    <w:p>
      <w:pPr>
        <w:pStyle w:val="TextBody"/>
        <w:bidi w:val="0"/>
        <w:spacing w:before="240" w:after="0"/>
        <w:jc w:val="left"/>
        <w:rPr>
          <w:rFonts w:ascii="Times New Roman" w:hAnsi="Times New Roman"/>
          <w:sz w:val="20"/>
        </w:rPr>
      </w:pPr>
      <w:r>
        <w:rPr>
          <w:rFonts w:ascii="Times New Roman" w:hAnsi="Times New Roman"/>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uncertainty to regulations and rules that may materially affect Tectonic’s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changes in financial accounting standards or practices may cause adverse and unexpected revenue fluctuations and adversely affect its reported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Future changes in financial accounting standards may cause adverse, unexpected revenue fluctuations and affect Tectonic’s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Tectonic may be required to make changes in its accounting policies. Those changes could affect Tectonic’s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results of operations or the way in which such financial condition and results of operations are reported. Compliance with new accounting standards may also result in additional expenses. As a result, Tectonic intends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 or any CMOs and suppliers Tectonic engages fail to comply with environmental, health and safety laws and regulations, Tectonic could become subject to fines or penalties or incur costs that could have a material adverse effect on the success of Tectonic’s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and any CMOs and suppliers it engages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Tectonic’s operations involve the use of hazardous and flammable materials, including chemicals and biological and radioactive materials. Tectonic’s operations also produce hazardous waste. Tectonic generally contracts with third parties for the disposal of these materials and wastes. Tectonic cannot eliminate the risk of contamination or injury from these materials. In the event of contamination or injury resulting from Tectonic’s use of hazardous materials, Tectonic could be held liable for any resulting damages, and any liability could exceed Tectonic’s resources. Under certain environmental laws, Tectonic could be held responsible for costs relating to any contamination at third-party facilities. Tectonic could also incur significant costs associated with civil or criminal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applicable environmental laws and regulations may be expensive, and current or future environmental laws and regulations may impair Tectonic’s research and product development efforts. In addition, Tectonic cannot entirely eliminate the risk of accidental injury or contamination from these materials or wastes. Although Tectonic maintains workers’ compensation insurance to cover it for costs and expenses it may incur due to injuries to its employees resulting from the use of hazardous materials, this insurance may not provide adequate coverage against potential liabilities. Tectonic does not carry specific biological or hazardous waste insurance coverage, and Tectonic’s property, casualty and general liability insurance policies specifically exclude coverage for damages and fines arising from biological or hazardous waste exposure or contamination. Accordingly, in the event of contamination or injury, Tectonic could be held liable for damages or be penalized with fines in an amount exceeding its resources, and Tectonic’s clinical trials or regulatory approvals could be suspended, which could have a material adverse effect on Tectonic’s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regulations and permitting requirements also may result in substantial fines, penalties or other sanctions or business disruption, which could have a material adverse effect on Tectonic’s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Any third-party CMOs and suppliers Tectonic engages will also be subject to these and other environmental, health and safety laws and regulations. Liabilities they incur pursuant to these laws and regulations could result in significant costs or an interruption in operations, which could have a material adverse effect on Tectonic’s business, financial condition, results of operations and prospects. </w:t>
      </w:r>
    </w:p>
    <w:p>
      <w:pPr>
        <w:pStyle w:val="TextBody"/>
        <w:bidi w:val="0"/>
        <w:spacing w:before="360" w:after="0"/>
        <w:jc w:val="left"/>
        <w:rPr>
          <w:rFonts w:ascii="Times New Roman" w:hAnsi="Times New Roman"/>
          <w:b/>
          <w:sz w:val="20"/>
        </w:rPr>
      </w:pPr>
      <w:bookmarkStart w:id="36" w:name="toc770053_34"/>
      <w:bookmarkEnd w:id="36"/>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AVROBIO” or “Risks Related to Tectonic”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titled “</w:t>
      </w:r>
      <w:r>
        <w:rPr>
          <w:rFonts w:ascii="Times New Roman" w:hAnsi="Times New Roman"/>
          <w:i/>
          <w:sz w:val="20"/>
        </w:rPr>
        <w:t>Risks Related to AVROBIO</w:t>
      </w:r>
      <w:r>
        <w:rPr>
          <w:rFonts w:ascii="Times New Roman" w:hAnsi="Times New Roman"/>
          <w:sz w:val="20"/>
        </w:rPr>
        <w:t>” and “</w:t>
      </w:r>
      <w:r>
        <w:rPr>
          <w:rFonts w:ascii="Times New Roman" w:hAnsi="Times New Roman"/>
          <w:i/>
          <w:sz w:val="20"/>
        </w:rPr>
        <w:t>Risks Related to Tectonic</w:t>
      </w:r>
      <w:r>
        <w:rPr>
          <w:rFonts w:ascii="Times New Roman" w:hAnsi="Times New Roman"/>
          <w:sz w:val="20"/>
        </w:rPr>
        <w:t xml:space="preserve">” beginning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48 and 107, respectively, of this proxy statement/prospectus. To the extent 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company’s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Some of the factors that may cause the market price of the combined company’s common stock to fluctuate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the combined company’s product candidates, or those of the combined company’s competitors or the combined company’s existing or future collaborators;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does not achieve the perceived benefits of the merger as rapidly or to the extent anticipated by financial or industry analysts;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the combined company’s product candidates, clinical studies, manufacturing process or sales and marketing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adverse or misleading opinions regarding its business and stock;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the combined company or its securityholders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raise an adequate amount of capital to fund its operations or continued development of its product candidates;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the products and services of the combined company; and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Moreover, the stock markets in general have experienced, and continue to experience, substantial volatility that has often been unrelated to the operating performance of individual companies. These broad market fluctuations may also adversely affect the trading price of the combined company’s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shareholder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might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 the combined company may be unable to integrate successfully the businesses of AVROBIO and Tectonic and realize the anticipated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involves the combination of two companies which currently operate as independent companies. Following the merger, the combined company will be required to devote significant management attention and resources to integrating its business practices and operations. The combined company may fail to realize some or all of the anticipated benefits of the merger if the integration process takes longer than expected or is more costly than expected. Potential difficulties the combined company may encounter in the integration process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the businesses of AVROBIO and Tectonic in a manner that permits the combined company to achieve the anticipated benefits from the merger, which would result in the anticipated benefits of the merger not being realized partly or wholly in the time frame currently anticipated or at all;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controls, procedures, policies and information systems;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AVROBIO and Tectonic have operated and, until the completion of the merger, will continue to operate, independently. It is possible that the integration process also could result in the diversion of each company’s management’s attention, the disruption or interruption of, or the loss of momentum in, each company’s ongoing businesses or inconsistencies in standards, controls, procedures and policies, any of which could adversely affect the combined company’s ability to maintain its business relationships or the ability to achieve the anticipated benefits of the merger, or could otherwise adversely affect the business and financial results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assets subject to the CVR Agreement are not disposed of in a timely manner, the combined company may have to incur time and resources to wind down or dispose of such assets. </w:t>
      </w:r>
    </w:p>
    <w:p>
      <w:pPr>
        <w:pStyle w:val="TextBody"/>
        <w:bidi w:val="0"/>
        <w:spacing w:before="120" w:after="0"/>
        <w:jc w:val="left"/>
        <w:rPr>
          <w:rFonts w:ascii="Times New Roman" w:hAnsi="Times New Roman"/>
          <w:sz w:val="20"/>
        </w:rPr>
      </w:pPr>
      <w:r>
        <w:rPr>
          <w:rFonts w:ascii="Times New Roman" w:hAnsi="Times New Roman"/>
          <w:sz w:val="20"/>
        </w:rPr>
        <w:t>In connection with the merger, AVROBIO intends to declare a dividend to each person who as of immediately prior to the effective time was a stockholder of record of AVROBIO or had the right to receive AVROBIO common stock of the right to receive one non-transferable CVR for each then outstanding share of AVROBIO common stock, each representing the non-transferable contractual right to receive certain contingent payments from AVROBIO upon the occurrence of certain events within agreed time periods. Please see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Pursuant to the terms of the CVR Agreement, the holders of AVROBIO common stock prior to the closing, rather than the holders of the combined company’s common stock, are the primary recipients of any net proceeds of the disposition (including a license) of the assets subject to the CVR Agreement. 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Absent such CVR Agreement, the combined company may have allocated such funds, time and resources to its core programs and the foregoing could be a distraction to the combined company’s management and employees. As a result, the combined company’s operations and financial condition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additional costs and increased demands upon management as a result of complying with the laws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as a public company that Tectonic did not incur as a private company, including costs associated with public company reporting obligations under the Exchange Act. The combined company’s management team will consist of the executive officers of Tectonic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Upon completion of the merger, failure by the combined company to comply with the initial listing standards or continued listing standards of Nasdaq will prevent its stock from being listed on Nasdaq or may result in delisting from Nasdaq. </w:t>
      </w:r>
    </w:p>
    <w:p>
      <w:pPr>
        <w:pStyle w:val="TextBody"/>
        <w:bidi w:val="0"/>
        <w:spacing w:before="120" w:after="0"/>
        <w:jc w:val="left"/>
        <w:rPr>
          <w:rFonts w:ascii="Times New Roman" w:hAnsi="Times New Roman"/>
          <w:sz w:val="20"/>
        </w:rPr>
      </w:pPr>
      <w:r>
        <w:rPr>
          <w:rFonts w:ascii="Times New Roman" w:hAnsi="Times New Roman"/>
          <w:sz w:val="20"/>
        </w:rPr>
        <w:t>Upon completion of the merger, AVROBIO, under the new name “Tectonic Therapeutic, Inc.,” will be required to meet the initial listing requirements to maintain the listing and continued trading of its shares on Nasdaq. These initial listing requirements are more difficult to achieve than the continued listing requirements. Pursuant to the Merger Agreement, AVROBIO agreed to use its commercially reasonable efforts to cause the shares of AVROBIO common stock issued in the merger to be approved for listing on Nasdaq at or prior to the effective time of the merger, although such condition may be waived in writing by AVROBIO, Merger Sub and Tectonic. For more information, see the section titled “</w:t>
      </w:r>
      <w:r>
        <w:rPr>
          <w:rFonts w:ascii="Times New Roman" w:hAnsi="Times New Roman"/>
          <w:i/>
          <w:sz w:val="20"/>
        </w:rPr>
        <w:t>Risk Factors—Risks Related to the Merger—AVROBIO or Tectonic may waive one or more of the conditions to the merger without recirculation of this proxy statement/prospectus or resoliciting stockholder approval”</w:t>
      </w:r>
      <w:r>
        <w:rPr>
          <w:rFonts w:ascii="Times New Roman" w:hAnsi="Times New Roman"/>
          <w:sz w:val="20"/>
        </w:rPr>
        <w:t xml:space="preserve"> on page 37 of this proxy statement/prospectus. Based on information currently available to AVROBIO, AVROBIO anticipates that, at the closing, its stock will be unable to meet the $4.00 (or, to the extent applicable, $3.00) minimum bid price initial listing requirement, which requires the combined company to maintain a minimum bid price of $4.00 per share over a 30-day trading period prior to listing, unless it effects a reverse stock split. The AVROBIO Board intends to effect a reverse stock split of the shares of AVROBIO common stock at a ratio of between 1:3 to 1:30. In addition, often times a reverse stock split will not result in a trading price for the affected common stock that is proportional to the ratio of the split. If the combined company fails to meet the initial listing requirements of Nasdaq and AVROBIO and Tectonic choose to close the merger without Nasdaq’s approval, Nasdaq may notify the combined company that its shares of common stock will not be listed on Nasdaq. Additionally, even if the combined company is able to comply with initial listing standards of Nasdaq, there can be no assurance that the combined company will be able to thereafter maintain compliance with the continued listing standards of Nasdaq. In the event of such failure to satisfy continued listing standards, if the combined company is unable to regain compliance with the continued listing standards, Nasdaq may notify the combined company of the delisting of its common stock from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common stock of the combined company cannot be listed on Nasdaq or upon a potential delisting from Nasdaq, if the common stock of the combined company is not then eligible for quotation on another market or exchange,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which may make it more difficult for stockholders to buy and sell shares;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a “smaller reporting company,” as such term is defined in Rule 12b-2 under the Exchange Act, in at least the near term, the combined company may take advantage of certain exemptions from disclosure requirements, including not being required to comply with the auditor attestation requirements of Section 404 of the Sarbanes-Oxley Act and reduced disclosure obligations regarding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compensation in this proxy statement/prospectus and in the combined company’s periodic reports and proxy statements.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company’s common stock may be harmed. For example, if the combined company or its independent auditor identifies deficiencies in the combined company’s internal control over financial reporting that are deemed to be material weaknesses the combined company could face additional costs to remedy those deficiencies, the market price of the combined company’s stock could decline or the combined company could be subject to sanctions or investigations by the SEC or other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Provided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Sarbanes-Oxley Act. As a private company, Tectonic has never been required to test its internal controls within a specified period. This will require that the combined company incur substantial professional fees and internal costs to expand its accounting and finance functions and that it expends significant management efforts. The combined company may experience difficulty in meeting these reporting requirements in a timely manner. For additional information related to the risks and uncertainties of the combined company’s compliance with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material weaknesses described above in the context of Tectonic being a private company, the combined company may discover weaknesses in its system of internal financial and accounting controls and procedures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for AVROBIO and Tectonic included in this proxy statement/prospectus are preliminary, and the combined company’s actual financial position and operations after the merger may differ materially from the unaudited pro forma financial information included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financial information for AVROBIO and Tectonic included in this proxy statement/prospectus are presented for illustrative purposes only and is not necessarily indicative of the combined company’s actual financial condition or results of operations of future periods, or the financial condition or results of operations that would have been realized had the entities been combined during the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combined company’s actual results and financial position after the merger may differ materially and adversely from the unaudited pro forma financial information included in this proxy statement/prospectus. The exchange ratio reflected in this proxy statement/prospectus is preliminary. The final exchange ratio could differ materially from the preliminary Exchange Ratio used to prepare the pro forma adjustments.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440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certificate of incorporation and bylaws and provisions under Delaware law could make an acquisition of the combined company more difficult and may prevent attempts by its stockholders to replace or remove its management.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AVROBIO’s bylaws and AVROBIO’s charter, as amended by the amendments thereto attached to this proxy statement/prospectus as </w:t>
      </w:r>
      <w:r>
        <w:rPr>
          <w:rFonts w:ascii="Times New Roman" w:hAnsi="Times New Roman"/>
          <w:sz w:val="20"/>
          <w:u w:val="single"/>
        </w:rPr>
        <w:t>Annexes G</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assuming Proposal Nos. 2 and 3 are approved by AVROBIO stockholders at the special meeting, will become the combined company’s bylaws and certificate of incorporation. Provisions that will be included in the combined company’s certificate of incorporation and bylaws may discourage, delay or prevent a merger, acquisition or other change in control of the combined company that stockholders may consider favorable, including transactions in which its common stockholders might otherwise receive a premium price for their shares. These provisions could also limit the price that investors might be willing to pay in the future for shares of the combined company’s common stock, thereby depressing the market price of its common stock. In addition, because the combined company’s board of directors will be responsible for appointing the members of the combined company’s management team, these provisions may frustrate or prevent any attempts by the combined company’s stockholders to replace or remove its current management by making it more difficult for stockholders to replace members of the combined company’s board of directors. Among other things, these provisions: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 classified board of directors such that all members of the board are not elected at one time;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its directors to be changed only by resolution of its board of directors;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nominations for election to the board of directors or for proposing matters that can be acted on at stockholder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its stockholders by written consent;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special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its board of directors to issue preferred stock without stockholder approval, which could be used to institute a “poison pill” that would work to dilute the stock ownership of a potential hostile acquirer, effectively preventing acquisitions that have not been approved by its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66.67% of the votes that all its stockholders would be entitled to cast to amend or repeal certain provisions of its charter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the combined company will be incorporated in Delaware, it is governed by the provisions of Section 203 of the DGCL, which prohibits stockholders owning in excess of 15% of the outstanding combined company voting stock from merging or combining with the combined company. Although AVROBIO and Tectonic believe these provisions collectively will provide for an opportunity to receive higher bids by requiring potential acquirors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bylaws of the combined company will provide that, unless the combined company consents in writing to the selection of an alternative forum, certain designated courts will be the sole and exclusive forum for certain legal actions between the combined company and its stockholders, which could limit its stockholders’ ability to obtain a favorable judicial forum for disputes with the combined company or its directors, officers, employees or agents. </w:t>
      </w:r>
    </w:p>
    <w:p>
      <w:pPr>
        <w:pStyle w:val="TextBody"/>
        <w:bidi w:val="0"/>
        <w:spacing w:before="120" w:after="0"/>
        <w:jc w:val="left"/>
        <w:rPr>
          <w:rFonts w:ascii="Times New Roman" w:hAnsi="Times New Roman"/>
          <w:sz w:val="20"/>
        </w:rPr>
      </w:pPr>
      <w:r>
        <w:rPr>
          <w:rFonts w:ascii="Times New Roman" w:hAnsi="Times New Roman"/>
          <w:sz w:val="20"/>
        </w:rPr>
        <w:t xml:space="preserve">The bylaws of the combined company will provide that, unless it consents in writing to an alternative forum, the Court of Chancery of the State of Delaware is the sole and exclusive forum for state law claims for (i) any derivative action or proceeding brought on its behalf, (ii) any action asserting a claim of or based on a breach of a fiduciary duty owed by any of its current or former directors, officers, or other employees to the combined company or its stockholders, (iii) any action asserting a claim arising pursuant to any provision of the DGCL, its charter or its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The bylaws of the combined company will further provide that, unless it consents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the bylaws of the combined company will provide that any person or entity purchasing or otherwise acquiring any interest in shares of its capital stock is deemed to have notice of and consented to the foregoing Delaware Forum Provision and Federal Forum Provision; provided, however, that stockholders cannot and will not be deemed to have waived its compliance with the U.S.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impose additional litigation costs on stockholders of the combined company in pursuing any such claims, particularly if the stockholders do not reside in or near the State of Delaware. Additionally, the forum selection clauses in the bylaws of the combined company may limit its stockholders’ ability to bring a claim in a judicial forum that they find favorable for disputes with the combined company or its directors, officers or employees, which may discourage such lawsuits against the combined company and its directors, officers and employees even though an action, if successful, might benefit its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the combined company’s Federal Forum Provision. The Federal Forum Provision may also impose additional litigation costs on stockholders who assert the provision is unenforceable, and if the Federal Forum Provision is found to be unenforceable, the combined company may incur additional costs with resolving such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and Tectonic do not anticipate that the combined company will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growth of the combined company’s business as opposed to paying dividends. As a result, capital appreciation, if any, of the common stock of the combined company will be your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develop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shares of Tectonic capital stock. An active trading market for the combined company’s shares of common stock may never develop or be sustained. If an active market for the combined company’s common stock does not develop or is not sustained, it may be difficult for its stockholders to sell their shares at an attractive price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Transfers of the combined company’s securities utilizing Rule 144 of the Securities Act may be limited. </w:t>
      </w:r>
    </w:p>
    <w:p>
      <w:pPr>
        <w:pStyle w:val="TextBody"/>
        <w:bidi w:val="0"/>
        <w:spacing w:before="120" w:after="0"/>
        <w:jc w:val="left"/>
        <w:rPr>
          <w:rFonts w:ascii="Times New Roman" w:hAnsi="Times New Roman"/>
          <w:sz w:val="20"/>
        </w:rPr>
      </w:pPr>
      <w:r>
        <w:rPr>
          <w:rFonts w:ascii="Times New Roman" w:hAnsi="Times New Roman"/>
          <w:sz w:val="20"/>
        </w:rPr>
        <w:t>A significant portion of the combined company’s securities are restricted from immediate resale. Holders should be aware that transfers of the combined company’s securities pursuant to Rule 144 under the Securities Act (“Rule 144”) may be limited as Rule 144 is not available, subject to certain exceptions, for the resale of securities initially issued by shell companies (other than business combination related shell companies) or issuers that have been at any time previously a shell company. AVROBIO’s disposal of certain of its historical assets and operations, the halting of its remaining programs and the proposed merger with Tectonic will make AVROBIO subject to the SEC requirements applicable to reporting shell company business combinations. We anticipate that following the consummation of the merger, the combined company will no longer be a shell company. As a result, we anticipate that holders will not be able to sell their restricted combined company securities pursuant to Rule 144 without registration until one year after the combined company files the Current Report on Form 8-K following the closing that includes the required Form 10 information that reflects the combined company is no longer a shell company. For more information, see the section titled “</w:t>
      </w:r>
      <w:r>
        <w:rPr>
          <w:rFonts w:ascii="Times New Roman" w:hAnsi="Times New Roman"/>
          <w:i/>
          <w:sz w:val="20"/>
        </w:rPr>
        <w:t>Securities Act Restrictions on Resale of AVROBIO</w:t>
      </w:r>
      <w:r>
        <w:rPr>
          <w:rFonts w:ascii="Times New Roman" w:hAnsi="Times New Roman"/>
          <w:sz w:val="20"/>
        </w:rPr>
        <w:t xml:space="preserve"> </w:t>
      </w:r>
      <w:r>
        <w:rPr>
          <w:rFonts w:ascii="Times New Roman" w:hAnsi="Times New Roman"/>
          <w:i/>
          <w:sz w:val="20"/>
        </w:rPr>
        <w:t>Common Stock</w:t>
      </w:r>
      <w:r>
        <w:rPr>
          <w:rFonts w:ascii="Times New Roman" w:hAnsi="Times New Roman"/>
          <w:sz w:val="20"/>
        </w:rPr>
        <w:t xml:space="preserve">” beginning on page 456 of this proxy statement/prospectus. </w:t>
      </w:r>
    </w:p>
    <w:p>
      <w:pPr>
        <w:pStyle w:val="TextBody"/>
        <w:bidi w:val="0"/>
        <w:spacing w:before="240" w:after="0"/>
        <w:jc w:val="left"/>
        <w:rPr>
          <w:rFonts w:ascii="Times New Roman" w:hAnsi="Times New Roman"/>
          <w:b/>
          <w:i/>
          <w:sz w:val="20"/>
        </w:rPr>
      </w:pPr>
      <w:r>
        <w:rPr>
          <w:rFonts w:ascii="Times New Roman" w:hAnsi="Times New Roman"/>
          <w:b/>
          <w:i/>
          <w:sz w:val="20"/>
        </w:rPr>
        <w:t xml:space="preserve">AVROBIO’s disposal of certain of its historical assets and operations, the halting of its remaining programs and the proposed merger with Tectonic resulting in the conversion of Tectonic into a public company shall make AVROBIO subject to the SEC requirements applicable to reporting shell company business combinations. As a result, the combined company will be subject to more stringent reporting requirements, offering limitations and resale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AVROBIO has halted development of its remaining programs and had previously implemented the Cystinosis Sale. As such, AVROBIO’s plan to merge with Tectonic, resulting in the conversion of Tectonic into a public company, shall be subject to the SEC requirements applicable to reporting shell company business combinations, which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file a Form 8-K to report the Form 10 type information after closing with the SEC reflecting its status as an entity that is not a shell company;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not be eligible to use a Form S-3 until 12 full calendar months after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wait at least 60 calendar days after closing to file a Form S-8 for any equity plans or awards such as the 2024 Plan and the 2024 ESPP;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an “ineligible issuer” for three years following the closing, which will prevent the combined company from (i) incorporating by reference in its Form S-1 filings, (ii) using a free writing prospectus or (iii) taking advantage of the well-known seasoned issuer (also known as a “WKSI”) status despite its public float;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who (i) were affiliates of Tectonic at the time the merger was submitted for the vote or consent of Tectonic’s stockholders, (ii) receive securities of the combined company in the merger (i.e., Rule 145(c) securities) and (iii) publicly offer or sell such securities will be deemed to be engaged in a distribution of such securities, and therefore to be underwriters with respect to resales of those securities, and accordingly such securities may not be included in the Form S-1 resale shelf registration statement anticipated to be filed after the closing of the merger unless such securities are sold only in a fixed price offering in which such investors are named as underwriters in the 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 144(i)(2) will limit the ability to publicly resell Rule 145(c) securities per Rule 145(d), as well as any other “restricted” or “control” securities of the combined company per Rule 144 (e.g., holders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securities and any affiliates of the public company are also affected) until one year after the Form 10 information is filed with the SEC. Non-affiliate AVROBIO stockholders prior the merger will not be subject to such restrictions on public resales of their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SEC requirements will increase the combined company’s time and cost of raising capital, offering stock under equity plans, and complying with securities laws. Further, such requirements will add burdensome restrictions on the resale of combined company shares by affiliates of Tectonic and any holders of “restricted” or “control”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securityholders of AVROBIO and Tectonic sell, or indicate an intention to sell, substantial amounts of the combined company’s common stock in the public market after legal restrictions on resale discussed in this proxy statement/prospectus lapse, the trading price of the common stock of the combined company could decline. Based on shares outstanding as of January 30, 2024, after giving effect to the estimated exchange ratio and the shares of Tectonic common stock to be issued in the private financings and shares expected to be issued upon completion of the merger and prior to giving effect to the anticipated AVROBIO reverse stock split, the combined company is expected to have outstanding a total of approximately 193,600,366 shares of common stock immediately following the completion of the merger. Of the shares of common stock, approximately 104,829,143 shares will be available for sale in the public market beginning 180 days after the closing as a result of the expiration of lock-up agreements between AVROBIO and Tectonic on the one hand and certain securityholders of AVROBIO and Tectonic on the other hand (and without giving effect to any restrictions on resale under securities laws). All other outstanding shares of common stock, other than shares held by affiliates of the combined company, shares of Tectonic common stock issued in the private financings, will be freely tradable, without restriction, in the public market (other than restrictions under applicable securities laws). In addition, shares of common stock that are subject to outstanding options of Tectonic will become eligible for sale in the public market to the extent permitted by the provisions of various vesting agreements and Rules 144 and 701 under the Securities Act. If these shares are sold, the trading price of the combined company’s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will be influenced by the research and reports that equity research analysts publish about it and its business. Equity research analysts may elect to not provide research coverage of the combined company’s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have broad discretion in the use of the cash and cash equivalents of the combined company and the proceeds from the private financings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have broad discretion over the use of the cash and cash equivalents of the combined company and the proceeds from the private financings. You may not agree with the combined company’s decisions, and its use of the proceeds may not yield any return on your investment. The combined company’s failure to apply these resources effectively could compromise its ability to pursue its growth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combined company might not be able to yield a significant return, if any, on its investment of these net proceeds. You will not have the opportunity to influence its decisions on how to use the combined company’s cash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could adversely affect the combined company or its stockholders. The combined company will assess the impact of various tax reform proposals and modifications to existing tax treaties in all jurisdictions where the combined company has operations to determine the potential effect on its business and any assumptions the combined company will make about its future taxable income. It cannot predict whether any specific proposals will be enacted, the terms of any such proposals or what effect, if any, such proposals would have on its business if they were to be enacted. For example, the United States recently enacted the IRA, which implements, among other changes, a 1% excise tax on certain stock buybacks. In addition, beginning in 2022, the Tax Cuts and Jobs Act eliminates the currently available option to deduct research and development expenditures and requires taxpayers to amortize them generally over five or fifteen years (for research activities conducted in the United States or outside the United States, respectively). The U.S. Congress is considering legislation that would restore the current deductibility of research and development expenditures, however, there is no assurance that the provision will be repealed or otherwise modified. Such changes, among others, may adversely affect its effective tax rate, results of operation and general business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ability to use net operating loss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Under current law, U.S. federal net operating loss carryforwards generated in taxable periods beginning after December 31, 2017, may be carried forward indefinitely, but the deductibility of such net operating loss carryforwards is limited to 80% of taxable income. It is uncertain if and to what extent various states will conform to federal law. In addition, under Sections 382 and 383 of the Code, U.S. federal net operating loss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The combined company’s ability to utilize its net operating loss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be exposed to increased litigation, including stockholder litigation, which could have an adverse effect on the combined company’s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be exposed to increased litigation from stockholders, suppliers and other third parties due to the combination of AVROBIO’s business and Tectonic’s business following the merger. Such litigation may have an adverse impact on the combined company’s business and results of operations or may cause disruptions to the combined company’s operations. In addition, in the past, stockholders have initiated class action lawsuits against biotechnology companies following periods of volatility in the market prices of these companies’ common stock. Such litigation, if instituted against the combined company, could cause the combined company to incur substantial costs and divert management’s attention and resources, which could have a material adverse effect on the combined company’s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company’s internal control over financial reporting may not meet the standards required by Section 404 of the Sarbanes-Oxley Act, and failure to achieve and maintain effective internal control over financial reporting in accordance with Section 404 of the Sarbanes-Oxley Act, could have a material adverse effect on the combined company’s business and share price. </w:t>
      </w:r>
    </w:p>
    <w:p>
      <w:pPr>
        <w:pStyle w:val="TextBody"/>
        <w:bidi w:val="0"/>
        <w:spacing w:before="120" w:after="0"/>
        <w:jc w:val="left"/>
        <w:rPr>
          <w:rFonts w:ascii="Times New Roman" w:hAnsi="Times New Roman"/>
          <w:sz w:val="20"/>
        </w:rPr>
      </w:pPr>
      <w:r>
        <w:rPr>
          <w:rFonts w:ascii="Times New Roman" w:hAnsi="Times New Roman"/>
          <w:sz w:val="20"/>
        </w:rPr>
        <w:t xml:space="preserve">As a privately held company, Tectonic was not required to evaluate its internal control over financial reporting in a manner that meets the standards of publicly traded companies required by Section 404 of the Sarbanes-Oxley Act, or Section 404. Following the merger, the combined company’s management will be required to report on the effectiveness of the combined company’s internal control over financial reporting. The rules governing the standards that must be met for the combined company’s management to assess the combined company’s internal control over financial reporting are complex and require significant documentation, testing and possible remediation.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maintain effective internal control over financial reporting could severely inhibit the combined company’s ability to accurately report its financial condition, results of operations or cash flows. If the combined company is unable to conclude that its internal control over financial reporting is effective, or if the combined company’s independent registered public accounting firm determines the combined company has a material weakness or significant deficiency in the combined company’s internal control over financial reporting once that firm begins its reporting on internal control over financial reporting, investors may lose confidence in the accuracy and completeness of the combined company’s financial reports, the market price of the combined company’s common stock could decline, and the combined company could be subject to sanctions or investigations by Nasdaq, the SEC or other regulatory authorities. Failure to remedy any material weakness in the combined company’s internal control over financial reporting, or to implement or maintain other effective control systems required of public companies, could also restrict the combined company’s future access to the capital markets. </w:t>
      </w:r>
    </w:p>
    <w:p>
      <w:pPr>
        <w:pStyle w:val="TextBody"/>
        <w:bidi w:val="0"/>
        <w:spacing w:before="24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7" w:name="toc770053_35"/>
      <w:bookmarkEnd w:id="3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contains or incorporates statements that constitute forward-looking statements within the meaning of the federal securities laws in relation to AVROBIO, Tectonic, the merger and the other proposed transactions contemplated thereby.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AVROBIO’s or Tectonic’s expectations, hopes, beliefs, intentions or strategies regarding the future. In some cases, you can identify forward-looking statements by terminology such as “anticipates,” “believes,” “contemplate,” “continue,” “could,” “designed to,” “endeavor,” “estimates,” “expects,” “forecasts,” “hypothesizes,” “intends,” “may,” “might,” “plans,” “possible,” “potential,” “predicts,” “projects,” “seeks,” “should,” “target,” “will”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AVROBIO, Tectonic or the proposed transaction will be those that have been anticipated. These forward-looking statements involve a number of risks, uncertainties (some of which are beyond AVROBIO’s or Tectonic’s control) or other assumptions that may cause actual results or performance to be materially different from those expressed or implied by these forward-looking statements. In addition to other factors and matters contained in or incorporated by reference in this document, AVROBIO and Tectonic believe the following factors could cause actual results to differ materially from those discussed in the forward-looking statements: the risk that the conditions to the closing of the transaction are not satisfied, including the failure to obtain stockholder approval for the transaction;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conditions to the closing of the transaction are not satisfied, including the failure to obtain stockholder approval for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and conditions of any required governmental or regulatory approvals of the merger that could cause the parties to abandon the merger;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and Tectonic’s ability to meet expectations regarding the timing and completion of the merger;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private financings are not completed in a timely manner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 to the timing and costs of the consummation of the transaction and the ability of each of AVROBIO and Tectonic to consummate the transaction, including the private financings;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AVROBIO’s continued listing on Nasdaq until closing of the proposed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AVROBIO or Tectonic for future operations of the combined company following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recognize the benefits that may be derived from the merger, including the commercial or market opportunity of the product candidates of AVROBIO, Tectonic and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AVROBIO’s and Tectonic’s ability to correctly estimate their respective operating expenses and expenses associated with the transaction, future revenue, capital requirements, needs for additional financing, uncertainties regarding the impact any delay in the closing would have on the anticipated cash resources of the combined company upon closing and other events and unanticipated spending and costs that could reduce the combined company’s cash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parties’ estimates regarding expenses, future revenue, capital requirements and needs for additional financing;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combined company is able to continue as a going concern;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 or condition that could give rise to the termination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the terms of the Merger Agreement, AVROBIO is restrained from soliciting other acquisition proposals during the pendency of the merger, except in certain circumstances;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merger on AVROBIO’s or Tectonic’s business relationships, operating results and business generally, including disruption of AVROBIO’s and Tectonic’s management’s attention from ongoing business operations due to the merger and potential adverse reactions or changes to business relationships resulting from the announcement or completion of the transaction;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Agreement may be terminated in circumstances that require AVROBIO to pay a termination fee;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AVROBIO, Tectonic or any of their respective directors or officers related to the Merger Agreement or the transactions contemplated thereby;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AVROBIO or Tectonic to protect their respective intellectual property rights;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Tectonic to maintain its rights derived from its license agreement with Harvard;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75"/>
        <w:gridCol w:w="110"/>
        <w:gridCol w:w="60"/>
        <w:gridCol w:w="3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parties’ control;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AVROBIO’s and Tectonic’s product candidates;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AVROBIO’s and Tectonic’s officers, key employees or directors;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public securities’ potential liquidity and trading;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product candidates of the combined company or its competitors’ products and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manufacture its product candidates in conformity with the FDA’s requirements and to scale up manufacturing of its product candidates to commercial scale,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reliance of the combined company on third-party contract development and manufacturer organizations to manufacture and supply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successfully commercialize product candidates including TX45, if approved, and the rate and degree of market acceptance of such product candidates and the favorability of pricing regulations, reimbursement practices from third-party payors or healthcare reform initiatives in the United States and abroad;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successfully identify and validate new product candidates;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of lawsuits related to TX45 or any of Tectonic’s potential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Tectonic, or its CROs, CMOs, service providers, current and potential future partners or other third parties upon which it relies, could experience a security incident, system disruption or failure, data loss, cyberattack, or similar event that could compromise the confidentiality, integrity and availability of systems and data;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Tectonic’s internal controls and procedures and its ability to remediate any material weaknesses;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the combined company’s competitors or industry;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political, environmental and public health developments in the United States and foreign countries, including but not limited to political unrest or unstable economic conditions in China, the Russia-Ukraine and Israel-Hamas conflicts and associated sanctions. </w:t>
            </w:r>
          </w:p>
        </w:tc>
      </w:tr>
    </w:tbl>
    <w:p>
      <w:pPr>
        <w:pStyle w:val="TextBody"/>
        <w:bidi w:val="0"/>
        <w:spacing w:before="240" w:after="0"/>
        <w:jc w:val="left"/>
        <w:rPr>
          <w:rFonts w:ascii="Times New Roman" w:hAnsi="Times New Roman"/>
          <w:sz w:val="20"/>
        </w:rPr>
      </w:pPr>
      <w:r>
        <w:rPr>
          <w:rFonts w:ascii="Times New Roman" w:hAnsi="Times New Roman"/>
          <w:sz w:val="20"/>
        </w:rPr>
        <w:t>Should one or more of these risks or uncertainties materialize, or should any of AVROBIO’s or Tectonic’s assumptions prove incorrect, actual results may vary in material respects from those projected in these forward-looking statements. There may be additional risks that AVROBIO considers immaterial or which are unknown. You are urged to carefully review the disclosures AVROBIO and Tectonic make concerning these risks and other factors that may affect AVROBIO’s and Tectonic’s business and operating results under the section titled “</w:t>
      </w:r>
      <w:r>
        <w:rPr>
          <w:rFonts w:ascii="Times New Roman" w:hAnsi="Times New Roman"/>
          <w:i/>
          <w:sz w:val="20"/>
        </w:rPr>
        <w:t>Risk Factors</w:t>
      </w:r>
      <w:r>
        <w:rPr>
          <w:rFonts w:ascii="Times New Roman" w:hAnsi="Times New Roman"/>
          <w:sz w:val="20"/>
        </w:rPr>
        <w:t>” beginning on page 36 of this proxy statement/prospectus. Additional factors that could cause actual results to differ materially from those expressed in the forward-looking statements are discussed in reports filed with the SEC by AVROBIO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beginning on page 476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AVROBIO, Tectonic or the combined company could differ materially from the forward-looking statements. Any public statements or disclosures by AVROBIO and Tectonic following this proxy statement/prospectus that modify or impact any of the forward-looking statements contained in this proxy statement/prospectus will be deemed to modify or supersede such statements in this proxy statement/prospectus. You are cautioned not to place undue reliance on these forward-looking statements, which speak only as of the date of this document and are qualified in their entirety by reference to the cautionary statements herein. AVROBIO and Tectonic do not intend, and undertake no obligation, to update any forward-looking information to reflect events or circumstances after the date of this document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8" w:name="toc770053_36"/>
      <w:bookmarkEnd w:id="38"/>
      <w:r>
        <w:rPr>
          <w:rFonts w:ascii="Times New Roman" w:hAnsi="Times New Roman"/>
          <w:b/>
          <w:sz w:val="20"/>
        </w:rPr>
        <w:t xml:space="preserve">THE SPECIAL MEETING OF AVROBIO STOCKHOLDERS </w:t>
      </w:r>
    </w:p>
    <w:p>
      <w:pPr>
        <w:pStyle w:val="TextBody"/>
        <w:bidi w:val="0"/>
        <w:spacing w:before="240" w:after="0"/>
        <w:jc w:val="left"/>
        <w:rPr>
          <w:rFonts w:ascii="Times New Roman" w:hAnsi="Times New Roman"/>
          <w:b/>
          <w:sz w:val="20"/>
        </w:rPr>
      </w:pPr>
      <w:bookmarkStart w:id="39" w:name="toc770053_37"/>
      <w:bookmarkEnd w:id="39"/>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June 11, 2024, commencing at 9:00 a.m. Eastern Time, unless postponed or adjourned to a later date. The special meeting will be held entirely online. AVROBIO is sending this proxy statement/prospectus to its stockholders in connection with the solicitation of proxies by the AVROBIO Board for use at the special meeting and any adjournments or postponements thereof. This proxy statement/prospectus is first being furnished to AVROBIO stockholders on or about    , 2024. </w:t>
      </w:r>
    </w:p>
    <w:p>
      <w:pPr>
        <w:pStyle w:val="TextBody"/>
        <w:bidi w:val="0"/>
        <w:spacing w:before="360" w:after="0"/>
        <w:jc w:val="left"/>
        <w:rPr>
          <w:rFonts w:ascii="Times New Roman" w:hAnsi="Times New Roman"/>
          <w:b/>
          <w:sz w:val="20"/>
        </w:rPr>
      </w:pPr>
      <w:bookmarkStart w:id="40" w:name="toc770053_38"/>
      <w:bookmarkEnd w:id="40"/>
      <w:r>
        <w:rPr>
          <w:rFonts w:ascii="Times New Roman" w:hAnsi="Times New Roman"/>
          <w:b/>
          <w:sz w:val="20"/>
        </w:rPr>
        <w:t xml:space="preserve">Purposes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special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1.</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of shares of common stock of AVROBIO, which will represent more than 20% of the shares of AVROBIO common stock outstanding immediately prior to such transaction, to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such transactions, pursuant to Nasdaq Listing Rules 5635(a) and 5635(b);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2.</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and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200"/>
        <w:gridCol w:w="7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200"/>
        <w:gridCol w:w="77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6.</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 non-binding advisory vote basis, compensation that will or may become payable by AVROBIO to its named executive officers in connection with the merger, each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7.</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special meeting, if necessary, to solicit additional proxies if there are not sufficient votes in favor of the Nasdaq Stock Issuance Proposal and/or the Reverse Stock Split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8.</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AVROBIO common stock in connection with the merger and the change of control resulting from the merger, or Proposal No. 1, will not take place unless Proposal No. 1 is approved by AVROBIO stockholders and the merger is consummated. The amendment to the AVROBIO’s charter to effect a reverse stock split of AVROBIO’s issued and outstanding common stock, or Proposal No. 2, will not take place unless Proposal No. 2 is approved by the requisite AVROBIO stockholders. </w:t>
      </w:r>
    </w:p>
    <w:p>
      <w:pPr>
        <w:pStyle w:val="TextBody"/>
        <w:bidi w:val="0"/>
        <w:spacing w:before="360" w:after="0"/>
        <w:jc w:val="left"/>
        <w:rPr>
          <w:rFonts w:ascii="Times New Roman" w:hAnsi="Times New Roman"/>
          <w:b/>
          <w:sz w:val="20"/>
        </w:rPr>
      </w:pPr>
      <w:bookmarkStart w:id="41" w:name="toc770053_39"/>
      <w:bookmarkEnd w:id="41"/>
      <w:r>
        <w:rPr>
          <w:rFonts w:ascii="Times New Roman" w:hAnsi="Times New Roman"/>
          <w:b/>
          <w:sz w:val="20"/>
        </w:rPr>
        <w:t xml:space="preserve">Recommendation of the AVROBIO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has determined and believes that the issuance of shares of AVROBIO common stock pursuant to the Merger Agreement is fair to, in the best interests of, and advisable to, AVROBIO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Nasdaq Stock Issuance Proposal as described on page 307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fair to, in the best interests of, and advisable to, AVROBIO and its stockholders to approve the amendment to AVROBIO’s charter to effect the reverse stock split, as described in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Reverse Stock Split Proposal as described on page 309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advisable to, and in the best interests of, AVROBIO and its stockholders to approve the amendment to AVROBIO’s charter to provide for the exculpation of officers, as described on page 316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Officer Exculpation Proposal as described on page 316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Plan, as described on page 318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Incentive Plan Proposal as described on page 318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ESPP, as described on page 328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ESPP Proposal as described on page 328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the compensation that will or may become payable to the named executive officers of AVROBIO in connection with the merger is fair to, in the best interests of, and advisable to, AVROBIO 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Executive Compensation Arrangements Proposal as described on page 332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adjourning the special meeting, if necessary, to solicit additional proxies if there are not sufficient votes in favor of the Nasdaq Stock Issuance Proposal and/or the Reverse Stock Split Proposal is fair to, in the best interests of, and advisable to, AVROBIO and its stockholders and has approved and adopted the proposal. The AVROBIO Board unanimously recommends that AVROBIO stockholders vote “</w:t>
            </w:r>
            <w:r>
              <w:rPr>
                <w:rFonts w:ascii="Times New Roman" w:hAnsi="Times New Roman"/>
                <w:b/>
                <w:sz w:val="20"/>
              </w:rPr>
              <w:t>FOR</w:t>
            </w:r>
            <w:r>
              <w:rPr>
                <w:rFonts w:ascii="Times New Roman" w:hAnsi="Times New Roman"/>
                <w:sz w:val="20"/>
              </w:rPr>
              <w:t xml:space="preserve">” the Adjournment Proposal, if necessary, as described on page 333 of this proxy statement/prospectus. </w:t>
            </w:r>
          </w:p>
        </w:tc>
      </w:tr>
    </w:tbl>
    <w:p>
      <w:pPr>
        <w:pStyle w:val="TextBody"/>
        <w:bidi w:val="0"/>
        <w:spacing w:before="360" w:after="0"/>
        <w:jc w:val="left"/>
        <w:rPr>
          <w:rFonts w:ascii="Times New Roman" w:hAnsi="Times New Roman"/>
          <w:b/>
          <w:sz w:val="20"/>
        </w:rPr>
      </w:pPr>
      <w:bookmarkStart w:id="42" w:name="toc770053_40"/>
      <w:bookmarkEnd w:id="42"/>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AVROBIO common stock at the close of business on the record date of April 29, 2024, are entitled to notice of, and to vote at, the special meeting. At the close of business on the record date, there were four registered holders of record of AVROBIO common stock and there were 44,887,995 shares of AVROBIO common stock issued and outstanding. Each share of AVROBIO common stock entitles the holder thereof to one vote on each matter submitted for stockholder approval. </w:t>
      </w:r>
    </w:p>
    <w:p>
      <w:pPr>
        <w:pStyle w:val="TextBody"/>
        <w:bidi w:val="0"/>
        <w:spacing w:before="360" w:after="0"/>
        <w:jc w:val="left"/>
        <w:rPr>
          <w:rFonts w:ascii="Times New Roman" w:hAnsi="Times New Roman"/>
          <w:b/>
          <w:sz w:val="20"/>
        </w:rPr>
      </w:pPr>
      <w:bookmarkStart w:id="43" w:name="toc770053_41"/>
      <w:bookmarkEnd w:id="43"/>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statement/prospectus is solicited on behalf of the AVROBIO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AVROBIO common stock, Computershare Trust Company, N.A., then you are a stockholder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Whether or not you plan to attend the special meeting online, AVROBIO urges you to fill out and return the proxy card or vote by proxy over the telephone or on the internet as instructed below to ensure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240" w:after="0"/>
        <w:jc w:val="left"/>
        <w:rPr>
          <w:rFonts w:ascii="Times New Roman" w:hAnsi="Times New Roman"/>
          <w:i/>
          <w:sz w:val="20"/>
        </w:rPr>
      </w:pPr>
      <w:r>
        <w:rPr>
          <w:rFonts w:ascii="Times New Roman" w:hAnsi="Times New Roman"/>
          <w:i/>
          <w:sz w:val="20"/>
        </w:rPr>
        <w:t xml:space="preserve">AVROBIO 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at the special meeting. Alternatively, you may vote by proxy by using the accompanying proxy card, over the internet or by telephone. Whether or not you plan to attend the special meeting, AVROBIO encourages you to vote by proxy to ensure your vote is counted. Even if you have submitted a proxy before the special meeting, you may still attend the special meeting and vote. In such case, your previously submitted proxy will be disregarded.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at the special meeting, attend the special meeting online and follow the instructions posted at </w:t>
            </w:r>
            <w:r>
              <w:rPr>
                <w:rFonts w:ascii="Times New Roman" w:hAnsi="Times New Roman"/>
                <w:i/>
                <w:sz w:val="20"/>
              </w:rPr>
              <w:t>www.proxydocs.com/AVRO</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accompanying proxy card and return it promptly in the envelope provided. If you return your signed proxy card before the special meeting, the designated proxies will vote your shares in accordance with the proxy card.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by proxy over the internet, follow the instructions provided on the proxy card.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by telephone, you may vote by proxy by calling the toll free number found on the proxy card.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AVROBIO Beneficial Owner: Shares Registered in the Name of a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AVROBIO. Simply complete and mail the voting instruction card to ensure that your vote is counted. To vote at the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AVROBIO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If you hold shares beneficially in street name and do not provide your broker or other agent with voting instructions, your shares may constitute “broker non-votes.” A “broker non-vote” occurs when shares held by a 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Broker non-votes, if any, will not be treated as shares that are present at the special meeting for purposes of determining whether a quorum exists and will not have any effect for the purpose of voting on Proposal Nos. 1, 2, 4, 5, 6 and 7. Broker non-votes, if any, will have the same effect as “</w:t>
      </w:r>
      <w:r>
        <w:rPr>
          <w:rFonts w:ascii="Times New Roman" w:hAnsi="Times New Roman"/>
          <w:b/>
          <w:sz w:val="20"/>
        </w:rPr>
        <w:t>AGAINST</w:t>
      </w:r>
      <w:r>
        <w:rPr>
          <w:rFonts w:ascii="Times New Roman" w:hAnsi="Times New Roman"/>
          <w:sz w:val="20"/>
        </w:rPr>
        <w:t xml:space="preserve">” votes for Proposal No. 3 (Officer Exculpation Proposal). If a AVROBIO stockholder does not return voting instructions to their broker on how to vote their shares of AVROBIO common stock, such broker may be prevented from voting, or may otherwise choose not to vote, such shares held by such broker, resulting in broker non-votes with respect to such shares. To make sure that your vote is counted, you should instruct your broker to vote your shares of AVROBIO common stock, following the procedures provided by your broker. </w:t>
      </w:r>
    </w:p>
    <w:p>
      <w:pPr>
        <w:pStyle w:val="TextBody"/>
        <w:bidi w:val="0"/>
        <w:spacing w:before="240" w:after="0"/>
        <w:jc w:val="left"/>
        <w:rPr>
          <w:rFonts w:ascii="Times New Roman" w:hAnsi="Times New Roman"/>
          <w:sz w:val="20"/>
        </w:rPr>
      </w:pPr>
      <w:r>
        <w:rPr>
          <w:rFonts w:ascii="Times New Roman" w:hAnsi="Times New Roman"/>
          <w:sz w:val="20"/>
        </w:rPr>
        <w:t>All properly executed proxies that are not revoked will be voted at the special meeting and at any adjournments or postponements of the special meeting in accordance with the instructions contained in the proxy.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If a holder of AVROBIO common stock executes and returns a proxy and does not specify otherwise, the shares represented by that proxy will be voted “FOR” all of the proposals in accordance with the recommendation of the AVROBIO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of AVROBIO and you have not executed a support agreement, you may change your vote at any time before your proxy is voted at the special meeting in any one of the following ways: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written notice that you are revoking your proxy over the internet, following the instructions provided on the Notice of Internet Availability.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online and vote during the meeting by following the instructions at </w:t>
            </w:r>
            <w:r>
              <w:rPr>
                <w:rFonts w:ascii="Times New Roman" w:hAnsi="Times New Roman"/>
                <w:i/>
                <w:sz w:val="20"/>
              </w:rPr>
              <w:t>www.proxydocs.com/AVRO</w:t>
            </w:r>
            <w:r>
              <w:rPr>
                <w:rFonts w:ascii="Times New Roman" w:hAnsi="Times New Roman"/>
                <w:sz w:val="20"/>
              </w:rPr>
              <w:t xml:space="preserve">. Simply attending the special meeting will not, by itself, revoke your proxy and/or change your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them. </w:t>
      </w:r>
    </w:p>
    <w:p>
      <w:pPr>
        <w:pStyle w:val="TextBody"/>
        <w:bidi w:val="0"/>
        <w:spacing w:before="360" w:after="0"/>
        <w:jc w:val="left"/>
        <w:rPr>
          <w:rFonts w:ascii="Times New Roman" w:hAnsi="Times New Roman"/>
          <w:b/>
          <w:sz w:val="20"/>
        </w:rPr>
      </w:pPr>
      <w:bookmarkStart w:id="44" w:name="toc770053_42"/>
      <w:bookmarkEnd w:id="44"/>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special meeting of the holders of a majority of the shares of AVROBIO common stock outstanding and entitled to vote at the special meeting is necessary to constitute a quorum at the meeting. The affirmative vote of a majority of the votes properly cast for and against a matter by the holders of AVROBIO common stock, assuming a quorum is present, is required for approval of Proposal Nos. 1, 2, 4, 5, 6 and 7. The affirmative vote of a majority of the outstanding shares of AVROBIO common stock entitled to vote at the special meeting is required for approval of Proposal No. 3. Each of Proposal Nos. 1 and 2 is a condition to completion of the merger. Therefore, the merger cannot be consummated without the approval of Proposal Nos. 1 and 2. The issuance of AVROBIO common stock in connection with the merger and the change of control of AVROBIO resulting from the merger, or Proposal No. 1, will not take place unless Proposal Nos. 1 and 2 are approved by AVROBIO stockholders and the reverse stock split is effected and the merger is consummated. The amendment to AVROBIO’s charter to effect a reverse stock split of AVROBIO’s issued and outstanding common stock, or Proposal No. 2, will not take place unless Proposal No. 2 is approved by the requisite AVROBIO stockholders. AVROBIO may still elect to proceed with the reverse stock split if Proposal No. 2 is approved by AVROBIO stockholders even if Proposal No. 1 is not approved, or even if approved, the merger is not consummated. </w:t>
      </w:r>
    </w:p>
    <w:p>
      <w:pPr>
        <w:pStyle w:val="TextBody"/>
        <w:bidi w:val="0"/>
        <w:spacing w:before="240" w:after="0"/>
        <w:jc w:val="left"/>
        <w:rPr>
          <w:rFonts w:ascii="Times New Roman" w:hAnsi="Times New Roman"/>
          <w:sz w:val="20"/>
        </w:rPr>
      </w:pPr>
      <w:r>
        <w:rPr>
          <w:rFonts w:ascii="Times New Roman" w:hAnsi="Times New Roman"/>
          <w:sz w:val="20"/>
        </w:rPr>
        <w:t>Votes will be counted by the inspector of election appointed for the meeting, who will separately count “</w:t>
      </w:r>
      <w:r>
        <w:rPr>
          <w:rFonts w:ascii="Times New Roman" w:hAnsi="Times New Roman"/>
          <w:b/>
          <w:sz w:val="20"/>
        </w:rPr>
        <w:t>FOR</w:t>
      </w:r>
      <w:r>
        <w:rPr>
          <w:rFonts w:ascii="Times New Roman" w:hAnsi="Times New Roman"/>
          <w:sz w:val="20"/>
        </w:rPr>
        <w:t>” and “</w:t>
      </w:r>
      <w:r>
        <w:rPr>
          <w:rFonts w:ascii="Times New Roman" w:hAnsi="Times New Roman"/>
          <w:b/>
          <w:sz w:val="20"/>
        </w:rPr>
        <w:t>AGAINST</w:t>
      </w:r>
      <w:r>
        <w:rPr>
          <w:rFonts w:ascii="Times New Roman" w:hAnsi="Times New Roman"/>
          <w:sz w:val="20"/>
        </w:rPr>
        <w:t>” votes, abstentions and broker non-votes. Broker non-votes, if any, will not be treated as shares that are present at the special meeting for purposes of determining whether a quorum exists and will not have any effect for the purpose of voting on Proposal Nos. 1, 2, 4, 5, 6 and 7. Broker non-votes, if any, will have the same effect as “</w:t>
      </w:r>
      <w:r>
        <w:rPr>
          <w:rFonts w:ascii="Times New Roman" w:hAnsi="Times New Roman"/>
          <w:b/>
          <w:sz w:val="20"/>
        </w:rPr>
        <w:t>AGAINST</w:t>
      </w:r>
      <w:r>
        <w:rPr>
          <w:rFonts w:ascii="Times New Roman" w:hAnsi="Times New Roman"/>
          <w:sz w:val="20"/>
        </w:rPr>
        <w:t xml:space="preserve">” votes for Proposal No. 3 (Officer Exculpation Proposal). </w:t>
      </w:r>
    </w:p>
    <w:p>
      <w:pPr>
        <w:pStyle w:val="TextBody"/>
        <w:bidi w:val="0"/>
        <w:spacing w:before="240" w:after="0"/>
        <w:jc w:val="left"/>
        <w:rPr>
          <w:rFonts w:ascii="Times New Roman" w:hAnsi="Times New Roman"/>
          <w:sz w:val="20"/>
        </w:rPr>
      </w:pPr>
      <w:r>
        <w:rPr>
          <w:rFonts w:ascii="Times New Roman" w:hAnsi="Times New Roman"/>
          <w:sz w:val="20"/>
        </w:rPr>
        <w:t xml:space="preserve">As of March 15, 2024, the directors and executive officers of AVROBIO owned or controlled 6.40% of the outstanding shares of AVROBIO common stock entitled to vote at the special meeting. As of January 30, 2024, the AVROBIO stockholders that are party to a support agreement, including certain directors and executive officers of AVROBIO, owned an aggregate number of shares of AVROBIO common stock representing approximately 10.8% of the outstanding shares of AVROBIO common stock. Each stockholder that entered into a support agreement, including certain directors and executive officers of AVROBIO, has agreed to vote all shares of AVROBIO common stock owned by him or her as of the record date in favor of the adoption of the Merger Agreement and the approval of the merger and related transactions contemplated by the Merger Agreement and against any competing “Acquisition Proposal”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45" w:name="toc770053_43"/>
      <w:bookmarkEnd w:id="45"/>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agents of AVROBIO may solicit proxies from AVROBIO stockholders by personal interview, telephone, email, fax or otherwise. AVROBIO and Tectonic will share equally the costs of printing and filing this proxy statement/prospectus and proxy card. Arrangements will also be made with brokerage firms and other custodians, nominees and fiduciaries who are record holders of AVROBIO common stock for the forwarding of solicitation materials to the beneficial owners of AVROBIO common stock. AVROBIO will reimburse these brokers, custodians, nominees and fiduciaries for the reasonable out of pocket expenses they incur in connection with the forwarding of solicitation materials. AVROBIO has retained Innisfree M&amp;A Incorporated to assist it in soliciting proxies using the means referred to above. AVROBIO will pay the fees of the proxy solicitor, which AVROBIO expects to be up to $50,000, plus reimbursement of out-of-pocket expenses. </w:t>
      </w:r>
    </w:p>
    <w:p>
      <w:pPr>
        <w:pStyle w:val="TextBody"/>
        <w:bidi w:val="0"/>
        <w:spacing w:before="360" w:after="0"/>
        <w:jc w:val="left"/>
        <w:rPr>
          <w:rFonts w:ascii="Times New Roman" w:hAnsi="Times New Roman"/>
          <w:b/>
          <w:sz w:val="20"/>
        </w:rPr>
      </w:pPr>
      <w:bookmarkStart w:id="46" w:name="toc770053_44"/>
      <w:bookmarkEnd w:id="46"/>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AVROBIO Board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7" w:name="toc770053_45"/>
      <w:bookmarkEnd w:id="47"/>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describe the material aspects of the merger and the Merger Agreement. While AVROBIO and Tectonic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Please see the section titled “Where You Can Find More Information.” </w:t>
      </w:r>
    </w:p>
    <w:p>
      <w:pPr>
        <w:pStyle w:val="TextBody"/>
        <w:bidi w:val="0"/>
        <w:spacing w:before="360" w:after="0"/>
        <w:jc w:val="left"/>
        <w:rPr>
          <w:rFonts w:ascii="Times New Roman" w:hAnsi="Times New Roman"/>
          <w:b/>
          <w:sz w:val="20"/>
        </w:rPr>
      </w:pPr>
      <w:bookmarkStart w:id="48" w:name="toc770053_46"/>
      <w:bookmarkEnd w:id="48"/>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Merger Agreement. This chronology does not purport to catalogue every conversation of or among members of the AVROBIO Board (or, solely for purposes of this section, the “Board”), the Transaction Committee, AVROBIO’s representatives and advisors, Tectonic, Tectonic’s representatives and advisors, and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together with AVROBIO’s senior management and with the assistance of AVROBIO’s advisors, regularly review and discuss AVROBIO’s near and long-term operating and strategic priorities. Among other things, these reviews and discussions focus on the opportunities and risks associated with AVROBIO’s operations, financial performance and planning, competitive position, strategic relationships and potential long-term strategic options. The AVROBIO Board, together with AVROBIO’s senior management, regularly reviews potential strategic alternatives and opportunities to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At a meeting of the AVROBIO Board held on June 8, 2022, the AVROBIO Board established the Transaction Committee of the AVROBIO Board, comprised of Bruce Booth, Ian Clark, Phillip Donenberg, and Gail Farfel (with Philip Vickers appointed in July 2023 as an additional member of the Transaction Committee), in order to assist the AVROBIO Board (and not because of any actual or perceived conflicts of interests) as needed, in exploring, considering, reviewing, evaluating and negotiating strategic alternatives to enhance AVROBIO’s value to its stockholders. The members of the Transaction Committee were all deemed to be independent of AVROBIO’s management. As part of the efforts to identify and consider potential strategic alternatives, in October 2022, as authorized by the AVROBIO Board and the AVROBIO Transaction Committee, representatives of Cowen and Company, LLC (“TD Cowen”) and Wells Fargo Securities, LLC, acting as co-financial advisors to AVROBIO, contacted approximately 40 counterparties regarding their interest in a potential strategic transaction with AVROBIO. Of these, 14 indicated preliminary interest in considering discussions with AVROBIO. By December 2022, two of these parties, both strategic companies (“Party A” and “Party B”), remained interested in a strategic transaction and engaged in due diligence. During this period, members of AVROBIO management also engaged in discussions with other potential counterparties based in Asia, primarily in Japan, to evaluate partnership opportunities with respect to AVROBIO’s pipeline therapeutic assets, although these discussions did not result in partnership arrangements. In addition, during this period, AVROBIO, with the assistance of TD Cowen, explored interest in a private investment in public equity (PIPE) financing of AVROBIO and approached 37 potential investors in this effort, but was ultimately unable to generate sufficient investor interest.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Party A submitted written indications of interest to AVROBIO contemplating a whole-company acquisition of AVROBIO by Party A. </w:t>
      </w:r>
    </w:p>
    <w:p>
      <w:pPr>
        <w:pStyle w:val="TextBody"/>
        <w:bidi w:val="0"/>
        <w:spacing w:before="240" w:after="0"/>
        <w:jc w:val="left"/>
        <w:rPr>
          <w:rFonts w:ascii="Times New Roman" w:hAnsi="Times New Roman"/>
          <w:sz w:val="20"/>
        </w:rPr>
      </w:pPr>
      <w:r>
        <w:rPr>
          <w:rFonts w:ascii="Times New Roman" w:hAnsi="Times New Roman"/>
          <w:sz w:val="20"/>
        </w:rPr>
        <w:t xml:space="preserve">On December 21, 2022, Party B expressed that they would require significant additional time for due diligence before they would be in a position to submit any indication of interest in a strategic transaction, including as to price.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23, 2022 and December 28, 2022, AVROBIO and its representatives continued to engage with Party A. On December 28, 2022, in accordance with the direction of the AVROBIO Board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Committee and in light of the feedback described above from Party B, AVROBIO and Party A entered into a term sheet which provided for a binding period of exclusivity that would expire as of February 10, 2023, and AVROBIO communicated to Party B that AVROBIO would not be able to proceed with Party B toward a strategic transaction at this time.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28, 2022 and February 3, 2023, AVROBIO and Party A exchanged drafts of and negotiated a merger agreement, engaged in extensive due diligence and continued to advance towards a potential whole-company acquisition of AVROBIO by Party A. </w:t>
      </w:r>
    </w:p>
    <w:p>
      <w:pPr>
        <w:pStyle w:val="TextBody"/>
        <w:bidi w:val="0"/>
        <w:spacing w:before="240" w:after="0"/>
        <w:jc w:val="left"/>
        <w:rPr>
          <w:rFonts w:ascii="Times New Roman" w:hAnsi="Times New Roman"/>
          <w:sz w:val="20"/>
        </w:rPr>
      </w:pPr>
      <w:r>
        <w:rPr>
          <w:rFonts w:ascii="Times New Roman" w:hAnsi="Times New Roman"/>
          <w:sz w:val="20"/>
        </w:rPr>
        <w:t xml:space="preserve">However, on February 3, 2023, Party A informed AVROBIO that it was no longer interested in pursuing the potential transaction on account of Party A’s inability to secure internal approvals for the transaction, and thus Party A was terminating discussions with AVROBIO with respect to a potential whole-company acquisition.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development, at the direction of the AVROBIO Board and Transaction Committee, AVROBIO management and its advisors again contacted several strategic companies, including Party B, to gauge their interest in evaluating a strategic transaction. Each of these parties affirmatively declined to re-engage in an evaluation of a strategic transaction with AVROBIO. </w:t>
      </w:r>
    </w:p>
    <w:p>
      <w:pPr>
        <w:pStyle w:val="TextBody"/>
        <w:bidi w:val="0"/>
        <w:spacing w:before="240" w:after="0"/>
        <w:jc w:val="left"/>
        <w:rPr>
          <w:rFonts w:ascii="Times New Roman" w:hAnsi="Times New Roman"/>
          <w:sz w:val="20"/>
        </w:rPr>
      </w:pPr>
      <w:r>
        <w:rPr>
          <w:rFonts w:ascii="Times New Roman" w:hAnsi="Times New Roman"/>
          <w:sz w:val="20"/>
        </w:rPr>
        <w:t xml:space="preserve">On February 23, 2023, AVROBIO received a non-binding proposal from Novartis International AG (“Novartis”) proposing to acquire AVROBIO’s cystinosis business. Between February 23, 2023 and May 19, 2023, AVROBIO and Novartis engaged in discussions regarding such a transaction and negotiated and exchanged drafts of an asset purchase agreement and related ancillary documents. On May 19, 2023, AVROBIO and Novartis executed and publicly announced the asset purchase agreement providing for the sale to Novartis of AVROBIO’s cystinosis business for $87.5 million in cash (the “Cystinosis Sale”). The Cystinosis Sale was subsequently completed on June 9, 2023 following the satisfaction of all closing conditions under the asset purchase agreement. Pursuant to the terms of the transaction, AVROBIO additionally exclusively licensed to Novartis certain other assets, know-how and other intellectual property related to AVROBIO’s gene therapy platform for use in cystinosis, and to support the transition of the program, AVROBIO continued to provide certain transition, knowledge transfer and other related services to Novartis. </w:t>
      </w:r>
    </w:p>
    <w:p>
      <w:pPr>
        <w:pStyle w:val="TextBody"/>
        <w:bidi w:val="0"/>
        <w:spacing w:before="240" w:after="0"/>
        <w:jc w:val="left"/>
        <w:rPr>
          <w:rFonts w:ascii="Times New Roman" w:hAnsi="Times New Roman"/>
          <w:sz w:val="20"/>
        </w:rPr>
      </w:pPr>
      <w:r>
        <w:rPr>
          <w:rFonts w:ascii="Times New Roman" w:hAnsi="Times New Roman"/>
          <w:sz w:val="20"/>
        </w:rPr>
        <w:t xml:space="preserve">In May 2023, AVROBIO and its advisors again explored interest in one or more capital-raising transactions to further support the continued development of AVROBIO’s Gaucher disease type 1 and type 3, Hunter syndrome and Pompe disease programs. AVROBIO, with the assistance of TD Cowen, approached 28 investors in this effort, but was again unable to generate sufficient investor interest.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Cystinosis Sale on June 9, 2023, AVROBIO and its advisors continued to explore potential opportunities to engage in a strategic transaction. In accordance with the direction of the AVROBIO Board, TD Cowen contacted eight parties (Party B, Party C, Party D, Party E, Party F, Party G, Party H and Party I) to gauge their interest in a whole-company acquisition of AVROBIO or a “merger of equals” transaction with AVROBIO. Each of these parties affirmatively declined to pursue discussions regarding a strategic transaction with AVROBIO. </w:t>
      </w:r>
    </w:p>
    <w:p>
      <w:pPr>
        <w:pStyle w:val="TextBody"/>
        <w:bidi w:val="0"/>
        <w:spacing w:before="240" w:after="0"/>
        <w:jc w:val="left"/>
        <w:rPr>
          <w:rFonts w:ascii="Times New Roman" w:hAnsi="Times New Roman"/>
          <w:sz w:val="20"/>
        </w:rPr>
      </w:pPr>
      <w:r>
        <w:rPr>
          <w:rFonts w:ascii="Times New Roman" w:hAnsi="Times New Roman"/>
          <w:sz w:val="20"/>
        </w:rPr>
        <w:t xml:space="preserve">On July 6, 2023, the AVROBIO Board held a meeting, at which members of AVROBIO management and representatives of Goodwin LLP (“Goodwin”) and TD Cowen were present. Representatives of Goodwin presented on fiduciary, strategic and other considerations pertaining to an exploration of strategic alternatives for AVROBIO. TD Cowen provided the Board with a comprehensive update on AVROBIO’s strategic alternatives process, noting that since the fourth quarter of 2022, AVROBIO, with the assistance of TD Cowen, had engaged with more than 40 strategic parties regarding various potential strategic transactions, attempted two capital-raising financings, both of which were unable to generate sufficient investor interest, engaged with certain counterparties on potential partnership opportunities, including in Japan, and completed the Cystinosis Sale to Novartis.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meeting, the AVROBIO Board also engaged in an extensive discussion about the state and prospects of AVROBIO’s ongoing programs, the ongoing knowledge and technology transfer to Novartis relating to the Cystinosis Sale and AVROBIO’s cash position and runway. The Board noted the relative absence of meaningful, near-term regulatory and clinical inflection points for AVROBIO’s ongoing programs. The Board also noted that, despite AVROBIO’s relatively strong cash position from the one-time proceeds generated by the Cystinosis Sale, AVROBIO had been unable to generate sufficient investor interest despite two separate capital-raising attempts, which further exacerbated the lack of opportunities to achieve meaningful near-term regulatory and clinical inflection points for AVROBIO’s ongoing programs. The Board also discussed and determined, in light of these considerations, that a liquidation or dissolution of AVROBIO at this time would not be feasible or advisable given, among other reasons, AVROBIO’s continuing contractual obligations that extend through June 2024 and continuing regulatory, clinical and contractual obligations under existing clinical trial programs for AVROBIO’s Gaucher and Fabry programs. In light of these considerations and developments in recent months, the Board discussed the prospects of pursuing a “reverse merger” transaction, which is a transaction in which a wholly owned subsidiary of AVROBIO would merge with and into a privately held company with AVROBIO surviving as the parent company and the privately held company continuing as a wholly owned subsidiary of AVROBIO and with consideration in the form of AVROBIO’s publicly listed stock issuable to the privately held company’s stockholders. The Board expressed interest in a reverse merger in light of AVROBIO’s cash position, AVROBIO’s inability to generate meaningful investor interest to raise additional capital, AVROBIO’s status as a public company, similar transactions recently completed with attractive merger partners and the potential halting of further development of AVROBIO’s programs in order to, among other reasons, conserve AVROBIO’s cash position. Further, the Board discussed that a reverse merger could provide AVROBIO stockholders with a meaningful stake in a combined entity possessing both promising clinical prospects and the means to pursue them, and provide an opportunity for long-term value creation for AVROBIO stockholders. The AVROBIO Board and AVROBIO management identified certain criteria (and such criteria continued to be discussed, expanded and/or refined at subsequent meetings of the Board and Transaction Committee, including at the Transaction Committee’s meeting of July 28, 2023 described below) that they considered important in reviewing potential partner companies in a reverse merger transaction. Following discussion, the Board authorized AVROBIO management and the Transaction Committee to continue to explore the availability of one or more strategic transactions involving AVROBIO and/or any of its businesses or assets, including a merger, reverse merger, stock sale, asset sale, partnership, collaboration, license or similar strategic transaction (a “strategic transaction”), and to publicly announce such exploration of strategic alternatives and that AVROBIO was halting further development of its programs. Finally, the Board authorized AVROBIO to engage TD Cowen as AVROBIO’s financial advisor and/or placement agent for a strategic transaction, noting, among other things, TD Cowen’s qualifications, extensive experience and reputation, knowledge of and involvement in recent transactions in AVROBIO’s industry, and knowledge of AVROBIO’s business given its historical representation of AVROBIO.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in accordance with the direction of the AVROBIO Board, AVROBIO publicly announced that it had determined to halt further development of its programs and to explore strategic alternatives, which may include, without limitation, an acquisition, merger, business combination or other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AVROBIO Board meeting of July 6, 2023 and the announcement of the exploration of strategic alternatives on July 12, 2023, members of AVROBIO management, with the assistance of TD Cowen, continued to engage with a large number of counterparties in connection with AVROBIO’s strategic alternatives process. On July 18, 2023, in accordance with the direction of the AVROBIO Board, TD Cowen began to distribute process letters on behalf of AVROBIO to a total of 85 parties, which invited such parties to submit preliminary proposals for a strategic transaction, consisting either of a stock-based “reverse merger” or “merger of equals” transaction or a cash-based transaction, by August 3, 2023. These counterparties were primarily selected as privately-held companies that were identified by AVROBIO and TD Cowen, or had approached AVROBIO or TD Cowen, based on such counterparties’ desire to obtain financing and/or interest in becoming a public company with access to the public capital markets, as well as such parties’ reasonable potential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satisfy at least a meaningful portion of the Criteria (as defined below), subject to customary due diligence by AVROBIO. </w:t>
      </w:r>
    </w:p>
    <w:p>
      <w:pPr>
        <w:pStyle w:val="TextBody"/>
        <w:bidi w:val="0"/>
        <w:spacing w:before="240" w:after="0"/>
        <w:jc w:val="left"/>
        <w:rPr>
          <w:rFonts w:ascii="Times New Roman" w:hAnsi="Times New Roman"/>
          <w:sz w:val="20"/>
        </w:rPr>
      </w:pPr>
      <w:r>
        <w:rPr>
          <w:rFonts w:ascii="Times New Roman" w:hAnsi="Times New Roman"/>
          <w:sz w:val="20"/>
        </w:rPr>
        <w:t xml:space="preserve">On July 28, 2023, the Transaction Committee held a meeting, at which members of AVROBIO management and representatives of Goodwin and TD Cowen were present. The Transaction Committee continued to discuss the criteria for reviewing potential partner companies in a reverse merger transaction. Across the AVROBIO Board’s meeting of July 6, 2023 and the Transaction Committee’s meeting of July 28, 2023, AVROBIO’s directors had articulated and/or consulted a number of criteria that they considered important in reviewing potential counterparties in a reverse merger transaction, including, but not limited to, (i) the strength of the counterparty’s scientific and clinical value propositions and business proposals, (ii) the quality and strength of the scientific and industry reputation of the counterparty’s management team, board of directors and advisors, (iii) the timing and likelihood of meaningful clinical and regulatory inflection points for the counterparty, (iv) the counterparty’s potential therapeutic complementarity with AVROBIO’s research and development capabilities and existing product candidates, (v) the counterparty’s degree of readiness to become a publicly listed company, (vi) the degree of perceived risk associated with the counterparty’s business and product candidates, (vii) the quality of the counterparty’s investor syndicate, (viii) the valuation expectations of the counterparty and the related implied economic split between AVROBIO, the counterparty and any contemplated private placement investors, (ix) the potential for differentiated products addressing meaningful unmet needs, (x) additional financing needs to further the counterparty’s pipeline and prospects for raising such additional capital, and (xi) additional investment the counterparty may be able to deliver to the transaction in order to extend the counterparty’s cash runway (collectively, the “Criteria”). While the Criteria continued to be discussed, expanded and/or refined over time in the directors’ exercise of their business judgment (for example, as a result of the ultimate failure of the process with Party O as described below, directors determined to give enhanced priority to deal certainty and private placement financing certainty, as described below), substantially all of the Criteria had been materially considered by the conclusion of the Transaction Committee’s meeting of July 28, 2023. </w:t>
      </w:r>
    </w:p>
    <w:p>
      <w:pPr>
        <w:pStyle w:val="TextBody"/>
        <w:bidi w:val="0"/>
        <w:spacing w:before="240" w:after="0"/>
        <w:jc w:val="left"/>
        <w:rPr>
          <w:rFonts w:ascii="Times New Roman" w:hAnsi="Times New Roman"/>
          <w:sz w:val="20"/>
        </w:rPr>
      </w:pPr>
      <w:r>
        <w:rPr>
          <w:rFonts w:ascii="Times New Roman" w:hAnsi="Times New Roman"/>
          <w:sz w:val="20"/>
        </w:rPr>
        <w:t xml:space="preserve">By August 4, 2023, 28 indications of interest had been received, the vast majority of which were from privately held companies contemplating a potential reverse merger with AVROBIO, as more fully detailed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25, 2023, Party J, a privately held company, submitted an indication of interest to AVROBIO proposing a reverse merger transaction, which contemplated a valuation for AVROBIO of $141 million, a valuation for the counterparty of $650 million, and potential concurrent private placement investments of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28, 2023, Party K, a privately held company, submitted an indication of interest to AVROBIO proposing a reverse merger transaction, which contemplated a valuation for AVROBIO of $70 million, a valuation for the counterparty of $105 million, and potential concurrent private placement investments of $40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L, a privately held company, submitted an indication of interest to AVROBIO proposing a reverse merger transaction, which contemplated a valuation for AVROBIO of $55 million, a valuation for the counterparty of $150 million, and potential concurrent private placement investments of $50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M, a privately held company, submitted an indication of interest to AVROBIO proposing a reverse merger transaction, which contemplated a valuation for AVROBIO of $65 million, a valuation for the counterparty of $218 million, and potential concurrent private placement investments of $50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5.</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N, a privately held company, submitted an indication of interest to AVROBIO proposing a reverse merger transaction, which contemplated a valuation for AVROBIO of $60 million and a valuation for the counterparty of $240 million, and did not specifically contemplate a potential concurrent private placement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6.</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O, a privately held company, submitted an indication of interest to AVROBIO proposing a reverse merger transaction, which contemplated a valuation for AVROBIO of $65 million, a valuation for the counterparty of $275 million, and potential concurrent private placement investments of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7.</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2, 2023, Party P, a privately held company, submitted an indication of interest to AVROBIO proposing a reverse merger transaction, which contemplated a valuation for AVROBIO of $58 million, a valuation for the counterparty of $270 million, and potential concurrent private placement investments of $115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8.</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2, 2023, Party Q, a privately held company, submitted an indication of interest to AVROBIO proposing a reverse merger transaction, which contemplated a valuation for AVROBIO of $66 million, a valuation for the counterparty of $74 million, and potential concurrent private placement investments of $26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R, a privately held company, submitted an indication of interest to AVROBIO proposing a reverse merger transaction, which contemplated a valuation for AVROBIO of $60 million, a valuation for the counterparty of $225 million, and potential concurrent private placement investments of $40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10.</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S, a privately held company, submitted an indication of interest to AVROBIO proposing a reverse merger transaction, which contemplated a valuation for AVROBIO of $75 million and a valuation for the counterparty of $100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11.</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T, a privately held company, submitted an indication of interest to AVROBIO proposing a reverse merger transaction, which contemplated a valuation for AVROBIO of $55 million, a valuation for the counterparty of $180 million, and potential concurrent private placement investments of $80 million. </w:t>
            </w:r>
          </w:p>
        </w:tc>
      </w:tr>
    </w:tbl>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12.</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U, a privately held company, submitted an indication of interest to AVROBIO proposing a reverse merger transaction, which contemplated a valuation for AVROBIO of $105 million, a valuation for the counterparty of $500 million, and potential concurrent private placement investments of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13.</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V, a privately held company, submitted an indication of interest to AVROBIO proposing a reverse merger transaction, which contemplated a valuation for AVROBIO of $55 million, a valuation for the counterparty of $200 million, and potential concurrent private placement investments of $60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14.</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W, a privately held company, submitted an indication of interest to AVROBIO proposing a reverse merger transaction, which contemplated a valuation for AVROBIO of $75 million, a valuation for the counterparty of $165 million, and potential concurrent private placement investments of $10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15.</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X, a privately held company, submitted an indication of interest to AVROBIO proposing a reverse merger transaction, which contemplated a valuation for AVROBIO of $50 million, a valuation for the counterparty of $265 million, and potential concurrent private placement investments of $30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16.</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Y, a privately held company, submitted an indication of interest to AVROBIO proposing a reverse merger transaction, which contemplated a valuation for AVROBIO of $65 million, a valuation for the counterparty of $150 million, and potential concurrent private placement investments of $50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17.</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Z, a privately held company, submitted an indication of interest to AVROBIO proposing a reverse merger transaction, which contemplated a valuation for AVROBIO of $60 million, a valuation for the counterparty of $295 million, and potential concurrent private placement investments of $100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18.</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AA, a privately held company, submitted an indication of interest to AVROBIO proposing a reverse merger transaction, which contemplated a valuation for AVROBIO of $65 million, a valuation for the counterparty of $125 million, and potential concurrent private placement investments of $70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19.</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BB, a privately held company, submitted an indication of interest to AVROBIO proposing a reverse merger transaction, which contemplated a valuation for AVROBIO of $65 million, a valuation for the counterparty of $95 million, and potential concurrent private placement investments of $60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20.</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CC, a privately held company, submitted an indication of interest to AVROBIO proposing a reverse merger transaction, which contemplated a valuation for AVROBIO of $65 million, a valuation for the counterparty of $250 million, and potential concurrent private placement investments of $75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21.</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DD, a privately held company, submitted an indication of interest to AVROBIO proposing a reverse merger transaction, which contemplated a valuation for AVROBIO of $65 million, a valuation for the counterparty of $140 million, and potential concurrent private placement investments of $10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22.</w:t>
            </w:r>
          </w:p>
        </w:tc>
        <w:tc>
          <w:tcPr>
            <w:tcW w:w="98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EE, a publicly listed company, submitted an indication of interest to AVROBIO proposing an asset sale by Party EE to AVROBIO in exchange for stock consideration of AVROBIO plus future tiered royalties on net sales.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23.</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FF, a privately held company, submitted an indication of interest to AVROBIO proposing a reverse merger transaction, which contemplated a valuation for AVROBIO of $50 million and a valuation for the counterparty of $285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24.</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GG, a privately held company, submitted an indication of interest to AVROBIO proposing a reverse merger transaction, which contemplated a valuation for AVROBIO of $53 million, a valuation for the counterparty of $90 million, and potential concurrent private placement investments of $30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25.</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HH, a privately held company, submitted an indication of interest to AVROBIO proposing a reverse merger transaction, which contemplated a valuation for AVROBIO of $60 million, a valuation for the counterparty of $84 million, and potential concurrent private placement investments of $80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26.</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Party II, a privately held company, submitted an indication of interest to AVROBIO proposing a reverse merger transaction, which contemplated a valuation for AVROBIO of $65 million, a valuation for the counterparty of $85 million, and potential concurrent private placement investments of $5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27.</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Party JJ, a privately held company, submitted an indication of interest to AVROBIO proposing a reverse merger transaction, which contemplated a valuation for AVROBIO of $75 million to $90 million, a valuation for the counterparty of $150 million to $225 million, and potential concurrent private placement investments of $50 million to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28.</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Party KK, a privately held company, submitted an indication of interest to AVROBIO proposing a reverse merger transaction, which contemplated a valuation for AVROBIO of $58 million and a valuation for the counterparty of $60 million, and did not specifically contemplate a potential concurrent private placement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Between August 12, 2023 and August 31, 2023, eight additional parties submitted indications of interest to AVROBIO,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29.</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12, 2023, Party LL, a publicly listed company, submitted an indication of interest to AVROBIO proposing an all-stock acquisition of AVROBIO by Party LL, which contemplated a valuation for AVROBIO of $56 million and a valuation for the counterparty of $312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30.</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12, 2023, Party MM, a privately held company, submitted an indication of interest to AVROBIO proposing a reverse merger transaction, which contemplated a valuation for AVROBIO of $60 million, a valuation for the counterparty of $257 million, and potential concurrent private placement investments of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31.</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14, 2023, Party TT, a privately held company, submitted an indication of interest to AVROBIO proposing a reverse merger transaction, which contemplated a valuation for AVROBIO of $82 million and a valuation for the counterparty of $100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32.</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17, 2023, Party NN, a privately held company, submitted an indication of interest to AVROBIO proposing a reverse merger transaction, which contemplated a valuation for AVROBIO of $65 million and a valuation for the counterparty of $225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33.</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25, 2023, Party OO, a privately held company, submitted an indication of interest to AVROBIO proposing a reverse merger transaction, which contemplated a valuation for AVROBIO of $65 million and a valuation for the counterparty of $40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34.</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29, 2023, Party PP, a privately held company, submitted an indication of interest to AVROBIO proposing a reverse merger transaction, which contemplated a valuation for AVROBIO of $50 million and a valuation for the counterparty of $40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35.</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30, 2023, Parry QQ, a privately held company, submitted an indication of interest to AVROBIO proposing a reverse merger transaction, which contemplated a valuation for AVROBIO of $50 million and a valuation for the counterparty of $90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36.</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31, 2023, Party RR, a privately held company, submitted a verbal proposal to AVROBIO proposing a reverse merger transaction, which contemplated a valuation for AVROBIO of $55 million, a valuation for the counterparty of $99 million, and potential concurrent private placement investments of $15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Throughout the period after AVROBIO’s public announcement of the exploration of strategic alternatives on July 12, 2023 and the commencement of the distribution of process letters on July 18, 2023, members of AVROBIO management engaged in various management presentations and other due diligence activities with counterparties, certain sessions of which were attended by members of the Transaction Committee and representatives of TD Cowen, and the AVROBIO Transaction Committee met on multiple occasions, together with representatives of Goodwin and TD Cowen, to review and discuss the indications of interest, impressions of the quality and actionability of the companies as reverse merger counterparties against the Criteria and based on the management meetings and other due diligence activities, and to select counterparties with sufficiently compelling proposals to proceed to subsequent phases of due diligence and engagement. AVROBIO also entered into additional mutual confidentiality agreements with certain counterparties before advancing them to subsequent phases of due diligence,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(a)</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24, 2023, AVROBIO and Party DD entered into a mutual confidentiality agreement, which did not include a “standstill” provision.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(b)</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27, 2023, AVROBIO and Party W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(c)</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28, 2023, AVROBIO and Party SS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(d)</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AVROBIO and Party S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(e)</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AVROBIO and Party U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(f)</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AVROBIO and Party BB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(g)</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AVROBIO and Party II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(h)</w:t>
            </w:r>
          </w:p>
        </w:tc>
        <w:tc>
          <w:tcPr>
            <w:tcW w:w="98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AVROBIO and Party JJ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(i)</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9, 2023, AVROBIO and Party LL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(j)</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11, 2023, AVROBIO and Party TT entered into a mutual confidentiality agreement, which included a customary “standstill” provision binding on the counterparty which was subject to customary fallaway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(k)</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14, 2023, AVROBIO and Party M entered into a mutual confidentiality agreement, which included a customary “standstill” provision binding on the counterparty which was subject to customary fallaway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(l)</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16, 2023, AVROBIO and Party MM entered into a mutual confidentiality agreement, which included a customary “standstill” provision binding on the counterparty which was subject to customary fallaway provisions.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this process, the Transaction Committee initially found the prospects of a reverse merger with Party J, Party M, Party O, Party Y, Party Z, Party CC or Party MM particularly compelling in relation to one or more of the Criteria, and members of AVROBIO management engaged in more extensive due diligence and management meetings with representatives of these parties, certain sessions of which were attended by members of the Transaction Committee and representatives of TD Cowen. The Transaction Committee subsequently determined to proceed to a term sheet with Party O given Party O’s relative strengths in relation to the Criteria, including, but not limited to, the strength of Party O’s scientific and clinical value propositions and business proposals, particularly in therapeutic areas that the Transaction Committee perceived were compelling, the quality of Party O’s investor syndicate, and Party O’s representation that its cash runway on a pro forma basis would be expected to extend into 2026. </w:t>
      </w:r>
    </w:p>
    <w:p>
      <w:pPr>
        <w:pStyle w:val="TextBody"/>
        <w:bidi w:val="0"/>
        <w:spacing w:before="240" w:after="0"/>
        <w:jc w:val="left"/>
        <w:rPr>
          <w:rFonts w:ascii="Times New Roman" w:hAnsi="Times New Roman"/>
          <w:sz w:val="20"/>
        </w:rPr>
      </w:pPr>
      <w:r>
        <w:rPr>
          <w:rFonts w:ascii="Times New Roman" w:hAnsi="Times New Roman"/>
          <w:sz w:val="20"/>
        </w:rPr>
        <w:t xml:space="preserve">On September 7, 2023, AVROBIO and Party O entered into a term sheet for a potential reverse merger transaction (the “Party O Term Sheet”), which, among other things, provided for a binding period of exclusivity that could be terminated by either party at its election, but not earlier than October 7, 2023. Following negotiations, the Party O Term Sheet contemplated a valuation for AVROBIO of $65 million (including $50 million of net cash at closing), a valuation for Party O of $231 million, and a potential concurrent PIPE investment of at least $100 million. For purposes of the negotiation and pendency of AVROBIO’s potential strategic transaction with Party O, a member of the AVROBIO Board was recused from all such discussions given that investors affiliated with such director were investors in both AVROBIO and Party O.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execution of the Party O Term Sheet on September 7, 2023, representatives of Goodwin and outside counsel for Party O negotiated a potential merger agreement and other ancillary agreements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reverse merger transaction, and representatives of Party O and its financial advisor and placement agents, in collaboration with members of AVROBIO management and representatives of TD Cowen, marketed and worked to secure the PIPE investment.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26, 2023, the AVROBIO Board held a meeting, at which members of AVROBIO management and representatives of Goodwin and TD Cowen were present. Among other things, members of AVROBIO management provided the Board with a preliminary analysis prepared by AVROBIO management regarding a potential liquidation of AVROBIO as compared to a reverse merger transaction. Following this discussion, the Board instructed AVROBIO management and its advisors to continue with the reverse merger process. </w:t>
      </w:r>
    </w:p>
    <w:p>
      <w:pPr>
        <w:pStyle w:val="TextBody"/>
        <w:bidi w:val="0"/>
        <w:spacing w:before="240" w:after="0"/>
        <w:jc w:val="left"/>
        <w:rPr>
          <w:rFonts w:ascii="Times New Roman" w:hAnsi="Times New Roman"/>
          <w:sz w:val="20"/>
        </w:rPr>
      </w:pPr>
      <w:r>
        <w:rPr>
          <w:rFonts w:ascii="Times New Roman" w:hAnsi="Times New Roman"/>
          <w:sz w:val="20"/>
        </w:rPr>
        <w:t xml:space="preserve">Beginning in early October 2023, and exacerbated by global events and macroeconomic conditions that transpired through that month, Party O began to experience significant difficulties securing PIPE commitments for the transaction. On October 7, 2023, AVROBIO’s exclusivity period with Party O expired, but in accordance with the AVROBIO Transaction Committee’s direction, representatives of TD Cowen communicated to representatives of Party O that the Transaction Committee had approved providing Party O with additional time to secure the PIPE commitments. On October 13, 2023, at the direction of the AVROBIO Transaction Committee, representatives of TD Cowen further communicated to representatives of Party O that AVROBIO intended to terminate the exclusivity period if adequate PIPE commitments had not been secured by October 20, 2023. Accordingly, AVROBIO terminated the exclusivity period with Party O on October 20, 2023 and thereby terminated discussions for a strategic transaction with Party O. </w:t>
      </w:r>
    </w:p>
    <w:p>
      <w:pPr>
        <w:pStyle w:val="TextBody"/>
        <w:bidi w:val="0"/>
        <w:spacing w:before="240" w:after="0"/>
        <w:jc w:val="left"/>
        <w:rPr>
          <w:rFonts w:ascii="Times New Roman" w:hAnsi="Times New Roman"/>
          <w:sz w:val="20"/>
        </w:rPr>
      </w:pPr>
      <w:r>
        <w:rPr>
          <w:rFonts w:ascii="Times New Roman" w:hAnsi="Times New Roman"/>
          <w:sz w:val="20"/>
        </w:rPr>
        <w:t xml:space="preserve">On October 23, 2023, the AVROBIO Transaction Committee held a meeting, at which members of AVROBIO management and representatives of Goodwin and TD Cowen were present. TD Cowen updated the Transaction Committee on the termination of discussions for a strategic transaction with Party O. Representatives of Goodwin again reviewed with the Transaction Committee the directors’ fiduciary, strategic and other considerations relevant to an exploration of strategic alternatives for AVROBIO. The Transaction Committee discussed the viability of PIPE financing and deal certainty for “reverse mergers” under present market, economic and geopolitical circumstances, and discussed, with input from AVROBIO management and representatives of TD Cowen, potential counterparties across a range of types of strategic transactions. With respect to potential reverse merger transactions with privately held companies, the Transaction Committee also discussed initial impressions of quality and actionability across the Criteria enumerated by the AVROBIO Board, in particular as to deal certainty and private placement financing certainty in light of the failure of the prior process with Party O. Included among the potential counterparties assessed was Tectonic, with which representatives of TD Cowen indicated TD Cowen was familiar, having worked with Tectonic in the past on a potential business combination process. Following these discussions, the Transaction Committee authorized AVROBIO management and its advisors to engage or re-engage with a number of privately held counterparties (including Tectonic) to evaluate potential interest in a strategic transaction. These counterparties were primarily selected based on their desire to obtain financing and/or interest in becoming a public company, with an emphasis on the counterparty’s perceived ability to execute a concurrent financing and AVROBIO’s preliminary belief, through industry knowledge, in the strength of the counterparty’s scientific and clinical value propositions and business proposals. Following the meeting, and at the direction of the Transaction Committee, representatives of TD Cowen contacted representatives of such counterparties regarding their interest in a reverse merger with AVROBIO. </w:t>
      </w:r>
    </w:p>
    <w:p>
      <w:pPr>
        <w:pStyle w:val="TextBody"/>
        <w:bidi w:val="0"/>
        <w:spacing w:before="240" w:after="0"/>
        <w:jc w:val="left"/>
        <w:rPr>
          <w:rFonts w:ascii="Times New Roman" w:hAnsi="Times New Roman"/>
          <w:sz w:val="20"/>
        </w:rPr>
      </w:pPr>
      <w:r>
        <w:rPr>
          <w:rFonts w:ascii="Times New Roman" w:hAnsi="Times New Roman"/>
          <w:sz w:val="20"/>
        </w:rPr>
        <w:t xml:space="preserve">Also on October 23, 2023, following an outreach by representatives of TD Cowen in accordance with AVROBIO’s directions, representatives of Tectonic expressed interest in engaging in discussions with AVROBIO and requested to execute a mutual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24, 2023, AVROBIO and Tectonic entered into a mutual confidentiality agreement, which included a customary “standstill” provision binding on Tectonic subject to customary fallaway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October 30, 2023 to November 2, 2023, in accordance with the direction of the Transaction Committee, TD Cowen distributed process letters on behalf of AVROBIO to various counterparties as authorized by the Transaction Committee, which invited such parties to submit preliminary proposals for a strategic transaction, consisting either of a stock-based reverse merger or “merger of equals” transaction or a cash-based transaction, by November 15, 2023. The parties receiving process letters or otherwise contacted consisted of Tectonic, Party N, Party R, Party Z, Party MM, Party UU, Party VV, Party WW, Party XX, Party YY, Party ZZ, Party AAA, Party BBB, Party CCC, Party DDD, Party EEE and Party FFF. </w:t>
      </w:r>
    </w:p>
    <w:p>
      <w:pPr>
        <w:pStyle w:val="TextBody"/>
        <w:bidi w:val="0"/>
        <w:spacing w:before="240" w:after="0"/>
        <w:jc w:val="left"/>
        <w:rPr>
          <w:rFonts w:ascii="Times New Roman" w:hAnsi="Times New Roman"/>
          <w:sz w:val="20"/>
        </w:rPr>
      </w:pPr>
      <w:r>
        <w:rPr>
          <w:rFonts w:ascii="Times New Roman" w:hAnsi="Times New Roman"/>
          <w:sz w:val="20"/>
        </w:rPr>
        <w:t xml:space="preserve">During this process, the Transaction Committee initially found the prospects of a reverse merger with Tectonic, Party R, Party Z, Party VV and Party DDD particularly compelling in relation to one or more of the Criteria, and members of AVROBIO management engaged in more extensive due diligence and management meetings with representatives of these parties, certain sessions of which were attended by members of the Transaction Committee and representatives of TD Cowen. The Transaction Committee subsequently determined to proceed to a term sheet with Tectonic given Tectonic’s relative strengths in relation to the Criteria, as described more fully below. </w:t>
      </w:r>
    </w:p>
    <w:p>
      <w:pPr>
        <w:pStyle w:val="TextBody"/>
        <w:bidi w:val="0"/>
        <w:spacing w:before="240" w:after="0"/>
        <w:jc w:val="left"/>
        <w:rPr>
          <w:rFonts w:ascii="Times New Roman" w:hAnsi="Times New Roman"/>
          <w:sz w:val="20"/>
        </w:rPr>
      </w:pPr>
      <w:r>
        <w:rPr>
          <w:rFonts w:ascii="Times New Roman" w:hAnsi="Times New Roman"/>
          <w:sz w:val="20"/>
        </w:rPr>
        <w:t xml:space="preserve">On November 1, 2023, AVROBIO and Party R entered into a mutual confidentiality agreement, which included a customary “standstill” provision binding on the counterparty which was subject to customary fallaway provisions. </w:t>
      </w:r>
    </w:p>
    <w:p>
      <w:pPr>
        <w:pStyle w:val="TextBody"/>
        <w:bidi w:val="0"/>
        <w:spacing w:before="240" w:after="0"/>
        <w:jc w:val="left"/>
        <w:rPr>
          <w:rFonts w:ascii="Times New Roman" w:hAnsi="Times New Roman"/>
          <w:sz w:val="20"/>
        </w:rPr>
      </w:pPr>
      <w:r>
        <w:rPr>
          <w:rFonts w:ascii="Times New Roman" w:hAnsi="Times New Roman"/>
          <w:sz w:val="20"/>
        </w:rPr>
        <w:t xml:space="preserve">On November 2, 2023, Party R, a privately held company, submitted a written indication of interest to AVROBIO proposing a reverse merger transaction (the “Party R November 2, 2023 Proposal”). The Party R November 2, 2023 Proposal contemplated a valuation for AVROBIO of $80 million (including $65 million of net cash at closing, reflecting an increase in AVROBIO’s cash position relative to the prior reverse merger process in September 2023), a valuation for Party R of $225 million, and potential concurrent PIPE investments from existing investors in Party R of $40 million plus potential additional PIPE investments of at least $40 million. The Party R November 2, 2023 Proposal also communicated Party R’s willingness to offer contingent value rights (“CVRs”) to pre-closing AVROBIO shareholders in connection with any post-closing transaction to monetize AVROBIO’s pre-closing assets. The Party R November 2,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2023, members of AVROBIO management held a management meeting with representatives of Party R to conduct, among other things, general business due diligence with respect to Party R. Representatives of TD Cowen also attended this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8, 2023, members of AVROBIO management held a management meeting with representatives of Tectonic to conduct, among other things, general business due diligence with respect to Tectonic. Representatives of TD Cowen also attended this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2023, the AVROBIO Transaction Committee held a meeting, at which members of AVROBIO management and representatives of Goodwin and TD Cowen were present. The members of the Transaction Committee discussed their impressions of the quality and actionability of Tectonic and Party R as reverse merger counterparties stemming from their evaluation of these companies and the management meetings held over the past one to two weeks. Members of the Transaction Committee expressed preliminary uncertainties regarding Party R’s fundamental business and pipeline and, thus, Party R’s ability to meet one or more of the Criteria as compared to Tectonic. These uncertainties included, without limitation, the risk that Party R’s clinical data, which was generated primarily in ex-U.S. settings, might not translate to U.S. FDA approval, the relatively limited peak sales potential of Party R’s lead pipeline asset, the relative weakness of the timing and likelihood of meaningful clinical and regulatory inflection points, Party R’s relative lack of readiness to become a U.S. publicly listed company, the limited familiarity with Party R’s non-U.S. and non-biotech specialist investors and Party R’s representation that its cash runway on a pro forma basis would be expected to extend through 2025 only. Given these uncertainties, the Transaction Committee elected not to make a counterproposal to Party R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time. The Transaction Committee also authorized AVROBIO management and its advisors to prepare a form term sheet to be proposed to the counterparty ultimately selected by the Transaction Committee. At this meeting, representatives of TD Cowen also again noted for the Transaction Committee that TD Cowen previously had assisted Tectonic on a potential business combination process, indicating that Tectonic had withdrawn from such process in September 2023 and that TD Cowen had not been formally engaged by, and had not received any investment banking or other financial services revenue (nor was any such revenue contemplated to be received) from, Tectonic for such services. </w:t>
      </w:r>
    </w:p>
    <w:p>
      <w:pPr>
        <w:pStyle w:val="TextBody"/>
        <w:bidi w:val="0"/>
        <w:spacing w:before="240" w:after="0"/>
        <w:jc w:val="left"/>
        <w:rPr>
          <w:rFonts w:ascii="Times New Roman" w:hAnsi="Times New Roman"/>
          <w:sz w:val="20"/>
        </w:rPr>
      </w:pPr>
      <w:r>
        <w:rPr>
          <w:rFonts w:ascii="Times New Roman" w:hAnsi="Times New Roman"/>
          <w:sz w:val="20"/>
        </w:rPr>
        <w:t xml:space="preserve">On November 11, 2023, Tectonic submitted a written indication of interest to AVROBIO proposing a reverse merger transaction (the “Tectonic November 11, 2023 Proposal”). The Tectonic November 11, 2023 Proposal contemplated a valuation for AVROBIO of $70 million (including a targeted $65 million of net cash at closing and a $5 million proposed valuation of AVROBIO’s public company listing), a valuation for Tectonic of $150 million (which was equal to the agreed upon valuation of Tectonic in a recently negotiated term sheet for a transaction Tectonic and the Tectonic Board had previously considered), and a potential concurrent private placement investment in a range of $125 million to $150 million to help fund the combined company following the merger. The Tectonic November 11, 2023 Proposal also communicated Tectonic’s willingness to offer CVRs or other monetization mechanisms to pre-closing AVROBIO shareholders in connection with any post-closing transaction to monetize AVROBIO’s pre-closing assets. The Tectonic November 11,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2023, Party VV and Party DDD each submitted a written indication of interest to AVROBIO proposing a reverse merger transaction (the “Party VV November 14, 2023 Proposal” and the “Party DDD November 14, 2023 Proposal”). The Party VV November 14, 2023 Proposal contemplated a valuation for AVROBIO of $80 million (including a targeted $65 million of net cash at closing), a valuation for the counterparty of $114 million, and a potential concurrent private placement investment of $45 million. The Party VV November 14, 2023 Proposal also communicated the counterparty’s willingness to offer CVRs or other monetization mechanisms to pre-closing AVROBIO shareholders in connection with any post-closing transaction to monetize AVROBIO’s pre-closing assets. The Party DDD November 14, 2023 Proposal contemplated a valuation for AVROBIO of $75 million (including a targeted $65 million of net cash at closing), a valuation for the counterparty of $407 million, and a potential concurrent private placement investment of $100 million. The Party DDD November 14, 2023 Proposal also communicated the counterparty’s willingness to offer CVRs or other monetization mechanisms to pre-closing AVROBIO shareholders in connection with any post-closing transaction to monetize AVROBIO’s pre-closing assets. The Party VV November 14, 2023 Proposal and the Party DDD November 14, 2023 Proposal were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2023, in accordance with the direction of the AVROBIO Transaction Committee, representatives of TD Cowen verbally communicated AVROBIO’s counterproposal to Tectonic, reflecting a valuation for AVROBIO of $85 million (including a targeted $65 million of net cash at closing and a $20 million proposed combined valuation of AVROBIO’s public company listing and pre-closing assets), a valuation for Tectonic of $130 million (reflecting AVROBIO’s desire to achieve a more favorable valuation for its shareholders), and a potential concurrent private placement investment in a range of $125 million to $150 million to help fund the combined company following the merger (as had been contemplated in the Tectonic November 11, 2023 Proposal) (the “AVROBIO November 15, 2023 Proposal to Tectonic”).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15, 2023, Party N, Party CCC and Party EEE each submitted a written indication of interest to AVROBIO proposing a reverse merger transaction (the “Party N November 15, 2023 Proposal”, the “Party CCC November 15, 2023 Proposal” and the “Party EEE November 15, 2023 Proposal”). The Party N November 15, 2023 Proposal contemplated a valuation for AVROBIO of $75 million (including a targeted $65 million of net cash at closing) and a valuation for the counterparty of $223 million, and did not specifically contemplate a potential concurrent private placement investment. The Party N November 15, 2023 Proposal also communicated the counterparty’s willingness to offer CVRs or other monetization mechanisms to pre-closing AVROBIO shareholders in connection with any post-closing transaction to monetize AVROBIO’s pre-closing assets. The Party CCC November 15, 2023 Proposal contemplated a valuation for AVROBIO of $75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a targeted $65 million of net cash at closing), a valuation for the counterparty of $250 million, and a potential concurrent private placement investment of $50 million. The Party CCC November 15, 2023 Proposal also communicated the counterparty’s willingness to offer CVRs or other monetization mechanisms to pre-closing AVROBIO shareholders in connection with any post-closing transaction to monetize AVROBIO’s pre-closing assets. The Party EEE November 15, 2023 Proposal contemplated a valuation for AVROBIO of $90 million (including a targeted $65 million of net cash at closing) and a valuation for the counterparty of $210 million, and expressed openness to discuss a potential concurrent private placement investment with AVROBIO. The Party EEE November 15, 2023 Proposal also communicated the counterparty’s willingness to offer CVRs or other monetization mechanisms to pre-closing AVROBIO shareholders in connection with any post-closing transaction to monetize AVROBIO’s pre-closing assets. The Party N November 15, 2023 Proposal, the Party CCC November 15, 2023 Proposal and the Party EEE November 15, 2023 Proposal were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16, 2023, Party Z submitted a written indication of interest to AVROBIO proposing a reverse merger transaction (the “Party Z November 16, 2023 Proposal”). The Party Z November 16, 2023 Proposal contemplated a valuation for AVROBIO of $75 million (including a targeted $65 million of net cash at closing), a valuation for the counterparty of $165 million, and a potential concurrent private placement investment of $45 million. The Party Z November 16, 2023 Proposal also communicated the counterparty’s willingness to offer CVRs or other monetization mechanisms to pre-closing AVROBIO shareholders in connection with any post-closing transaction to monetize AVROBIO’s pre-closing assets. The Party Z November 16,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2023, the AVROBIO Transaction Committee held a meeting, at which members of AVROBIO management and representatives of Goodwin and TD Cowen were present. The members of the Transaction Committee continued to discuss their impressions of the quality and actionability of Tectonic and Party R as reverse merger counterparties stemming from their evaluation of these companies and the management meetings held over the past several weeks, including the terms proposed by the Party R November 2, 2023 Proposal as well as the Tectonic November 11, 2023 Proposal and the AVROBIO November 15, 2023 Proposal to Tectonic. The members of the Transaction Committee discussed positive considerations with respect to Party R, such as Party R’s relatively advanced clinical data, despite the fact that it was primarily generated in an ex-U.S. setting, and a relatively competitive economic split proposed by Party R. However, members of the Transaction Committee continued to express concerns about Party R’s ability to meet one or more of the Criteria as compared to Tectonic, as described above from the Transaction Committee’s November 10, 2023 meeting. The members also discussed the other proposals received and mentioned above and did not view them to be sufficiently compelling with respect to at least one of the Criteria and therefore determined not to advance them to the term sheet and exclusivity phase of the process. The Transaction Committee instructed AVROBIO management and its advisors to continue to evaluate both companies and negotiate terms with both companies.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2023, members of AVROBIO management held a management meeting with representatives of Tectonic to conduct, among other things, data and regulatory due diligence matters with respect to Tectonic. Representatives of TD Cowen also attended this meeting.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21, 2023, representatives of Tectonic verbally provided a counterproposal to AVROBIO, reflecting a valuation for AVROBIO of $72.5 million (including a targeted $65 million of net cash at closing and a $7.5 million proposed valuation of AVROBIO’s public company listing), a valuation for Tectonic of $140 million, and a potential concurrent private placement investment of at least $114.5 million to help fund the combined company following the merger (the “Tectonic November 21, 2023 Proposal”). The Tectonic November 21,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22, 2023, members of AVROBIO management held a management meeting with representatives of Tectonic to conduct, among other things, financial due diligence with respect to Tectonic. Representatives of TD Cowen also attended this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November 27, 2023, members of AVROBIO management held a management meeting with representatives of Tectonic to conduct, among other things, intellectual property due diligence with respect to Tectonic. </w:t>
      </w:r>
    </w:p>
    <w:p>
      <w:pPr>
        <w:pStyle w:val="TextBody"/>
        <w:bidi w:val="0"/>
        <w:spacing w:before="240" w:after="0"/>
        <w:jc w:val="left"/>
        <w:rPr>
          <w:rFonts w:ascii="Times New Roman" w:hAnsi="Times New Roman"/>
          <w:sz w:val="20"/>
        </w:rPr>
      </w:pPr>
      <w:r>
        <w:rPr>
          <w:rFonts w:ascii="Times New Roman" w:hAnsi="Times New Roman"/>
          <w:sz w:val="20"/>
        </w:rPr>
        <w:t xml:space="preserve">Later on November 27, 2023, the AVROBIO Transaction Committee held a meeting, at which members of AVROBIO management and representatives of Goodwin and TD Cowen were present. The members of the Transaction Committee continued to discuss their impressions of the quality and actionability of Tectonic and Party R as reverse merger counterparties stemming from their evaluation of these companies and the management meetings held over the past several weeks. TD Cowen updated the Transaction Committee regarding the negotiations on the economics of a potential reverse merger with Tectonic over the past several days. Following discussion, the Transaction Committee determined that, subject to further negotiation, and in light of the Transaction Committee’s continued concerns about Party R’s ability to meet one or more of the Criteria as compared to Tectonic, Tectonic would likely be the most compelling counterparty with which AVROBIO should proceed to the term sheet phase of transaction negotiations. Among other things, the Transaction Committee found particularly compelling Tectonic’s perceived large total addressable market, existing and potentially new investor base and reputable management team. In addition, the Transaction Committee reiterated its continued concerns about Party R’s fundamental business and pipeline attributes, and determined a counterproposal to Party R would not be warranted. Therefore, the Transaction Committee authorized AVROBIO management to submit AVROBIO’s form of term sheet to Tectonic, in which AVROBIO would (i) propose a valuation for AVROBIO of $80 million (including a targeted $65 million of net cash at closing and a $15 million proposed combined valuation of AVROBIO’s public company listing and pre-closing assets), agree to a valuation for Tectonic of $140 million (as had been contemplated in the Tectonic November 21, 2023 Proposal) which economic allocation implied a post-closing ownership split of 36.4% for AVROBIO and 63.6% for Tectonic, in each case without taking into account the private placement, (ii) agree to the issuance of CVRs to AVROBIO stockholders in connection with any post-closing transaction to monetize AVROBIO’s pre-closing assets as contemplated in the Tectonic November 11, 2023 Proposal with a covenant that the combined company would use commercially reasonable efforts to dispose of AVROBIO’s pre-closing assets, (iii) propose a potential concurrent private placement investment in a range of $125 million to $150 million to help fund the combined company following the merger, and (iv) propose a broad definition of AVROBIO cash at closing for potential equity allocation adjustment purposes. This form term sheet was silent as to (a) the treatment of AVROBIO equity awards and (b) any closing condition relating to a minimum level of AVROBIO cash at closing. The Transaction Committee also authorized AVROBIO management to communicate to representatives of Party R that AVROBIO would not be further engaging with Party R toward a strategic transaction at this time. In executive session with the representatives of TD Cowen absent, the Transaction Committee also discussed TD Cowen’s material relationships disclosure relating to Tectonic previously communicated to the Transaction Committee and determined that TD Cowen’s prior relationship with Tectonic would not reasonably be expected to adversely affect TD Cowen’s services to AVROBIO in connection with the contemplated transaction involving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Later on November 27, 2023, the draft term sheet as described above was provided to representatives of Tectonic.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2023, representatives of Tectonic submitted a markup of the draft term sheet to representatives of AVROBIO (the “Tectonic December 1, 2023 Proposal”). Among other things, the Tectonic December 1, 2023 Proposal counterproposed a valuation for AVROBIO of $77.5 million (including a targeted $65 million of net cash at closing and a $12.5 million proposed valuation of AVROBIO’s public company listing), a valuation for Tectonic of $140 million (as had been agreed at this point with AVROBIO), which economic allocation implied a post closing ownership split of 35.6% for AVROBIO and 64.4% for Tectonic, in each case without taking into account the private placement, and a concurrent private placement investment of at least $114.5 million in the aggregate to help fund the combined company following the merger, which would include a private placement to be consummated concurrently with the closing of a reverse merger, pre-existing “simple agreement for future equity” (SAFE) financings entered into by Tectonic for capital-raising purposes, and any additional capital raised by Tectonic for capital-raising purposes after the Tectonic December 1, 2023 Proposal. The Tectonic December 1, 2023 Proposal also (a) rejected the commercially reasonable efforts covenant binding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combined company with respect to the disposition of AVROBIO’s pre-closing assets and the CVRs, and instead proposed that a designee of AVROBIO would be permitted to explore such dispositions, (b) deleted AVROBIO’s proposed definition of AVROBIO cash at closing and instead proposed that such definition be deferred to the negotiation of definitive agreements, and (c) introduced a closing condition relating to a minimum level of AVROBIO cash at closing (without specifying a particular amount). The Tectonic December 1,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Later on December 1, 2023, the AVROBIO Transaction Committee held a meeting, at which members of AVROBIO management and representatives of Goodwin and TD Cowen were present. The Transaction Committee discussed the Tectonic December 1, 2023 Proposal, including the cash runway provided by the concurrent private placement amount that Tectonic was proposing and the bifurcation of such amount between private financings and SAFE financings. The Transaction Committee also accepted Tectonic’s proposed valuation of $77.5 million for AVROBIO, noting that a $12.5 million valuation of a public listing ascribed by the private company is within market range with respect to recent reverse merger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2023, TD Cowen provided a formal material relationships disclosure to the AVROBIO Board, which indicated no material change in the information relating to Tectonic previously relayed by TD Cowen to the Transaction Committee and that TD Cowen otherwise had no material relationships with Tectonic during the two-year period prior to such disclosures for which Cowen received any investment banking or other financial services revenue. </w:t>
      </w:r>
    </w:p>
    <w:p>
      <w:pPr>
        <w:pStyle w:val="TextBody"/>
        <w:bidi w:val="0"/>
        <w:spacing w:before="240" w:after="0"/>
        <w:jc w:val="left"/>
        <w:rPr>
          <w:rFonts w:ascii="Times New Roman" w:hAnsi="Times New Roman"/>
          <w:sz w:val="20"/>
        </w:rPr>
      </w:pPr>
      <w:r>
        <w:rPr>
          <w:rFonts w:ascii="Times New Roman" w:hAnsi="Times New Roman"/>
          <w:sz w:val="20"/>
        </w:rPr>
        <w:t xml:space="preserve">Later on December 5, 2023, the AVROBIO Board held a meeting, at which members of AVROBIO management and representatives of Goodwin and TD Cowen were present. Members of AVROBIO management reviewed their key due diligence findings with respect to Tectonic. Representatives of Goodwin reviewed the key terms of the term sheet under negotiation with Tectonic, including the key economic terms contemplated for the reverse merger transaction and the binding period of exclusivity to be entered into, and provided an overview of legal considerations in connection with a potential transaction, including the directors’ fiduciary duties under Delaware law in the context of a strategic transaction (including mergers, acquisitions and dissolution). All members of the AVROBIO Board were also asked to disclose any relationships they may have with Tectonic or any member of its board of directors, for which no relationships were identified. Following discussion, the AVROBIO Board authorized AVROBIO management and its advisors to continue to negotiate the term sheet with Tectonic and to enter into the term sheet with Tectonic (including with respect to the binding exclusivity period) substantially on the terms reviewed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From December 5, 2023 to December 13, 2023, representatives of AVROBIO and Tectonic continued to negotiate the detailed terms of the term sheet. With respect to the term sheet’s provisions regarding the CVR arrangement, Tectonic agreed that the post-closing combined company would be required to exercise commercially reasonable efforts (the exact definition of which would be negotiated as part of the definitive CVR Agreement) to dispose of AVROBIO’s pre-closing assets, but took the position that such efforts would apply only after the combined company’s receipt of an unsolicited inbound offer for such assets. Representatives of AVROBIO, in consultation with members of the Transaction Committee, accepted this position, given the extensive and proactive market check that AVROBIO had conducted with respect to its assets. Additionally, AVROBIO took the position that, for purposes of closing certainty in light of Tectonic’s proposal for some minimum level of AVROBIO cash at closing as a closing condition, either (a) such level must be specified in the term sheet and/or (b) the definition of AVROBIO cash at closing must be agreed to in the term sheet. In response, Tectonic proposed (i) that such level for the minimum cash closing condition be set at $62.5 million and (ii) a detailed definition for AVROBIO cash at closing which contained a broad scope of potential deductions. Further in response, AVROBIO proposed (A) a level for the minimum cash closing condition of $45 million and (B) a detailed definition for AVROBIO cash at closing, which contained a lesser scope of potential deductions than that proposed by Tectonic. Further in response, Tectonic proposed (1) a level for the minimum cash closing condition of $50 million and (2) again that the exact definition of AVROBIO cash at closing be deferred to the negotiation of definitive agreements. Given that AVROBIO was comfortable that the $50 million level conferred a degree of closing certainty, AVROBIO agreed to the $50 million level and to defer the exact definition of AVROBIO cash at closing as proposed by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December 7, 2023, AVROBIO and Party GGG entered into a mutual confidentiality agreement, which included a customary “standstill” provision binding on the counterparty which was subject to customary fallaway provisions. Later on December 7, 2023, Party GGG submitted a written indication of interest to AVROBIO proposing a reverse merger transaction (the “Party GGG December 7, 2023 Proposal”). The Party GGG December 7, 2023 Proposal contemplated a valuation for AVROBIO of $71.5 million (including a targeted $65 million of net cash at closing), a valuation for the counterparty of $150 million, and potential concurrent private placement investments of $35 million. The Party GGG December 7, 2023 Proposal also communicated the counterparty’s willingness to offer CVRs or other monetization mechanisms to pre-closing AVROBIO shareholders in connection with any post-closing transaction to monetize AVROBIO’s pre-closing assets. The Party GGG December 7,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2023, in accordance with the direction of the AVROBIO Board, AVROBIO and Tectonic entered into the term sheet for a potential reverse merger transaction (the “Tectonic Term Sheet”), which, among other things (including as contemplated by the second paragraph preceding this paragraph), provided for (i) a binding period of exclusivity that may be terminated by either party at its election, but not earlier than January 15, 2024 (the “minimum exclusivity period”) and (ii) a post-closing ownership split of 64.3% for Tectonic and 35.6% for AVROBIO, in each case without taking into account the private placement, reflective of respective valuations for AVROBIO of $77.5 million (including a targeted $65 million of net cash at closing), for Tectonic of $140 million, and a concurrent private placement investment of at least $114.5 million in the aggregate to help fund the combined company following the merger, which would include a private placement to be consummated concurrently with the closing of a reverse merger, pre-existing “simple agreement for future equity” (SAFE) financings entered into by Tectonic for capital-raising purposes, and any additional capital raised by Tectonic for capital-raising purposes after the date of the Tectonic Term Sheet up to $24 million (these agreed-upon valuation amounts would remain unchanged in the definitive Merger Agreement). The executed term sheet remained silent as to the treatment of AVROBIO equity awards. </w:t>
      </w:r>
    </w:p>
    <w:p>
      <w:pPr>
        <w:pStyle w:val="TextBody"/>
        <w:bidi w:val="0"/>
        <w:spacing w:before="240" w:after="0"/>
        <w:jc w:val="left"/>
        <w:rPr>
          <w:rFonts w:ascii="Times New Roman" w:hAnsi="Times New Roman"/>
          <w:sz w:val="20"/>
        </w:rPr>
      </w:pPr>
      <w:r>
        <w:rPr>
          <w:rFonts w:ascii="Times New Roman" w:hAnsi="Times New Roman"/>
          <w:sz w:val="20"/>
        </w:rPr>
        <w:t xml:space="preserve">Later on December 13, 2023, members of Tectonic management contacted representatives of TD Cowen and requested that TD Cowen serve alongside Leerink Partners LLC (“Leerink”) as a placement agent for Tectonic in connection with its concurrent private placement financings. This request was promptly disclosed to members of AVROBIO management and members of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14, 2023, in accordance with the direction of the AVROBIO Board, Goodwin delivered an initial draft of the Merger Agreement to Cooley LLP, outside counsel to Tectonic (“Cooley”). The initial draft was consistent with the term sheet terms agreed to and summarized in the second paragraph preceding this paragraph, and included the following terms, among others: (i) a reverse merger structure, (ii) a mechanism for contingent payments to AVROBIO’s stockholders via a CVR arrangement, (iii) reciprocal representations and warranties and interim operating covenants with respect to AVROBIO and Tectonic, (iv) termination fees for AVROBIO and Tectonic upon termination for certain specific conditions, and (v) the treatment of AVROBIO equity awards in connection with the merger, including the acceleration of options and RSUs and the extension of the exercise period pertaining to certain options. Thereafter and through January 29, 2024, representatives of AVROBIO, Tectonic, Goodwin and Cooley negotiated the terms of the Merger Agreement. This included the mechanics by which the AVROBIO stock consideration would be issued to Tectonic shareholders and concurrent private placement investors, in accordance with the agreed-upon equity allocations in the combined company, which mechanics took the form of the exchange ratio mechanism described more fully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December 18, 2023, at the direction of the Transaction Committee, TD Cowen informed representatives of Party R and Party GGG that the members of the AVROBIO Board had decided to proceed with other potential counterparties. With respect to Party GGG, the Transaction Committee negatively viewed Party GGG’s heightened need for external financing and status as an existing public company listed on an non-U.S. securities exchange, which the Transaction Committee believed could introduce additional transaction risk while not enabling Party GGG to capitalize on the value of AVROBIO’s public listing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December 19, 2023, members of AVROBIO management were introduced to representatives of Houlihan Lokey to discuss Houlihan Lokey’s potential engagement as a co-financial advisor to AVROBIO to provide a fairness opinion to the AVROBIO Board in connection with a potential strategic transaction with Tectonic, given the request for TD Cowen to serve as a placement agent for Tectonic along with Leerink. </w:t>
      </w:r>
    </w:p>
    <w:p>
      <w:pPr>
        <w:pStyle w:val="TextBody"/>
        <w:bidi w:val="0"/>
        <w:spacing w:before="240" w:after="0"/>
        <w:jc w:val="left"/>
        <w:rPr>
          <w:rFonts w:ascii="Times New Roman" w:hAnsi="Times New Roman"/>
          <w:sz w:val="20"/>
        </w:rPr>
      </w:pPr>
      <w:r>
        <w:rPr>
          <w:rFonts w:ascii="Times New Roman" w:hAnsi="Times New Roman"/>
          <w:sz w:val="20"/>
        </w:rPr>
        <w:t xml:space="preserve">Also on December 19, 2023, the AVROBIO Transaction Committee held a meeting, at which members of AVROBIO management and representatives of Goodwin and TD Cowen were present. Representatives of TD Cowen provided an update on the transaction process and timing, including with respect to Tectonic’s concurrent private placement financings. In executive session with the representatives of TD Cowen absent, the Transaction Committee discussed the advisability of engaging a co-financial advisor to AVROBIO to provide a fairness opinion in connection with a potential strategic transaction with Tectonic, given the request for TD Cowen to serve as a placement agent for Tectonic along with Leerink. Following discussion, the Transaction Committee determined that it would be in the best interests of AVROBIO and its stockholders for a co-financial advisor to be engaged for purposes of providing a fairness opinion. The Transaction Committee authorized members of AVROBIO management to engage Houlihan Lokey for such purposes, noting, among other things, Houlihan Lokey’s qualifications, extensive experience and reputation, and knowledge of and involvement in recent transactions in AVROBIO’s industry. </w:t>
      </w:r>
    </w:p>
    <w:p>
      <w:pPr>
        <w:pStyle w:val="TextBody"/>
        <w:bidi w:val="0"/>
        <w:spacing w:before="240" w:after="0"/>
        <w:jc w:val="left"/>
        <w:rPr>
          <w:rFonts w:ascii="Times New Roman" w:hAnsi="Times New Roman"/>
          <w:sz w:val="20"/>
        </w:rPr>
      </w:pPr>
      <w:r>
        <w:rPr>
          <w:rFonts w:ascii="Times New Roman" w:hAnsi="Times New Roman"/>
          <w:sz w:val="20"/>
        </w:rPr>
        <w:t xml:space="preserve">On December 22, 2023, in accordance with the direction of the AVROBIO Board, Goodwin delivered an initial draft of the CVR Agreement to Cooley. Thereafter and through January 29, 2024, representatives of AVROBIO, Tectonic, Goodwin and Cooley negotiated the terms of the CVR Agreement alongside the negotiation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24, 2023, Cooley delivered a markup of the Merger Agreement to Goodwin which accepted (i) the reverse merger structure, (ii) a mechanism for contingent payments to AVROBIO’s stockholders through a CVR arrangement, (iii) reciprocal representations and warranties and interim operating covenants with respect to AVROBIO and Tectonic, (iv) the treatment of AVROBIO equity awards in connection with the merger, including the acceleration of options and RSUs and the extension of the exercise period pertaining to certain options, (v) a closing condition requiring AVROBIO to have a minimum $50 million cash at closing, and (v) the calculation of the exchange ratio reflective of the respective valuations of Tectonic and AVROBIO. The markup also, among other things, (i) made proposals with respect to the permitted deductions in the calculation of AVROBIO’s net cash and transaction expenses, (ii) added potential termination rights in the event of a delisting of AVROBIO common stock from Nasdaq, (iii) expanded Tectonic’s ability to evaluate and respond to unsolicited proposals and change the recommendation of its board of directors in favor of the merger, (iv) restricted AVROBIO’s ability to accept a superior proposal or terminate the merger for a material adverse effect on Tectonic, and (v) restricted AVROBIO’s consent rights over changes to Tectonic’s concurrent private placement financing.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2024, in accordance with the direction of the AVROBIO Board, Goodwin delivered initial drafts of certain ancillary agreements associated with the merger to Cooley. Thereafter and through January 29, 2024, representatives of AVROBIO, Tectonic, Goodwin and Cooley negotiated the terms of the ancillary agreements alongside the negotiation of the Merger Agreement and the CVR Agreement. Concurrently, Goodwin also delivered a markup of the Merger Agreement to Cooley, which, among other things, (i) made counterproposals with respect to the permitted deductions in the calculation of AVROBIO’s net cash and transaction expenses, (ii) counterproposed the addition of closing conditionality for the continued listing of AVROBIO common stock on Nasdaq, (iii) largely accepted Tectonic’s ability to evaluate and respond to unsolicited proposals and change the recommendation of its board of directors in favor of the merger, so long as Tectonic would be prohibited from terminating the merger and Tectonic’s supporting stockholders would be prohibited from terminating their support obligations, (iv) made counterproposals with respect to AVROBIO’s ability to accept a superior proposal or terminate the merger for a material adverse effect on Tectonic, and (v) made counterproposals with respect to AVROBIO’s consent rights over changes to Tectonic’s concurrent private placement financing. Thereafter, between January 12, 2024 through January 29, 2024, members of AVROBIO and Tectonic management and representatives of Goodwin and Cooley negotiated the remaining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of the Merger Agreement, including via negotiation calls among the parties on January 12, 2024, January 19, 2024, January 28, 2024 and January 29, 2024. </w:t>
      </w:r>
    </w:p>
    <w:p>
      <w:pPr>
        <w:pStyle w:val="TextBody"/>
        <w:bidi w:val="0"/>
        <w:spacing w:before="240" w:after="0"/>
        <w:jc w:val="left"/>
        <w:rPr>
          <w:rFonts w:ascii="Times New Roman" w:hAnsi="Times New Roman"/>
          <w:sz w:val="20"/>
        </w:rPr>
      </w:pPr>
      <w:r>
        <w:rPr>
          <w:rFonts w:ascii="Times New Roman" w:hAnsi="Times New Roman"/>
          <w:sz w:val="20"/>
        </w:rPr>
        <w:t xml:space="preserve">On January 12, 2024, the AVROBIO Transaction Committee held a meeting, at which members of AVROBIO management and representatives of Goodwin, TD Cowen and Houlihan Lokey were present. Representatives of TD Cowen provided an update on the transaction process and timing, including with respect to Tectonic’s concurrent private placement financings. Representatives of Goodwin then summarized the material terms being negotiated in the Merger Agreement and the CVR Agreement and other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2024, on account of the lapse of the minimum exclusivity period under the Tectonic Term Sheet and the continued, active pendency of the transaction, AVROBIO and Tectonic amended the Tectonic Term Sheet to extend the minimum exclusivity period to January 29, 2024. </w:t>
      </w:r>
    </w:p>
    <w:p>
      <w:pPr>
        <w:pStyle w:val="TextBody"/>
        <w:bidi w:val="0"/>
        <w:spacing w:before="240" w:after="0"/>
        <w:jc w:val="left"/>
        <w:rPr>
          <w:rFonts w:ascii="Times New Roman" w:hAnsi="Times New Roman"/>
          <w:sz w:val="20"/>
        </w:rPr>
      </w:pPr>
      <w:r>
        <w:rPr>
          <w:rFonts w:ascii="Times New Roman" w:hAnsi="Times New Roman"/>
          <w:sz w:val="20"/>
        </w:rPr>
        <w:t xml:space="preserve">On January 26, 2024, the AVROBIO Transaction Committee held a meeting, at which members of AVROBIO management and representatives of Goodwin, TD Cowen and Houlihan Lokey were present. Representatives of TD Cowen provided an update on the transaction process and timing, including with respect to Tectonic’s concurrent private placement financings. Representatives of Goodwin then summarized the material terms being negotiated in the Merger Agreement and the CVR Agreement and other ancillary agreements and provided an overview of legal considerations in connection with a potential transaction, including the directors’ fiduciary duties under Delaware law in the context of a strategic transaction (including mergers, acquisitions and dissolution), the management of any actual or potential conflicts, and the transaction process. Representatives of Houlihan Lokey then reviewed Houlihan Lokey’s preliminary financial analyses with respect to AVROBIO, Tectonic and the exchange ratio presently contemplated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meeting, members of AVROBIO management also provided the Transaction Committee with an analysis prepared by AVROBIO management regarding a potential liquidation or dissolution of AVROBIO (the “liquidation case”) as compared to a potential reverse merger transaction with Tectonic (the “reverse merger case”) (collectively, the “liquidation analysis”), as more fully described in the section of this proxy statement/prospectus titled “ – </w:t>
      </w:r>
      <w:r>
        <w:rPr>
          <w:rFonts w:ascii="Times New Roman" w:hAnsi="Times New Roman"/>
          <w:i/>
          <w:sz w:val="20"/>
        </w:rPr>
        <w:t>AVROBIO Liquidation Analysis</w:t>
      </w:r>
      <w:r>
        <w:rPr>
          <w:rFonts w:ascii="Times New Roman" w:hAnsi="Times New Roman"/>
          <w:sz w:val="20"/>
        </w:rPr>
        <w:t xml:space="preserve">”. The liquidation case of the liquidation analysis provided two separate scenarios, one of which assumed a transition of AVROBIO’s operations to a dissolution administrator in July 2024 (the “July 2024 liquidation case”), and the second of which assumed a transition of AVROBIO’s operations to a dissolution administrator in October 2024 (the “October 2024 liquidation case”) (such assumed July 2024 and October 2024 dates, the “transition dates”). In selecting the July 2024 transition date for the July 2024 liquidation case, AVROBIO accounted for certain contractual obligations of AVROBIO that last through the end of June 2024 and that could reasonably be expected to impede AVROBIO’s ability to liquidate prior thereto. Under both the July 2024 liquidation case and the October 2024 liquidation case, based on internal data, AVROBIO management assumed (A) that sources of cash would consist of an estimated cash balance as of January 22, 2024 equal to $94.7 million, plus cash flow generated from interest income through the respective transition dates, from which was deducted (B) various categories of uses of cash through the respective transition dates, including the present value of cash reserves established in respect of potential future claims and litigations in connection with the liquidations. The resulting implied equity values of AVROBIO equaled approximately $68.7 million in the October 2024 liquidation scenario and $72.6 million in the July 2024 liquidation scenario. </w:t>
      </w:r>
    </w:p>
    <w:p>
      <w:pPr>
        <w:pStyle w:val="TextBody"/>
        <w:bidi w:val="0"/>
        <w:spacing w:before="240" w:after="0"/>
        <w:jc w:val="left"/>
        <w:rPr>
          <w:rFonts w:ascii="Times New Roman" w:hAnsi="Times New Roman"/>
          <w:sz w:val="20"/>
        </w:rPr>
      </w:pPr>
      <w:r>
        <w:rPr>
          <w:rFonts w:ascii="Times New Roman" w:hAnsi="Times New Roman"/>
          <w:sz w:val="20"/>
        </w:rPr>
        <w:t xml:space="preserve">In the reverse merger case, AVROBIO management assumed a completion date for the reverse merger of May 31, 2024. As compared to the liquidation case, the reverse merger case included (i) certain costs applicable only to the reverse merger case, such as financial advisor contingent fees and change-in-control payments to AVROBIO employees, and (ii) certain value ascribed by Tectonic to AVROBIO in excess of its ending net cash position, including with respect to the value of its public company listing, in the amount of $12.5 million. The resulting implied equity value of AVROBIO in the reverse merger case equaled approximately $87.5 million as of the assumed reverse merger completion date of May 31, 2024. The Transaction Committee noted that (1) the equity value of AVROBIO implied by the reverse merger case delivered more value to AVROBIO stockholders than those implied by either of the liquidation cases, (2) while the equity value of AVROBIO implied by the reverse merger case as of the assumed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reverse merger completion date of May 31, 2024 was based on estimated net cash as of such date of $75 million, applying any level of net cash equally across the three scenarios yielded a higher value for the reverse merger case, and (3) while the Merger Agreement’s equity allocation to AVROBIO stockholders assumed a valuation for AVROBIO of $77.5 million, which was based on a targeted $65 million of net cash at closing, the actual equity allocation to AVROBIO stockholders at closing would be increased on a dollar-for-dollar basis (subject to a $0.5 million “hurdle”) if AVROBIO’s net cash at closing was higher than $65 million; see the section of this proxy statement/prospectus titled “Description of the Merger Agreement” for a more fulsome description. This would thereby confer additional equity value to AVROBIO stockholders on a dollar-for-dollar basis (subject to the aforementioned “hurdle”) in the event that AVROBIO’s closing net cash actually approximates $75 million. Following discussion, the Transaction Committee authorized Houlihan Lokey to utilize the liquidation analysis prepared by AVROBIO management in Houlihan Lokey’s financial analyses with respect to AVROBIO, Tectonic and the exchange ratio presently contemplated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2024, Houlihan Lokey provided AVROBIO with certain disclosures for the AVROBIO Board, indicating, among other things, that Houlihan Lokey had no material relationships with Tectonic during the two-year period prior to such disclosures for which Houlihan Lokey received any investment banking or other financial services revenue. </w:t>
      </w:r>
    </w:p>
    <w:p>
      <w:pPr>
        <w:pStyle w:val="TextBody"/>
        <w:bidi w:val="0"/>
        <w:spacing w:before="240" w:after="0"/>
        <w:jc w:val="left"/>
        <w:rPr>
          <w:rFonts w:ascii="Times New Roman" w:hAnsi="Times New Roman"/>
          <w:sz w:val="20"/>
        </w:rPr>
      </w:pPr>
      <w:r>
        <w:rPr>
          <w:rFonts w:ascii="Times New Roman" w:hAnsi="Times New Roman"/>
          <w:sz w:val="20"/>
        </w:rPr>
        <w:t xml:space="preserve">Later on January 28, 2024, the AVROBIO Board held a meeting, at which members of AVROBIO management and representatives of Goodwin, TD Cowen and Houlihan Lokey were present. TD Cowen provided an update on the transaction process and timing, including with respect to Tectonic’s concurrent private placement financings. Representatives of Goodwin then summarized the material terms being negotiated in the Merger Agreement and the CVR Agreement and other ancillary agreements. Representatives of Houlihan Lokey then presented Houlihan Lokey’s preliminary financial analyses with respect to AVROBIO, Tectonic and the exchange ratio presently contemplated for the merger, which included reference to the liquidation analysis prepared by AVROBIO management that was presented to and approved by the AVROBIO Transaction Committee at its meeting of January 26, 2024. Following Houlihan Lokey’s presentation, the AVROBIO Board discussed Houlihan Lokey’s preliminary financial analyses and AVROBIO management’s liquidation analysis and determined that the reverse merger with Tectonic as contemplated by AVROBIO management’s reverse merger case would be in the best interests of AVROBIO’s stockholders, relative to a liquidation of AVROBIO as contemplated by AVROBIO management’s liquidation case.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AVROBIO Board held a series of meetings, at each of which members of AVROBIO management and representatives of Goodwin, TD Cowen and Houlihan Lokey were present. Representatives of Goodwin discussed the Merger Agreement, the CVR Agreement, the subscription agreements and certain other ancillary documents. Representatives of Goodwin then discussed fiduciary duties under Delaware law in connection with the merger, which had been discussed with the AVROBIO Board throughout the process. At the request of the AVROBIO Board, Houlihan Lokey then reviewed and discussed its financial analyses with respect to AVROBIO, Tectonic and the proposed Merger. Thereafter, at the request of the AVROBIO Board, Houlihan Lokey orally rendered its opinion to the AVROBIO Board (which was subsequently confirmed in writing by delivery of Houlihan Lokey’s written opinion addressed to the AVROBIO Board), to the effect that, as of January 29, 2024, based upon and subject to the assumptions, qualifications, limitations and other matters considered as set forth in the Opinion, the Exchange Ratio provided for in the Merger pursuant to the Merger Agreement, after giving effect to the Related Transactions, was fair, from a financial point of view, to AVROBIO. After further discussion, based on the factors cited in the section of this proxy statement/prospectus titled “AVROBIO’s Reasons for the Merger,” the AVROBIO Board unanimously: (i) determined that the Contemplated Transactions are fair to, advisable and in the best interests of AVROBIO and its stockholders, (ii) approved and declared advisable the Merger Agreement and the Contemplated Transactions, including the issuance of shares of AVROBIO Common Stock to the stockholders of Tectonic pursuant to the terms of the Merger Agreement, and (iii) determined to recommend, upon the terms and subject to the conditions set forth in the Merger Agreement, that the stockholders of AVROBIO vote (A) to approve the issuance of shares of AVROBIO Common Stock to the stockholders of Tectonic pursuant to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approve an amendment to the AVROBIO certificate of incorporation to effect the Nasdaq Reverse Split and (C) to approve an amendment to the AVROBIO certificate of incorporation to provide for the exculpation of officers. </w:t>
      </w:r>
    </w:p>
    <w:p>
      <w:pPr>
        <w:pStyle w:val="TextBody"/>
        <w:bidi w:val="0"/>
        <w:spacing w:before="240" w:after="0"/>
        <w:jc w:val="left"/>
        <w:rPr>
          <w:rFonts w:ascii="Times New Roman" w:hAnsi="Times New Roman"/>
          <w:sz w:val="20"/>
        </w:rPr>
      </w:pPr>
      <w:r>
        <w:rPr>
          <w:rFonts w:ascii="Times New Roman" w:hAnsi="Times New Roman"/>
          <w:sz w:val="20"/>
        </w:rPr>
        <w:t xml:space="preserve">Before the opening of trading on Nasdaq on January 30, 2024, AVROBIO and Tectonic executed the Merger Agreement, certain AVROBIO stockholders executed the AVROBIO stockholder support agreements and the AVROBIO lock-up agreements, and certain Tectonic stockholders executed the Tectonic stockholder support agreements and the Tectonic lock-up agreements. Before the opening of trading on Nasdaq on January 30, 2024, AVROBIO and Tectonic issued a joint press release announcing the execution of the Merger Agreement and the Subscription Agreement and AVROBIO filed a current report on Form 8-K with the SEC relating to these matters. </w:t>
      </w:r>
    </w:p>
    <w:p>
      <w:pPr>
        <w:pStyle w:val="TextBody"/>
        <w:bidi w:val="0"/>
        <w:spacing w:before="360" w:after="0"/>
        <w:jc w:val="left"/>
        <w:rPr>
          <w:rFonts w:ascii="Times New Roman" w:hAnsi="Times New Roman"/>
          <w:b/>
          <w:sz w:val="20"/>
        </w:rPr>
      </w:pPr>
      <w:bookmarkStart w:id="49" w:name="toc770053_47"/>
      <w:bookmarkEnd w:id="49"/>
      <w:r>
        <w:rPr>
          <w:rFonts w:ascii="Times New Roman" w:hAnsi="Times New Roman"/>
          <w:b/>
          <w:sz w:val="20"/>
        </w:rPr>
        <w:t xml:space="preserve">AVROBIO’s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During the course of its evaluation of the Merger Agreement and the transactions contemplated by the Merger Agreement, the AVROBIO Board (including the Transaction Committee) held numerous meetings, consulted with AVROBIO’s senior management, AVROBIO’s legal and financial advisors, and reviewed and assessed a significant amount of information. In reaching its decision to approve the Merger Agreement and the transactions contemplated by the Merger Agreement, the AVROBIO Board took into account the input of the Transaction Committee, and considered a number of factors that it viewed as supporting its decision to approve the Merger Agreement, including (without limitation):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AVROBIO and the risks associated with continuing to operate AVROBIO on a standalone basis, including in light of (without limitation):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decision, announced in July 2023, to discontinue its clinical and research programs which resulted in a corporate restructuring and a reduction in AVROBIO’s workforce by 50% (followed by additional reductions in force in October, November and December of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 interest and value perception for possible further development of its programs, the product candidates’ efficacy profile, stage of development, regulatory agencies’ feedback regarding development pathways, and probability of success in relation to the requisite time and costs, including the relative absence of meaningful, near-term regulatory and clinical inflection points for AVROBIO’s ongoing programs following the Cystinosis Sale;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encountered in AVROBIO’s related business development efforts to license, sell or otherwise partner its assets that could result in meaningful new capital or shared future development costs, and to generate sufficient investor interest despite two separate attempts at capital raising, which further exacerbated the lack of opportunities to achieve meaningful near-term regulatory and clinical inflection points for AVROBIO’s ongoing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AVROBIO Board and the Transaction Committee, with the assistance of AVROBIO’s management and legal and financial advisors, undertook a comprehensive and thorough process of reviewing and analyzing potential strategic alternatives and strategic transaction partner candidates, which included the public announcement of AVROBIO’s exploration of strategic alternatives on July 12, 2023, subsequent outreach to approximately 60 strategic and reverse merger candidates and review by the AVROBIO Board of other alternatives (including remaining a standalone company, a liquidation or dissolution of AVROBIO to distribute any available cash and alternative strategic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Committee and the AVROBIO Board’s belief, after a thorough review of strategic alternatives, including engagement with numerous strategic parties with respect to various types of strategic transactions (including whole-company sales, “reverse merger” transactions and “merger of equals” transactions), attempts at two capital raising financings, both of which were unable to generate sufficient investor interest, engagement with certain counterparties on potential partnership opportunities, including in Japan, and the completion of the Cystinosis Sale to Novartis, that the merger is more favorable to AVROBIO stockholders than the potential value that might have resulted from other strategic alternatives available to AVROBIO;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the $77.5 million value ascribed to AVROBIO by Tectonic would provide the existing AVROBIO stockholders significant value for AVROBIO and afford AVROBIO stockholders a significant opportunity to participate in the potential growth of the combined company following the merger at the negotiated exchange ratio, and the AVROBIO Board’s understanding that such $77.5 million value was based on a targeted $65 million of net cash at closing and that the actual valuation ascribed to AVROBIO at closing would be increased or decreased subject to actual deviations in AVROBIO’s net cash at closing in excess of a $0.5 million “hurdle” in both directions (as described more fully in the section of this proxy statement/prospectus titled “</w:t>
            </w:r>
            <w:r>
              <w:rPr>
                <w:rFonts w:ascii="Times New Roman" w:hAnsi="Times New Roman"/>
                <w:i/>
                <w:sz w:val="20"/>
              </w:rPr>
              <w:t>Description of the Merger Agreement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view, following a review with AVROBIO’s senior management and advisors of Tectonic’s current development and clinical trial plans, of the likelihood that the combined company would possess sufficient cash resources at the closing of the merger, or have access to sufficient resources, to fund continued development of Tectonic’s product candidates through certain anticipated upcoming value inflection points;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positive view, based on the scientific, regulatory and technical due diligence conducted by AVROBIO’s senior management and advisors, of the regulatory pathway for, and potential significant market opportunity of, Tectonic’s product candidates, which will be the focus of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consideration of the expected cash and cash equivalents of the combined company as of the closing of the merger, including the anticipated aggregate proceeds of $130.7 million to be received by Tectonic between the Subscription Agreement and the Company SAFEs, and the quality of the investor syndicate offered by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Tectonic constituted the most compelling “reverse merger” counterparty as it pertains to each of the Criteria enumerated by the AVROBIO Board (for additional information, see the section of this proxy statement/prospectus titled “—</w:t>
            </w:r>
            <w:r>
              <w:rPr>
                <w:rFonts w:ascii="Times New Roman" w:hAnsi="Times New Roman"/>
                <w:i/>
                <w:sz w:val="20"/>
              </w:rPr>
              <w:t>Background of the Merger</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AVROBIO’s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AVROBIO stockholders to receive cash or other marketable proceeds in respect of AVROBIO’s pre-closing assets following the closing of the merger pursuant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liquidation analysis prepared by AVROBIO’s management for the AVROBIO Board’s review, which implied an equity value of AVROBIO in the reverse merger case of approximately $87.5 million, as compared to approximately $72.6 million in the July 2024 liquidation case and approximately $68.7 million in the October 2024 liquidation case (for additional information, see the sections of this proxy statement/prospectus titled “—</w:t>
            </w:r>
            <w:r>
              <w:rPr>
                <w:rFonts w:ascii="Times New Roman" w:hAnsi="Times New Roman"/>
                <w:i/>
                <w:sz w:val="20"/>
              </w:rPr>
              <w:t>Background of the Merger</w:t>
            </w:r>
            <w:r>
              <w:rPr>
                <w:rFonts w:ascii="Times New Roman" w:hAnsi="Times New Roman"/>
                <w:sz w:val="20"/>
              </w:rPr>
              <w:t>” and “—</w:t>
            </w:r>
            <w:r>
              <w:rPr>
                <w:rFonts w:ascii="Times New Roman" w:hAnsi="Times New Roman"/>
                <w:i/>
                <w:sz w:val="20"/>
              </w:rPr>
              <w:t>AVROBIO Liquidation Analysis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and delays associated with, and uncertain value and costs to AVROBIO stockholders of, liquidating AVROBIO, including, without limitation, the uncertainties of continuing cash burn while contingent liabilities are resolved, the uncertainty of timing of release of cash until contingent liabilities are resolved and AVROBIO’s continuing contractual obligations as of the date of the Merger Agreement that extend through June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financial analysis reviewed by Houlihan Lokey with the AVROBIO Board as well as the oral opinion of Houlihan Lokey rendered to the AVROBIO Board on January 29, 2024 (which was subsequently confirmed in writing by delivery of Houlihan Lokey’s written opinion addressed to the AVROBIO Board), to the effect that, as of January 29, 2024, based upon and subject to the assumptions, qualifications, limitations and other matters considered as set forth in the Opinion, the Exchange Ratio provided for in the Merger pursuant to the Merger Agreement, after giving effect to the Related Transactions, is fair, from a financial point of view to AVROBIO (for additional information, see the section of this proxy statement/prospectus titled “—</w:t>
            </w:r>
            <w:r>
              <w:rPr>
                <w:rFonts w:ascii="Times New Roman" w:hAnsi="Times New Roman"/>
                <w:i/>
                <w:sz w:val="20"/>
              </w:rPr>
              <w:t>Opinion of Houlihan Lokey to the AVROBIO Board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AVROBIO Board also reviewed the terms of the Merger Agreement, the CVR Agreement and the other transaction documents,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AVROBIO common stock to be issued in the merger may be reduced or increased to the extent AVROBIO’s net cash position at the closing differs by more than $0.5 million from the anticipated $65.0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nature of the conditions to Tectonic’s and AVROBIO’s respective obligations to complete the merger and the likelihood that the merger will be completed on a timely basis, including the fact that Tectonic’s obligation to complete the merger is conditioned on AVROBIO having a specified level of closing net cash being not less than $50.0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rights of, and limitations on, AVROBIO and Tectonic under the Merger Agreement to consider and engage in discussions regarding unsolicited acquisition proposals under certain circumstances, and the limitations on the board of directors of each party to change its recommendation in favor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termination fee of $2.712 million, in the case of the fee payable by AVROBIO, or $4.9 million, in the case of the fee payable by Tectonic, if the Merger Agreement is terminated in certain circumstances, and the potential reimbursement of transaction expenses payable by AVROBIO of up to $650,000 if the special meeting has been held and completed and AVROBIO stockholders have taken a final vote on Proposal Nos. 1 and 2, and such proposals have not been approved by the AVROBIO stockholders at the AVROBIO special meeting (or any adjournment or postponement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pursuant to which certain Tectonic stockholder and AVROBIO stockholders have, subject to certain exceptions, agreed not to transfer their shares of AVROBIO common stock during the period of 180 days following the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stockholders of AVROBIO and Tectonic have agreed, solely in their capacities as stockholders, to vote all of their shares of AVROBIO common stock or Tectonic common stock (as applicable) in favor of the proposals submitted to them in connection with the merger and against any alternative acquisition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agreement of Tectonic to provide the written consent of Tectonic stockholders necessary to adopt the Merger Agreement and approve the Merger and the contemplated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CVR Agreement, pursuant to which AVROBIO stockholders of record as of immediately prior to the effective time (including holders of shares of AVROBIO common stock issued upon settlement of the AVROBIO RSUs), will receive a CVR for each outstanding share of AVROBIO common stock held by such AVROBIO stockholders representing the contractual right to receive cash payments, if any, upon the receipt by AVROBIO of certain net proceeds payable to the combined company, as more fully described in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would qualify as a reorganization within the meaning of Section 368(a) of the Code, and will constitute a “plan of reorganization” within the meaning of Treasury Regulations Section 1.368 2(g), with the result that Tectonic stockholders would generally not recognize taxable gain or loss for U.S. federal income tax purposes upon the exchange of Tectonic common stock for AVROBIO common stock pursuant to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and in addition to the consideration and input of the Transaction Committee, the AVROBIO Board also considered a variety of risks, uncertainties and other countervailing factors related to entering into the merger,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potential benefits of the merger may not be fully achieved, or may not be achieved within the expected timeframe;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future financial performance of Tectonic may not meet the AVROBIO Board’s expectations due to factors both within and outside of Tectonic’s control;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AVROBIO’s stockholders may not approve the merger;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and costs of stockholder or third-party litigation relating to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potential effect of the $2.712 million termination fee payable by AVROBIO and AVROBIO’s expense reimbursement obligations upon the occurrence of certain events, as more fully described in the section titled “</w:t>
            </w:r>
            <w:r>
              <w:rPr>
                <w:rFonts w:ascii="Times New Roman" w:hAnsi="Times New Roman"/>
                <w:i/>
                <w:sz w:val="20"/>
              </w:rPr>
              <w:t>The Merger Agreement—Termination Fe</w:t>
            </w:r>
            <w:r>
              <w:rPr>
                <w:rFonts w:ascii="Times New Roman" w:hAnsi="Times New Roman"/>
                <w:sz w:val="20"/>
              </w:rPr>
              <w:t xml:space="preserve">e,” in deterring other potential acquirors from proposing an alternative acquisition proposal that may be more advantageous to AVROBIO stockholders;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prohibition on AVROBIO to solicit alternative acquisition proposals during the pendency of the merger;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expenses to be incurred by AVROBIO in connection with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possible volatility of the trading price of the AVROBIO common stock resulting from the announcement, pendency or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scientific, technical, regulatory and other risks and uncertainties associated with development and commercialization of Tectonic’s product candidates;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AVROBIO’s stockholders may not receive any value under the CVR Agreement;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various risks impacting the financial condition, results of operations and prospects for AVROBIO;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dilution to the stockholders of AVROBIO upon the consummation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merger, including those described in the sections 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36 and 171, respectively,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AVROBIO Board are not intended to be exhaustive but are believed to include all of the material factors considered by the AVROBIO Board. In view of the wide variety of factors considered in connection with its evaluation of the merger and the complexity of these matters, the AVROBIO Board did not find it useful to attempt, and did not attempt, to quantify, rank or otherwise assign relative weights to these factors. In considering the factors described above, individual members of the AVROBIO Board may have given different weight to different factors. The AVROBIO Board conducted an overall analysis of the factors described above, including thorough discussions with, and questioning of, AVROBIO’s senior management, outside legal counsel and financial advisors, and considered the factors overall to be favorable to, and to support, its determination.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Tectonic’s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the Tectonic Board held meetings and conducted discussions, consulted with Tectonic’s senior management, its financial advisors and legal counsel, and considered a wide variety of factors. Ultimately, the Tectonic Board concluded that a merger with AVROBIO together with the additional financing committed by the investors in the Tectonic pre-closing financing, was the best option to maximize the generation of capital resources to support the advancement of Tectonic’s pipeline and fund the combined company potentially well past achievement of clinical proof of concept for its lead asset, TX45. </w:t>
      </w:r>
    </w:p>
    <w:p>
      <w:pPr>
        <w:pStyle w:val="TextBody"/>
        <w:bidi w:val="0"/>
        <w:spacing w:before="240" w:after="0"/>
        <w:jc w:val="left"/>
        <w:rPr>
          <w:rFonts w:ascii="Times New Roman" w:hAnsi="Times New Roman"/>
          <w:sz w:val="20"/>
        </w:rPr>
      </w:pPr>
      <w:r>
        <w:rPr>
          <w:rFonts w:ascii="Times New Roman" w:hAnsi="Times New Roman"/>
          <w:sz w:val="20"/>
        </w:rPr>
        <w:t xml:space="preserve">The Tectonic Board considered, among others, the following material factors (which factors are not necessarily presented in any order or relevant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provide Tectonic’s current stockholders with greater liquidity by owning publicly-traded stock, and expanding the range of investors potentially available as a public company, compared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bidi w:val="0"/>
        <w:jc w:val="left"/>
        <w:rPr/>
      </w:pPr>
      <w:r>
        <w:rPr/>
      </w:r>
    </w:p>
    <w:tbl>
      <w:tblPr>
        <w:tblW w:w="9125" w:type="dxa"/>
        <w:jc w:val="left"/>
        <w:tblInd w:w="0" w:type="dxa"/>
        <w:tblLayout w:type="fixed"/>
        <w:tblCellMar>
          <w:top w:w="0" w:type="dxa"/>
          <w:left w:w="0" w:type="dxa"/>
          <w:bottom w:w="0" w:type="dxa"/>
          <w:right w:w="0" w:type="dxa"/>
        </w:tblCellMar>
      </w:tblPr>
      <w:tblGrid>
        <w:gridCol w:w="75"/>
        <w:gridCol w:w="9050"/>
      </w:tblGrid>
      <w:tr>
        <w:trPr/>
        <w:tc>
          <w:tcPr>
            <w:tcW w:w="7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investors Tectonic could otherwise gain access to if it continued to operate as a privately-held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Tectonic’s business, including its financial performance and condition, operations, management and pre-clinical data;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Tectonic operates;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Board’s fiduciary duties to Tectonic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Tectonic’s Board’s belief that no alternatives to the merger were reasonably likely to create greater value for Tectonic stockholders, after reviewing the various financing and other strategic options to enhance stockholder value that were considered by the Tectonic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projected financial position, operations, management structure, geographic locations, operating plans, cash burn rate and financial projections of the combined company, including the expected cash resources of the combined company (including the ability to support the combined company’s current and planned clinical trials and operations);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AVROBIO;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Tectonic’s capital stock who comply with the required procedures under the DGCL, which allow such holders to seek appraisal of the fair value of their shares of Tectonic capital stock as determined by the Delaware Court of Chancery;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including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that the expected relative percentage ownership of AVROBIO stockholders and Tectonic stockholders in the combined company was appropriate, based on the Tectonic Board’s judgment and assessment of the approximate valuations of AVROBIO (including the value of the net cash AVROBIO is expected to provide to the combined company) and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will be treated as a reorganization with the result that in the merger the Tectonic stockholders will generally not recognize taxable gain or loss for U.S. federal income tax purposes;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limited number and nature of the conditions of the obligation of AVROBIO to consummate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of Tectonic under the Merger Agreement to consider certain unsolicited acquisition proposals under certain circumstances should Tectonic receive a superior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Tectonic Board that the potential termination fee of $4.9 million, payable by Tectonic to AVROBIO, and the circumstances when such fee may be payable, were reasonable;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Tectonic Board that the potential termination fee of $2.7 million, payable by AVROBIO to Tectonic, and the circumstances when such fee may be payable, were reasonable;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AVROBIO’s common stock issued to Tectonic stockholders will be registered on a Form S-4 registration statement and will become freely tradable for Tectonic stockholders who are not affiliates of Tectonic and who are not parties to lock-up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Tectonic and AVROBIO, respectively, have agreed, solely in their capacity as stockholders of Tectonic and AVROBIO, respectively, to vote all of their shares of Tectonic capital stock or AVROBIO common stock in favor of the adoption or approval, respectively,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company’s name to Tectonic Therapeutic, Inc. upon the closing of the merger; and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Tectonic Board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might not be completed and the potential adverse effect of the public announcement of the merger on the reputation of Tectonic and the ability of Tectonic to obtain financing in the future in the event the merger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common stock by existing AVROBIO stockholders may cause the price of AVROBIO common stock to fall, thus reducing the potential value of AVROBIO common stock received by Tectonic stockholders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AVROBIO’s common stock to be issued to Tectonic stockholders in the merger is fixed, except for adjustments due to AVROBIO’s cash balance and outstanding capital stock at closing, and thus the relative percentage ownership of AVROBIO stockholders and Tectonic stockholders in the combined company immediately following the completion of the merger is similarly fixed;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fee, payable by Tectonic to AVROBIO upon the occurrence of certain events, and the potential effect of such termination fee in deterring other potential acquirers from proposing an alternative transaction that may be more advantageous to Tectonic stockholders;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AVROBIO’s net cash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and that Tectonic’s cash resources may not be sufficient to fund operations if the closing process runs into delays much longer than would be expected in a similar process;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Tectonic senior management required to complete the merger, the related disruptions or potential disruptions to Tectonic’s business operations and future prospects, including its relationships with its employees, suppliers and partners and others that do business or may do business in the future with Tectonic, and related administrative challenges associated with combining the companies;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 will not be able to successfully sell AVROBIO’s the assets subject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Tectonic’s business will be subject following the merger that Tectonic has not previously been subject to, and the operational changes to Tectonic’s business, in each case that may result from being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representations and warranties in the Merger Agreement do not survive the closing of the merger and the potential risk of liabilities that may arise post-closing;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company and the merger, including the risks described in the section titled “</w:t>
            </w:r>
            <w:r>
              <w:rPr>
                <w:rFonts w:ascii="Times New Roman" w:hAnsi="Times New Roman"/>
                <w:i/>
                <w:sz w:val="20"/>
              </w:rPr>
              <w:t>Risk Factors</w:t>
            </w:r>
            <w:r>
              <w:rPr>
                <w:rFonts w:ascii="Times New Roman" w:hAnsi="Times New Roman"/>
                <w:sz w:val="20"/>
              </w:rPr>
              <w:t xml:space="preserv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summarizes the material factors considered by the Tectonic Board in its consideration of the Merger Agreement and the transactions contemplated. The Tectonic Board concluded that the benefits, advantages and opportunities of a potential transaction outweighed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uncertainties and risks described above. After considering these and other factors, the Tectonic Board unanimously approved the Merger Agreement, the merger and the other transactions contemplated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AVROBIO Liquidation Analysis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evaluation of the merger by the AVROBIO Board, AVROBIO management prepared and presented an analysis regarding a potential liquidation or dissolution of AVROBIO (the “liquidation case”) as compared to a potential “reverse merger” transaction with Tectonic (the “reverse merger case”) (collectively, the “liquidation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liquidation analysis should not be deemed an admission or representation by AVROBIO or any of its officers, directors, affiliates, advisors, or other representatives with respect to the liquidation analysis. The liquidation analysis is not included to influence your views on the merger, the Merger Agreement and the transactions contemplated thereby and is summarized in this proxy statement/prospectus solely to provide stockholders access to certain information considered by the AVROBIO Board in connection with its evaluation of the merger, the Merger Agreement and the transactions contemplated thereby and provided to Houlihan Lokey, who was authorized and directed to rely upon the liquidation analysis for purposes of its opinion to the AVROBIO Board. Any estimates contained in the liquidation analysis are not necessarily indicative of actual values or predictive of future results or values, which may be significantly more or less favorable than as set forth below. Analyses relating to the value of AVROBIO do not purport to be appraisals or reflect the prices at which shares of AVROBIO common stock may actually be valued or trade, either before or after the consummation of the merger. Additionally, it is unlikely that the entirety of AVROBIO’s cash balance would be available at the time of an actual dissolution or liquidation for distribution to AVROBIO’s stockholders, due to the requirements of applicable law. The actual amount that would be available for distribution would depend on the amount of wind-down costs, the amount required to settle remaining obligations under current contracts, the need to retain employees to facilitate the wind-down, the need to retain the services of outside contractors to assist with the wind-down and the satisfaction by AVROBIO of its remaining obligations (including obligations to continue SEC filings), and the need to retain funds beyond that distribution for unknown or contingent liabilities, each of which could be material and the total amount of which could not currently be estimated.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AVROBIO nor any other independent accountant has audited, reviewed, compiled, examined or performed any procedures with respect to the accompanying unaudited prospective financial information for the purpose of its inclusion herein, and accordingly, neither the independent registered public accounting firm of AVROBIO nor any other independent accountant expresses an opinion or provides any form of assurance with respect thereto for the purpose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includes estimates of cash and of certain expenditures, which for the purpose of the liquidation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merger if the disclosure is included in a document such as this proxy statement/prospectus to comply with requirements under state laws, including case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liquidation analysis speaks only as to the date on which it was generated, and AVROBIO undertakes no obligation to update or otherwise revise or reconcile the liquidation analysis to reflect circumstances existing after the date the liquidation analysis was generated or to reflect the occurrence of future events. AVROBIO does not intend to make publicly available any update or other revisions to the liquidation analysis, except as otherwise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estimated cash balances, stockholders are cautioned not to place undue reliance, if any, on the liquidation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below summary of the liquidation analysis is subject to the statements above, and it represents AVROBIO management’s estimates of AVROBIO’s cash which may be distributed to stockholders as permitted under applicable law pursuant to a plan of dissolution. The below summary is included solely to give stockholders access to the liquidation analysis evaluated by the AVROBIO Board, and is not included in this proxy statement/prospectus to influence a stockholder’s decision whether or not to vote for the proposals, or for any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case of the liquidation analysis provided two separate scenarios, one of which assumed a transition of AVROBIO’s operations to a dissolution administrator in July 2024 (the “July 2024 liquidation case”), and the second of which assumed a transition of AVROBIO’s operations to a dissolution administrator in October 2024 (the “October 2024 liquidation case”) (such assumed July 2024 and October 2024 dates, the “transition dates”). In selecting the July 2024 transition date for the July 2024 liquidation case, AVROBIO accounted for certain contractual obligations of AVROBIO that last through the end of June 2024 and that could reasonably be expected to impede AVROBIO’s ability to liquidate prior thereto. Under both the July 2024 liquidation case and the October 2024 liquidation case, based on internal data, AVROBIO management assumed (A) that sources of cash would consist of an estimated cash balance as of January 22, 2024 equal to $94.7 million, plus cash flow generated from continuing operations (interest income) through the respective transition dates, from which was deducted (B) various categories of uses of cash through the respective transition dates, including the present value of cash reserves established in respect of potential future claims and litigations. The resulting implied equity values of AVROBIO equaled approximately $68.7 million in the October 2024 liquidation scenario and $72.6 million in the July 2024 liquidation scenario. </w:t>
      </w:r>
    </w:p>
    <w:p>
      <w:pPr>
        <w:pStyle w:val="TextBody"/>
        <w:bidi w:val="0"/>
        <w:spacing w:before="240" w:after="0"/>
        <w:jc w:val="left"/>
        <w:rPr>
          <w:rFonts w:ascii="Times New Roman" w:hAnsi="Times New Roman"/>
          <w:sz w:val="20"/>
        </w:rPr>
      </w:pPr>
      <w:r>
        <w:rPr>
          <w:rFonts w:ascii="Times New Roman" w:hAnsi="Times New Roman"/>
          <w:sz w:val="20"/>
        </w:rPr>
        <w:t xml:space="preserve">In the reverse merger case, AVROBIO management assumed a completion date for the reverse merger of May 31, 2024. As compared to the liquidation case, the reverse merger case included (i) certain costs applicable only to the reverse merger case, such as financial advisor contingent fees and change-in-control payments to AVROBIO employees, and (ii) certain value ascribed by Tectonic to AVROBIO in excess of its ending net cash position, including with respect to the value of its public company listing, in the amount of $12.5 million. The resulting implied equity value of AVROBIO in the reverse merger case equaled approximately $87.5 million. As noted in the section of this proxy titled “Background of the Merger”, in evaluating the reverse merger case, the AVROBIO Transaction Committee noted that (1) the equity value of AVROBIO implied by the reverse merger case delivered more value to AVROBIO stockholders than those implied by either of the liquidation cases, (2) while the equity value of AVROBIO implied by the reverse merger case as of the assumed reverse merger completion date of May 31, 2024 was based on estimated net cash as of such date of $75 million, applying any level of net cash equally across the three scenarios yielded a higher value for the reverse merger case, and (3) while the Merger Agreement’s equity allocation to AVROBIO stockholders assumed a valuation for AVROBIO of $77.5 million, which was based on a targeted $65 million of net cash at closing, the actual equity allocation to AVROBIO stockholders at closing would be increased on a dollar-for-dollar basis (subject to a $0.5 million “hurdle”) if AVROBIO’s net cash at closing was higher than $65 million; see the section of this proxy statement/prospectus titled “Description of the Merger Agreement” for a more fulsome description. This would thereby confer additional equity value to AVROBIO stockholders on a dollar-for-dollar basis (subject to the aforementioned “hurdle”) in the event that AVROBIO’s closing net cash actually approximates $75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bidi w:val="0"/>
        <w:jc w:val="left"/>
        <w:rPr/>
      </w:pPr>
      <w:r>
        <w:rPr/>
      </w:r>
    </w:p>
    <w:tbl>
      <w:tblPr>
        <w:tblW w:w="5045" w:type="dxa"/>
        <w:jc w:val="left"/>
        <w:tblInd w:w="0" w:type="dxa"/>
        <w:tblLayout w:type="fixed"/>
        <w:tblCellMar>
          <w:top w:w="0" w:type="dxa"/>
          <w:left w:w="0" w:type="dxa"/>
          <w:bottom w:w="0" w:type="dxa"/>
          <w:right w:w="0" w:type="dxa"/>
        </w:tblCellMar>
      </w:tblPr>
      <w:tblGrid>
        <w:gridCol w:w="4100"/>
        <w:gridCol w:w="120"/>
        <w:gridCol w:w="215"/>
        <w:gridCol w:w="440"/>
        <w:gridCol w:w="170"/>
      </w:tblGrid>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75" w:type="dxa"/>
            <w:gridSpan w:val="4"/>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2024 Liquidation Case</w:t>
            </w:r>
          </w:p>
          <w:p>
            <w:pPr>
              <w:pStyle w:val="TableContents"/>
              <w:pBdr>
                <w:bottom w:val="single" w:sz="8" w:space="1" w:color="000000"/>
              </w:pBdr>
              <w:bidi w:val="0"/>
              <w:spacing w:before="0" w:after="20"/>
              <w:jc w:val="center"/>
              <w:rPr>
                <w:rFonts w:ascii="Times New Roman" w:hAnsi="Times New Roman"/>
                <w:i/>
                <w:sz w:val="20"/>
              </w:rPr>
            </w:pPr>
            <w:r>
              <w:rPr>
                <w:rFonts w:ascii="Times New Roman" w:hAnsi="Times New Roman"/>
                <w:i/>
                <w:sz w:val="20"/>
              </w:rPr>
              <w:t>(dollars and shares in millions, except per share values)</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Sources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Cash Balance as of January 22, 2024</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94.7</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 from Continuing Operations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Sources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96.1</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Uses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(G&amp;A)</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13.8</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(R&amp;D)</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0.4</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Retention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0.9</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Full-Time Employee Related Costs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 Additional Executive Team Retention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0.7</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Severance Costs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Other/Reserve</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Cash Reserve Discount 1</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0.7</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Uses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w:t>
            </w:r>
          </w:p>
        </w:tc>
        <w:tc>
          <w:tcPr>
            <w:tcW w:w="440" w:type="dxa"/>
            <w:tcBorders/>
            <w:vAlign w:val="center"/>
          </w:tcPr>
          <w:p>
            <w:pPr>
              <w:pStyle w:val="TableContents"/>
              <w:bidi w:val="0"/>
              <w:spacing w:before="0" w:after="283"/>
              <w:jc w:val="right"/>
              <w:rPr>
                <w:b/>
              </w:rPr>
            </w:pPr>
            <w:r>
              <w:rPr>
                <w:b/>
              </w:rPr>
              <w:t>23.5</w:t>
            </w:r>
          </w:p>
        </w:tc>
        <w:tc>
          <w:tcPr>
            <w:tcW w:w="170" w:type="dxa"/>
            <w:tcBorders/>
            <w:vAlign w:val="center"/>
          </w:tcPr>
          <w:p>
            <w:pPr>
              <w:pStyle w:val="TableContents"/>
              <w:bidi w:val="0"/>
              <w:spacing w:before="0" w:after="283"/>
              <w:jc w:val="left"/>
              <w:rPr>
                <w:b/>
              </w:rPr>
            </w:pPr>
            <w:r>
              <w:rPr>
                <w:b/>
              </w:rPr>
              <w:t>) </w:t>
            </w:r>
          </w:p>
        </w:tc>
      </w:tr>
      <w:tr>
        <w:trPr/>
        <w:tc>
          <w:tcPr>
            <w:tcW w:w="4100" w:type="dxa"/>
            <w:tcBorders/>
            <w:shd w:fill="CCEEFF" w:val="cle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Implied AVROBIO Equity Value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440" w:type="dxa"/>
            <w:tcBorders/>
            <w:shd w:fill="CCEEFF" w:val="clear"/>
            <w:vAlign w:val="center"/>
          </w:tcPr>
          <w:p>
            <w:pPr>
              <w:pStyle w:val="TableContents"/>
              <w:bidi w:val="0"/>
              <w:spacing w:before="0" w:after="283"/>
              <w:jc w:val="right"/>
              <w:rPr>
                <w:b/>
              </w:rPr>
            </w:pPr>
            <w:r>
              <w:rPr>
                <w:b/>
              </w:rPr>
              <w:t>72.6</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 AVROBIO management, AVROBIO estimates it would retain 12.5% of estimated closing cash balance to settle any pending liabilities following a hypothetical liquidation scenario, which 12.5% would equal $9.2 in the July 2024 liquidation case.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part of the liquidation analysis, AVROBIO management evaluated a range of possible timing and net amount of distribution of cash reserves, due to the inherent variability of such distributions. The October 2024 liquidation case assumed 75% of cash reserves would be distributed five years after a dissolution date and the July 2024 liquidation case assumed 100% cash reserves would be distributed incrementally through installments up to three years after a dissolution date. The discounted value above reflects the present value of estimated recoverable cash reserves distributed incrementally through installments up to three years after a dissolution date and discounted using the 2-year U.S. Treasury bond yield of 4.34% as of January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bidi w:val="0"/>
        <w:jc w:val="left"/>
        <w:rPr/>
      </w:pPr>
      <w:r>
        <w:rPr/>
      </w:r>
    </w:p>
    <w:tbl>
      <w:tblPr>
        <w:tblW w:w="5585" w:type="dxa"/>
        <w:jc w:val="left"/>
        <w:tblInd w:w="0" w:type="dxa"/>
        <w:tblLayout w:type="fixed"/>
        <w:tblCellMar>
          <w:top w:w="0" w:type="dxa"/>
          <w:left w:w="0" w:type="dxa"/>
          <w:bottom w:w="0" w:type="dxa"/>
          <w:right w:w="0" w:type="dxa"/>
        </w:tblCellMar>
      </w:tblPr>
      <w:tblGrid>
        <w:gridCol w:w="4640"/>
        <w:gridCol w:w="120"/>
        <w:gridCol w:w="215"/>
        <w:gridCol w:w="440"/>
        <w:gridCol w:w="170"/>
      </w:tblGrid>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15" w:type="dxa"/>
            <w:gridSpan w:val="4"/>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October 2024 Liquidation Case</w:t>
            </w:r>
          </w:p>
          <w:p>
            <w:pPr>
              <w:pStyle w:val="TableContents"/>
              <w:pBdr>
                <w:bottom w:val="single" w:sz="8" w:space="1" w:color="000000"/>
              </w:pBdr>
              <w:bidi w:val="0"/>
              <w:spacing w:before="0" w:after="20"/>
              <w:jc w:val="center"/>
              <w:rPr>
                <w:rFonts w:ascii="Times New Roman" w:hAnsi="Times New Roman"/>
                <w:i/>
                <w:sz w:val="20"/>
              </w:rPr>
            </w:pPr>
            <w:r>
              <w:rPr>
                <w:rFonts w:ascii="Times New Roman" w:hAnsi="Times New Roman"/>
                <w:i/>
                <w:sz w:val="20"/>
              </w:rPr>
              <w:t>(dollars and shares in millions, except per share values)</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Sources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Cash Balance as of January 22, 2024</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94.7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 from Continuing Operations (Interest Income)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Sources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96.7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Uses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(G&amp;A)</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13.8</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(R&amp;D)</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0.4</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Retention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0.9</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Full-Time Employee Related Costs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 Additional Executive Team Retention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Severance Costs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Other/Reserve</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Cash Reserve Discount 1</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Uses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w:t>
            </w:r>
          </w:p>
        </w:tc>
        <w:tc>
          <w:tcPr>
            <w:tcW w:w="440" w:type="dxa"/>
            <w:tcBorders/>
            <w:vAlign w:val="center"/>
          </w:tcPr>
          <w:p>
            <w:pPr>
              <w:pStyle w:val="TableContents"/>
              <w:bidi w:val="0"/>
              <w:spacing w:before="0" w:after="283"/>
              <w:jc w:val="right"/>
              <w:rPr>
                <w:b/>
              </w:rPr>
            </w:pPr>
            <w:r>
              <w:rPr>
                <w:b/>
              </w:rPr>
              <w:t>28.0</w:t>
            </w:r>
          </w:p>
        </w:tc>
        <w:tc>
          <w:tcPr>
            <w:tcW w:w="170" w:type="dxa"/>
            <w:tcBorders/>
            <w:vAlign w:val="center"/>
          </w:tcPr>
          <w:p>
            <w:pPr>
              <w:pStyle w:val="TableContents"/>
              <w:bidi w:val="0"/>
              <w:spacing w:before="0" w:after="283"/>
              <w:jc w:val="left"/>
              <w:rPr>
                <w:b/>
              </w:rPr>
            </w:pPr>
            <w:r>
              <w:rPr>
                <w:b/>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945" w:type="dxa"/>
            <w:gridSpan w:val="4"/>
            <w:tcBorders/>
            <w:vAlign w:val="center"/>
          </w:tcPr>
          <w:p>
            <w:pPr>
              <w:pStyle w:val="TableContents"/>
              <w:bidi w:val="0"/>
              <w:spacing w:before="0" w:after="283"/>
              <w:jc w:val="left"/>
              <w:rPr>
                <w:sz w:val="4"/>
                <w:szCs w:val="4"/>
              </w:rPr>
            </w:pPr>
            <w:r>
              <w:rPr>
                <w:sz w:val="4"/>
                <w:szCs w:val="4"/>
              </w:rPr>
            </w:r>
          </w:p>
        </w:tc>
      </w:tr>
      <w:tr>
        <w:trPr/>
        <w:tc>
          <w:tcPr>
            <w:tcW w:w="4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Implied AVROBIO Equity Value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440" w:type="dxa"/>
            <w:tcBorders/>
            <w:shd w:fill="CCEEFF" w:val="clear"/>
            <w:vAlign w:val="center"/>
          </w:tcPr>
          <w:p>
            <w:pPr>
              <w:pStyle w:val="TableContents"/>
              <w:bidi w:val="0"/>
              <w:spacing w:before="0" w:after="283"/>
              <w:jc w:val="right"/>
              <w:rPr>
                <w:b/>
              </w:rPr>
            </w:pPr>
            <w:r>
              <w:rPr>
                <w:b/>
              </w:rPr>
              <w:t>68.7</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 AVROBIO management, AVROBIO estimates it would retain 12.5% of estimated closing cash balance to settle any pending liabilities following a hypothetical liquidation scenario, which 12.5% would equal $9.0 in the October 2024 liquidation case.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part of the liquidation analysis, AVROBIO management evaluated a range of possible timing and net amount of distribution of cash reserves, due to the inherent variability of such distributions. The October 2024 liquidation case assumed 75% of cash reserves would be distributed five years after a dissolution date and the July 2024 liquidation case assumed 100% of cash reserves would be distributed incrementally through installments up to three years after a dissolution date. The discounted value above reflects the present value of estimated recoverable cash reserves distributed five years after a dissolution date and discounted using the 5-year U.S. Treasury bond yield of 4.04% as of January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bidi w:val="0"/>
        <w:jc w:val="left"/>
        <w:rPr/>
      </w:pPr>
      <w:r>
        <w:rPr/>
      </w:r>
    </w:p>
    <w:tbl>
      <w:tblPr>
        <w:tblW w:w="5585" w:type="dxa"/>
        <w:jc w:val="left"/>
        <w:tblInd w:w="0" w:type="dxa"/>
        <w:tblLayout w:type="fixed"/>
        <w:tblCellMar>
          <w:top w:w="0" w:type="dxa"/>
          <w:left w:w="0" w:type="dxa"/>
          <w:bottom w:w="0" w:type="dxa"/>
          <w:right w:w="0" w:type="dxa"/>
        </w:tblCellMar>
      </w:tblPr>
      <w:tblGrid>
        <w:gridCol w:w="4640"/>
        <w:gridCol w:w="120"/>
        <w:gridCol w:w="215"/>
        <w:gridCol w:w="440"/>
        <w:gridCol w:w="170"/>
      </w:tblGrid>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15" w:type="dxa"/>
            <w:gridSpan w:val="4"/>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Reverse Merger Case</w:t>
            </w:r>
          </w:p>
          <w:p>
            <w:pPr>
              <w:pStyle w:val="TableContents"/>
              <w:pBdr>
                <w:bottom w:val="single" w:sz="8" w:space="1" w:color="000000"/>
              </w:pBdr>
              <w:bidi w:val="0"/>
              <w:spacing w:before="0" w:after="20"/>
              <w:jc w:val="center"/>
              <w:rPr>
                <w:rFonts w:ascii="Times New Roman" w:hAnsi="Times New Roman"/>
                <w:i/>
                <w:sz w:val="20"/>
              </w:rPr>
            </w:pPr>
            <w:r>
              <w:rPr>
                <w:rFonts w:ascii="Times New Roman" w:hAnsi="Times New Roman"/>
                <w:i/>
                <w:sz w:val="20"/>
              </w:rPr>
              <w:t>(dollars and shares in millions, except per share values)</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Sources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Cash Balance as of January 22, 2024</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94.7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 from Continuing Operations (Interest Income)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Sources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96.0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Uses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Full Time Equivalent Related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0.4</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Full Time Equivalent Costs Through May 31, 2024</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1.8</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 Severance Non-Executive Team</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Full Time Equivalent – Executive Team</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 Executive Team Change-in-Control</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Other/Reserve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(R&amp;D)</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0.4</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(G&amp;A)</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12.2</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Uses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w:t>
            </w:r>
          </w:p>
        </w:tc>
        <w:tc>
          <w:tcPr>
            <w:tcW w:w="440" w:type="dxa"/>
            <w:tcBorders/>
            <w:vAlign w:val="center"/>
          </w:tcPr>
          <w:p>
            <w:pPr>
              <w:pStyle w:val="TableContents"/>
              <w:bidi w:val="0"/>
              <w:spacing w:before="0" w:after="283"/>
              <w:jc w:val="right"/>
              <w:rPr>
                <w:b/>
              </w:rPr>
            </w:pPr>
            <w:r>
              <w:rPr>
                <w:b/>
              </w:rPr>
              <w:t>21.0</w:t>
            </w:r>
          </w:p>
        </w:tc>
        <w:tc>
          <w:tcPr>
            <w:tcW w:w="170" w:type="dxa"/>
            <w:tcBorders/>
            <w:vAlign w:val="center"/>
          </w:tcPr>
          <w:p>
            <w:pPr>
              <w:pStyle w:val="TableContents"/>
              <w:bidi w:val="0"/>
              <w:spacing w:before="0" w:after="283"/>
              <w:jc w:val="left"/>
              <w:rPr>
                <w:b/>
              </w:rPr>
            </w:pPr>
            <w:r>
              <w:rPr>
                <w:b/>
              </w:rPr>
              <w:t>) </w:t>
            </w:r>
          </w:p>
        </w:tc>
      </w:tr>
      <w:tr>
        <w:trPr/>
        <w:tc>
          <w:tcPr>
            <w:tcW w:w="4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Estimate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440" w:type="dxa"/>
            <w:tcBorders/>
            <w:shd w:fill="CCEEFF" w:val="clear"/>
            <w:vAlign w:val="center"/>
          </w:tcPr>
          <w:p>
            <w:pPr>
              <w:pStyle w:val="TableContents"/>
              <w:bidi w:val="0"/>
              <w:spacing w:before="0" w:after="283"/>
              <w:jc w:val="right"/>
              <w:rPr>
                <w:b/>
              </w:rPr>
            </w:pPr>
            <w:r>
              <w:rPr>
                <w:b/>
              </w:rPr>
              <w:t>75.0</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Assigned Value to AVROBIO In Excess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w:t>
            </w:r>
          </w:p>
        </w:tc>
        <w:tc>
          <w:tcPr>
            <w:tcW w:w="440" w:type="dxa"/>
            <w:tcBorders/>
            <w:vAlign w:val="center"/>
          </w:tcPr>
          <w:p>
            <w:pPr>
              <w:pStyle w:val="TableContents"/>
              <w:bidi w:val="0"/>
              <w:spacing w:before="0" w:after="283"/>
              <w:jc w:val="right"/>
              <w:rPr>
                <w:b/>
              </w:rPr>
            </w:pPr>
            <w:r>
              <w:rPr>
                <w:b/>
              </w:rPr>
              <w:t>12.5</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Implied AVROBIO Equity Value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440" w:type="dxa"/>
            <w:tcBorders/>
            <w:shd w:fill="CCEEFF" w:val="clear"/>
            <w:vAlign w:val="center"/>
          </w:tcPr>
          <w:p>
            <w:pPr>
              <w:pStyle w:val="TableContents"/>
              <w:bidi w:val="0"/>
              <w:spacing w:before="0" w:after="283"/>
              <w:jc w:val="right"/>
              <w:rPr>
                <w:b/>
              </w:rPr>
            </w:pPr>
            <w:r>
              <w:rPr>
                <w:b/>
              </w:rPr>
              <w:t>87.5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50" w:name="toc770053_48"/>
      <w:bookmarkEnd w:id="50"/>
      <w:r>
        <w:rPr>
          <w:rFonts w:ascii="Times New Roman" w:hAnsi="Times New Roman"/>
          <w:b/>
          <w:sz w:val="20"/>
        </w:rPr>
        <w:t xml:space="preserve">Opinion of Houlihan Lokey to the AVROBIO Board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2024, Houlihan Lokey orally rendered its opinion to the AVROBIO Board (which was subsequently confirmed in writing by delivery of Houlihan Lokey’s written opinion dated January 29, 2024 addressed to the AVROBIO Board), to the effect that, as of January 29, 2024, based upon and subject to the assumptions, qualifications, limitations and other matters considered as set forth in the Opinion, the Exchange Ratio provided for in the Merger pursuant to the Merger Agreement, after giving effect to the Related Transactions was fair, from a financial point of view, to AVROBIO. </w:t>
      </w:r>
    </w:p>
    <w:p>
      <w:pPr>
        <w:pStyle w:val="TextBody"/>
        <w:bidi w:val="0"/>
        <w:spacing w:before="240" w:after="0"/>
        <w:jc w:val="left"/>
        <w:rPr>
          <w:rFonts w:ascii="Times New Roman" w:hAnsi="Times New Roman"/>
          <w:b/>
          <w:sz w:val="20"/>
        </w:rPr>
      </w:pPr>
      <w:r>
        <w:rPr>
          <w:rFonts w:ascii="Times New Roman" w:hAnsi="Times New Roman"/>
          <w:b/>
          <w:sz w:val="20"/>
        </w:rPr>
        <w:t xml:space="preserve">Houlihan Lokey’s opinion was directed to the AVROBIO Board and only addressed the fairness, from a financial point of view, to AVROBIO of the Exchange Ratio provided for in the Merger pursuant to the Merger Agreement after giving effect to the Related Transactions and did not address, among other things, the terms of any arrangements, understandings, agreements or documents related to, or the form, structure or any other portion or aspect of, the Transaction or otherwise (other than the Exchange Ratio to the extent expressly specified in the Opinion), including, without limitation, the support agreements or the lock-up agreements to be entered into in connection with the Transaction, the CVRs, the CVR Agreement or any Related Transaction. The summary of Houlihan Lokey’s opinion in this proxy statement/prospectus is qualified in its entirety by reference to the full text of its written opinion, which is attached as </w:t>
      </w:r>
      <w:r>
        <w:rPr>
          <w:rFonts w:ascii="Times New Roman" w:hAnsi="Times New Roman"/>
          <w:b/>
          <w:sz w:val="20"/>
          <w:u w:val="single"/>
        </w:rPr>
        <w:t>Annex B</w:t>
      </w:r>
      <w:r>
        <w:rPr>
          <w:rFonts w:ascii="Times New Roman" w:hAnsi="Times New Roman"/>
          <w:b/>
          <w:sz w:val="20"/>
        </w:rPr>
        <w:t xml:space="preserve">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 recommendation to the AVROBIO Board, any security holder of AVROBIO or any other party as to how to act or vote with respect to any matter relating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 Houlihan Lokey made such reviews, analyses and inquiries as Houlihan Lokey had deemed necessary and appropriate under the circumstances. Among other things, Houlihan Lokey: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110"/>
        <w:gridCol w:w="60"/>
        <w:gridCol w:w="5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January 29, 2024,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relating to AVROBIO and Tectonic that Houlihan Lokey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relating to the historical, current and future operations, financial condition and prospects of AVROBIO and Tectonic made available to Houlihan Lokey by AVROBIO and Tectonic, including (i) a liquidation analysis of AVROBIO prepared by management of AVROBIO (the “AVROBIO Liquidation Analysis”) and (ii) information regarding the nature of, and indications to be addressed by, Tectonic’s potential products, the current status and expected future timing of clinical development of Tectonic’s products, and projected cash expenditures for the development of such products (collectively, the “Tectonic Development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spoke with certain members of the managements of AVROBIO and Tectonic regarding the respective businesses, operations, financial condition and prospects of AVROBIO and Tectonic, the Transaction and related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compared the clinical development stage and therapeutic area of focus of Tectonic with that of companies with publicly traded equity securities that Houlihan Lokey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solely for informational purposes, considered the publicly available financial terms of certain transactions that Houlihan Lokey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the current and historical market prices and trading volume for certain of AVROBIO’s publicly traded equity securities;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inquiries and considered such other information and factors as Houlihan Lokey deemed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Houlihan Lokey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management of AVROBIO advised Houlihan Lokey, and Houlihan Lokey with the AVROBIO Board’s consent relied upon and assumed, that the AVROBIO Liquidation Analysis was reasonably prepared in good faith on bases reflecting the best currently available estimates and judgments of such management as to (i) the expected realizable value for AVROBIO’s assets, assuming an orderly liquidation of such assets, and (ii) the remaining amounts estimated to be available upon completion of such liquidation for distribution to AVROBIO’s equity holders. In addition, with the AVROBIO Board’s consent, Houlihan Lokey relied upon and assumed that the Tectonic Development Information was reasonably prepared in good faith on bases reflecting the best currently available estimates and judgments of Tectonic management as to the nature of, and indications to be addressed by, Tectonic’s potential products and the expected timing and cash expenditures associated with the development of Tectonic’s potential products. Houlihan Lokey expressed no view or opinion with respect to the AVROBIO Liquidation Analysis, the Tectonic Development Information or the respective assumptions on which they were based. At the AVROBIO Board’s direction, Houlihan Lokey assumed that the Liquidation Analysis and the Tectonic Development Information provided a reasonable basis on which to evaluate AVROBIO, Tectonic and the Transaction and Houlihan Lokey, at the AVROBIO Board’s direction, used and relied upon the Liquidation Analysis and the Tectonic Development Information for purposes of its analysis and the Opinion. In this regard the AVROBIO Board advised Houlihan Lokey, and at the AVROBIO Board’s direction Houlihan Lokey relied upon and assumed, that (i) AVROBIO had terminated all company-sponsored treatment-related and company-sponsored long-term follow-up clinical studies relating to its AVR-RD-02, or Gaucher disease type 1, program, and company-sponsored long term follow-up studies relating to its AVR-RD-01, or Fabry disease, program, (ii) AVROBIO had terminated its agreements with the University of Manchester for the license and development of a gene therapy for MPSII, or Hunter syndrome, and discontinued its AVR-RD-05, or Hunter syndrome gene therapy program, (iii) AVROBIO sold its cystinosis gene therapy program to Novartis Pharma AG and Novartis Pharmaceuticals Corporation, (iv) as a result, AVROBIO had three gene therapy product candidates, none of which was currently in active clinical development, (v) since inception, AVROBIO had not generated any product revenue and had financed its operations primarily through the private placement of securities and through public offerings of common stock, (vi) AVROBIO had suffered significant recurring losses from operations, (vii) in the absence of the Transaction or an alternative strategic transaction, AVROBIO would likely dissolve and liquidate, and (viii) the values AVROBIO would receive for its assets in liquidation could be significantly lower than the values reflected in AVROBIO’s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reaching its conclusions in the Opinion, with the AVROBIO Board’s consent, Houlihan Lokey did not rely upon (i) a discounted cash flow analysis of AVROBIO or Tectonic, because, as the AVROBIO Board advised Houlihan Lokey and directed Houlihan Lokey to assume, other than the projected cash expenditures for Tectonic included in the Tectonic Development Information, no current, reliable projections with respect to the future financial performance of AVROBIO or Tectonic were available, (ii) Houlihan Lokey did not rely upon a review of the publicly available financial terms of other transactions, because Houlihan Lokey did not identify a sufficient number of relevant transactions in which Houlihan Lokey deemed the acquired companies to be sufficiently similar to AVROBIO or Tectonic and (iii) with respect to AVROBIO, Houlihan Lokey did not rely upon a review of companies with publicly traded equity securities that Houlihan Lokey deemed relevant, because Houlihan Lokey did not identify a sufficient number of relevant companies Houlihan Lokey deemed to be sufficiently similar to AVROBIO. Houlihan Lokey relied upon and assumed, without independent verification, that there had been no change in the businesses, assets, liabilities, financial condition, results of operations, cash flows or prospects of AVROBIO or Tectonic since the respective dates of the most recent financial statements and other information, financial or otherwise, provided to Houlihan Lokey that would be material to its analyses or the Opinion, and that there was no information or any facts that would make any of the information reviewed by Houlihan Lokey incomplete or misleading. Houlihan Lokey also relied upon and assumed, without independent verification, the assessments of the managements of AVROBIO and Tectonic as to AVROBIO’s and Tectonic’s existing and future technology, products, product candidates, services and intellectual property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Houlihan Lokey assumed at the AVROBIO Board’s direction that there would be no developments with respect to any such matters that would affect its analyses or the Opinion.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relied upon and assumed, without independent verification, that (a) the representations and warranties of all parties to the Merger Agreement and all other related documents and instruments referred to therein were true and correct, (b) each party to the Merger Agreement and such other related documents and instruments would fully and timely perform all of the covenants and agreements required to be performed by such party, (c) all conditions to the consummation of the Transaction would be satisfied without waiver thereof, and (d) the Transaction would be consummated in a timely manner in accordance with the terms described in the Merger Agreement and such other related documents and instruments, without any amendments or modifications. Houlihan Lokey also assumed, with the AVROBIO Board’s consent, that the Merger would qualify as a “reorganization” under Section 368(a) of the Internal Revenue Code of 1986, as amended. Houlihan Lokey relied upon and assumed, without independent verification, that (i) the Transaction would be consummated in a manner that complies in all respects with all applicable foreign, federal, state and local statutes, rules and regulations, and (ii) all governmental, regulatory, and other consents and approvals necessary for the consummation of the Transaction would be obtained and that no delay, limitations, restrictions or conditions would be imposed or amendments, modifications or waivers made that would result in the disposition of any assets of AVROBIO or Tectonic, or otherwise have an effect on the Transaction, AVROBIO or Tectonic or any expected benefits of the Transaction that would be material to its analyses or opinion. Houlihan Lokey also relied upon and assumed, without independent verification, at the AVROBIO Board’s direction, that any adjustments to the Exchange Ratio pursuant to the Merger Agreement or otherwise would not be material to its analyses or opinion. In addition, Houlihan Lokey relied upon and assumed, without independent verification, that the final form of the Merger Agreement would not differ in any respect from the draft of the Merger Agreement identified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connection with the Opinion, Houlihan Lokey was not requested to, and did not, make any physical inspection or independent appraisal or evaluation of any of the assets, properties or liabilities (fixed, contingent, derivative, off-balance-sheet or otherwise) of AVROBIO, Tectonic or any other party, nor was Houlihan Lokey provided with any such appraisal or evaluation (other than the AVROBIO Liquidation Analysis provided by AVROBIO management). Houlihan Lokey did not estimate, and expressed no opinion regarding, the liquidation value of any entity or business. Houlihan Lokey did not undertake any independent analysis of any potential or actual litigation, regulatory action, possible unasserted claims or other contingent liabilities, to which AVROBIO or Tectonic was or may have been a party or was or may have been subject, or of any governmental investigation of any possible unasserted claims or other contingent liabilities to which AVROBIO or Tectonic was or may have been a party or was or may have been subject.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was not requested to, and did not, (a) initiate or participate in any discussions or negotiations with, or solicit any indications of interest from, third parties with respect to the Transaction, the securities, assets, businesses or operations of AVROBIO, Tectonic or any other party, or any alternatives to the Transaction, (b) identify, introduce to the AVROBIO Board, AVROBIO or any other party, or screen for creditworthiness, any prospective investors, lenders or other participants in the Transaction, (c) negotiate the terms of the Transaction, or (d) advise the AVROBIO Board, AVROBIO or any other party with respect to alternatives to the Transaction. The Opinion was necessarily based on financial, economic, market and other conditions as in effect on, and the information made available to Houlihan Lokey as of, the date of the Opinion. Houlihan Lokey did not undertake, and is under no obligation, to update, revise, reaffirm or withdraw the Opinion, or otherwise comment on or consider events occurring or coming to its attention after the date of the Opinion. Houlihan Lokey did not express any opinion as to what the value of the AVROBIO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actually would be when issued in the Transaction pursuant to the Merger Agreement or the price or range of prices at which AVROBIO common stock or Tectonic capital stock may be purchased or sold, or otherwise be transferable,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Opinion was furnished for the use of the AVROBIO Board (in its capacity as such) in connection with its evaluation of the Transaction and may not be used for any other purpose without Houlihan Lokey’s prior written consent. The Opinion was not intended to be, and did not constitute, a recommendation to the AVROBIO Board, AVROBIO, any security holder or any other party as to how to act or vote with respect to any matter relating to the Transaction or otherwise, including, without limitation, whether any party should participate in the private financings.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was not requested to opine as to, and the Opinion did not express an opinion as to or otherwise address, among other things: (i) the underlying business decision of the AVROBIO Board, AVROBIO, its security holders or any other party to proceed with or effect the Transaction, (ii) the terms of any arrangements, understandings, agreements or documents related to, or the form, structure or any other portion or aspect of, the Transaction or otherwise (other than the Exchange Ratio to the extent expressly specified in the Opinion), including, without limitation, the support agreements or the lock-up agreements to be entered into in connection with the Transaction, the CVRs, the CVR Agreement or any Related Transaction, (iii) the fairness of any portion or aspect of the Transaction to the holders of any class of securities, creditors or other constituencies of AVROBIO or Tectonic, or to any other party (including, without limitation, the potential dilutive or other effects of the Transaction), (iv) the relative merits of the Transaction as compared to any alternative business strategies or transactions that might have been available for AVROBIO, Tectonic or any other party, (v) the fairness of any portion or aspect of the Transaction to any one class or group of AVROBIO’s, Tectonic’s or any other party’s security holders or other constituents vis-à-vis any other class or group of AVROBIO’s, Tectonic’s or such other party’s security holders or other constituents (including, without limitation, the allocation of any consideration amongst or within such classes or groups of security holders or other constituents), (vi) the appropriate capital structure of AVROBIO or Tectonic, whether AVROBIO or Tectonic should be issuing debt or equity securities or a combination of both in the Transaction, or the form, structure or any aspect or terms of any debt or equity financing for, or in connection with, the Transaction (including, without limitation, the private financings and the Company SAFEs) or the likelihood of obtaining such financing, (vii) the acquisition by any party or group of a controlling interest in AVROBIO, (viii) whether or not AVROBIO, Tectonic, their respective security holders or any other party is receiving or paying reasonably equivalent value in the Transaction, (ix) the solvency, creditworthiness or fair value of AVROBIO, Tectonic or any other participant in the Transaction, or any of their respective assets, under any applicable laws relating to bankruptcy, insolvency, fraudulent conveyance or similar matters, or (x) the fairness, financial or otherwise, of the amount, nature or any other aspect of any compensation to or consideration payable to or received by any officers, directors or employees of any party to the Transaction, any class of such persons or any other party, relative to the Exchange Ratio or otherwise. The Opinion did not address the financial or other implications and effects of the Transaction (including, without limitation, any financing associated therewith) on AVROBIO, any security holders, creditors or other constituencies of AVROBIO, or any other party. Furthermore, Houlihan Lokey did not express any opinion, counsel or interpretation regarding matters that require legal, regulatory, environmental, accounting, insurance, tax or other similar professional advice. Houlihan Lokey assumed that such opinions, counsel or interpretations had been or would be obtained from the appropriate professional sources. Furthermore, Houlihan Lokey relied, with the consent of the AVROBIO Board, on the assessments by the AVROBIO Board, AVROBIO and their respective advisors, as to all legal, regulatory, environmental, accounting, insurance, tax and other similar matters with respect to AVROBIO, Tectonic and the Transaction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Opinion to the AVROBIO Board, Houlihan Lokey performed a variety of analyses, including those described below. The summary of Houlihan Lokey’s analyses is not a complete description of the analyses underlying the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circumstances presented. As a consequence, neither the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analyses, Houlihan Lokey considered general business, economic, industry and market conditions, financial and otherwise, and other matters as they existed on, and could be evaluated as of, the date of the Opinion. No company or business used in Houlihan Lokey’s analyses for comparative purposes is identical to Tectonic and an evaluation of the results of those analyses is not entirely mathematical. The estimates contained in the AVROBIO Liquidation Analysis and the Tectonic Development Information, and the implied exchange ratio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AVROBIO and Tectonic. Much of the information used in, and accordingly the results of, Houlihan Lokey’s analyses are inherently subject to substantial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Opinion was only one of many factors considered by the AVROBIO Board in evaluating the proposed Merger. Neither the Opinion nor Houlihan Lokey’s analyses were determinative of the Exchange Ratio or of the views of the AVROBIO Board with respect to the Merger or the Exchange Ratio. The type and amount of consideration payable in the Merger were determined through negotiation between AVROBIO and Tectonic, and the decision to enter into the Agreement was solely that of the AVROBIO Board. Additionally, Houlihan Lokey did not evaluate any future payments or other proceeds that could accrue to the benefit of the CVR holders pursuant to the CVR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performed by Houlihan Lokey in connection with the preparation of the Opinion and reviewed with the AVROBIO Board on January 29, 2024.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its analyses, Houlihan Lokey reviewed a number of financial metrics, including “Enterprise Value,” which generally is, the value as of a specified date of the relevant company’s outstanding equity securities (taking into account outstanding options and other securities convertible, exercisable or exchangeable into or for equity securities of the company) plus the amount of its net debt (the amount of its outstanding indebtedness, non-convertible preferred stock, capital lease obligations and non-controlling interests less the amount of cash and cash equivalents on its balance sheet).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share prices used in the selected companies analysis described below were based on the closing price of the common stock of the selected companies listed below as of January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direction of the AVROBIO Board, Houlihan Lokey assumed for purposes of its financial analyses and opinion to the AVROBIO Board, that the Exchange Ratio provided for in the Merger pursuant to the Merger Agreement, after giving effect to the Related Transactions, would be equal to 0.74458326 shares of AVROBIO common stock for each share of Tectonic capital stock, which assumed, among other things, there would no adjustment to the Exchange Ratio for AVROBIO cash and aggregate proceeds of $130.7 million would be raised from the private financings including the Company SAFEs. </w:t>
      </w:r>
    </w:p>
    <w:p>
      <w:pPr>
        <w:pStyle w:val="TextBody"/>
        <w:bidi w:val="0"/>
        <w:spacing w:before="240" w:after="0"/>
        <w:jc w:val="left"/>
        <w:rPr>
          <w:rFonts w:ascii="Times New Roman" w:hAnsi="Times New Roman"/>
          <w:sz w:val="20"/>
        </w:rPr>
      </w:pPr>
      <w:r>
        <w:rPr>
          <w:rFonts w:ascii="Times New Roman" w:hAnsi="Times New Roman"/>
          <w:i/>
          <w:sz w:val="20"/>
        </w:rPr>
        <w:t xml:space="preserve">AVROBIO - AVROBIO Liquidation Analysis. </w:t>
      </w:r>
      <w:r>
        <w:rPr>
          <w:rFonts w:ascii="Times New Roman" w:hAnsi="Times New Roman"/>
          <w:sz w:val="20"/>
        </w:rPr>
        <w:t xml:space="preserve">Houlihan Lokey reviewed and considered the AVROBIO Liquidation Analysis prepared by management of AVROBIO and noted that the estimates of future cash distributable to AVROBIO’s stockholders therein resulted in an aggregate implied equity value for AVROBIO at the time of such distribution ranging from approximately $68.7 million to $72.6 million, implying a value of $14.93 to $15.78 per share of AVROBIO common stock at the time of such distribution, assuming, at the direction of AVROBIO, a one-for-ten reverse stock split. For additional information on AVROBIO’s liquidation analysis, see the section titled “ – </w:t>
      </w:r>
      <w:r>
        <w:rPr>
          <w:rFonts w:ascii="Times New Roman" w:hAnsi="Times New Roman"/>
          <w:i/>
          <w:sz w:val="20"/>
        </w:rPr>
        <w:t>AVROBIO Liquidation Analysis</w:t>
      </w:r>
      <w:r>
        <w:rPr>
          <w:rFonts w:ascii="Times New Roman" w:hAnsi="Times New Roman"/>
          <w:sz w:val="20"/>
        </w:rPr>
        <w:t xml:space="preserve">” on page 203 of this proxy statement/prospectus. </w:t>
      </w:r>
    </w:p>
    <w:p>
      <w:pPr>
        <w:pStyle w:val="TextBody"/>
        <w:bidi w:val="0"/>
        <w:spacing w:before="240" w:after="0"/>
        <w:jc w:val="left"/>
        <w:rPr>
          <w:rFonts w:ascii="Times New Roman" w:hAnsi="Times New Roman"/>
          <w:sz w:val="20"/>
        </w:rPr>
      </w:pPr>
      <w:r>
        <w:rPr>
          <w:rFonts w:ascii="Times New Roman" w:hAnsi="Times New Roman"/>
          <w:i/>
          <w:sz w:val="20"/>
        </w:rPr>
        <w:t>Tectonic - Selected Companies Analysis</w:t>
      </w:r>
      <w:r>
        <w:rPr>
          <w:rFonts w:ascii="Times New Roman" w:hAnsi="Times New Roman"/>
          <w:sz w:val="20"/>
        </w:rPr>
        <w:t xml:space="preserve">. Houlihan Lokey reviewed certain financial and other data for selected companies with publicly traded equity securities that Houlihan Lokey deemed relevant. The selected companies were selected because they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selected companies, and all criteria were evaluated in their entirety without application of definitive qualifications or limitations to individual criteria. </w:t>
      </w:r>
    </w:p>
    <w:p>
      <w:pPr>
        <w:pStyle w:val="TextBody"/>
        <w:bidi w:val="0"/>
        <w:spacing w:before="240" w:after="0"/>
        <w:jc w:val="left"/>
        <w:rPr>
          <w:rFonts w:ascii="Times New Roman" w:hAnsi="Times New Roman"/>
          <w:sz w:val="20"/>
        </w:rPr>
      </w:pPr>
      <w:r>
        <w:rPr>
          <w:rFonts w:ascii="Times New Roman" w:hAnsi="Times New Roman"/>
          <w:sz w:val="20"/>
        </w:rPr>
        <w:t xml:space="preserve">The data reviewed included enterprise value and the phase of development, therapeutic category and therapeutic indication of the applicable company’s lead product. </w:t>
      </w:r>
    </w:p>
    <w:p>
      <w:pPr>
        <w:pStyle w:val="TextBody"/>
        <w:bidi w:val="0"/>
        <w:spacing w:before="240" w:after="0"/>
        <w:jc w:val="left"/>
        <w:rPr>
          <w:rFonts w:ascii="Times New Roman" w:hAnsi="Times New Roman"/>
          <w:sz w:val="20"/>
        </w:rPr>
      </w:pPr>
      <w:r>
        <w:rPr>
          <w:rFonts w:ascii="Times New Roman" w:hAnsi="Times New Roman"/>
          <w:sz w:val="20"/>
        </w:rPr>
        <w:t xml:space="preserve">The selected companies and corresponding financial and other data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2"/>
        <w:gridCol w:w="60"/>
        <w:gridCol w:w="200"/>
        <w:gridCol w:w="925"/>
        <w:gridCol w:w="155"/>
        <w:gridCol w:w="60"/>
        <w:gridCol w:w="1775"/>
        <w:gridCol w:w="60"/>
        <w:gridCol w:w="1982"/>
        <w:gridCol w:w="60"/>
        <w:gridCol w:w="2736"/>
      </w:tblGrid>
      <w:tr>
        <w:trPr/>
        <w:tc>
          <w:tcPr>
            <w:tcW w:w="2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2192" w:type="dxa"/>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283"/>
              <w:jc w:val="left"/>
              <w:rPr/>
            </w:pPr>
            <w:r>
              <w:rPr/>
              <w:t> </w:t>
            </w:r>
          </w:p>
        </w:tc>
      </w:tr>
      <w:tr>
        <w:trPr/>
        <w:tc>
          <w:tcPr>
            <w:tcW w:w="2192"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2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Enterprise</w:t>
              <w:br/>
              <w:t>Value</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3" w:type="dxa"/>
            <w:gridSpan w:val="5"/>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Product</w:t>
            </w:r>
          </w:p>
        </w:tc>
      </w:tr>
      <w:tr>
        <w:trPr/>
        <w:tc>
          <w:tcPr>
            <w:tcW w:w="219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Cardiovascular Companies</w:t>
            </w:r>
          </w:p>
        </w:tc>
        <w:tc>
          <w:tcPr>
            <w:tcW w:w="60" w:type="dxa"/>
            <w:vMerge w:val="continue"/>
            <w:tcBorders/>
            <w:vAlign w:val="center"/>
          </w:tcPr>
          <w:p>
            <w:pPr>
              <w:pStyle w:val="Normal"/>
              <w:bidi w:val="0"/>
              <w:jc w:val="left"/>
              <w:rPr/>
            </w:pPr>
            <w:r>
              <w:rPr/>
            </w:r>
          </w:p>
        </w:tc>
        <w:tc>
          <w:tcPr>
            <w:tcW w:w="112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Phase</w:t>
            </w:r>
          </w:p>
        </w:tc>
        <w:tc>
          <w:tcPr>
            <w:tcW w:w="60" w:type="dxa"/>
            <w:tcBorders/>
            <w:vAlign w:val="center"/>
          </w:tcPr>
          <w:p>
            <w:pPr>
              <w:pStyle w:val="TableContents"/>
              <w:bidi w:val="0"/>
              <w:spacing w:before="0" w:after="283"/>
              <w:jc w:val="left"/>
              <w:rPr/>
            </w:pPr>
            <w:r>
              <w:rPr/>
              <w:t> </w:t>
            </w:r>
          </w:p>
        </w:tc>
        <w:tc>
          <w:tcPr>
            <w:tcW w:w="198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Therapeutic Category</w:t>
            </w:r>
          </w:p>
        </w:tc>
        <w:tc>
          <w:tcPr>
            <w:tcW w:w="60" w:type="dxa"/>
            <w:tcBorders/>
            <w:vAlign w:val="center"/>
          </w:tcPr>
          <w:p>
            <w:pPr>
              <w:pStyle w:val="TableContents"/>
              <w:bidi w:val="0"/>
              <w:spacing w:before="0" w:after="283"/>
              <w:jc w:val="left"/>
              <w:rPr/>
            </w:pPr>
            <w:r>
              <w:rPr/>
              <w:t> </w:t>
            </w:r>
          </w:p>
        </w:tc>
        <w:tc>
          <w:tcPr>
            <w:tcW w:w="27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Therapeutic Indication</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Aerovate Therapeutics,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354.0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II-B / III</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Cereno Scientific AB (publ)</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97.0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II</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Gossamer Bio,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63.1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III</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Pharmosa Biopharm Inc.</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III</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Tenax Therapeutics,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III - Starting</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 HFpEF</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Tenaya Therapeutics, Inc.</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 Complete</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HFpEF</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Verve Therapeutics,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 Metabolic</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ASCVD, HeFH</w:t>
            </w:r>
          </w:p>
        </w:tc>
      </w:tr>
      <w:tr>
        <w:trPr/>
        <w:tc>
          <w:tcPr>
            <w:tcW w:w="2192"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835"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796" w:type="dxa"/>
            <w:gridSpan w:val="2"/>
            <w:tcBorders/>
            <w:vAlign w:val="center"/>
          </w:tcPr>
          <w:p>
            <w:pPr>
              <w:pStyle w:val="TableContents"/>
              <w:bidi w:val="0"/>
              <w:spacing w:before="0" w:after="283"/>
              <w:jc w:val="left"/>
              <w:rPr>
                <w:sz w:val="4"/>
                <w:szCs w:val="4"/>
              </w:rPr>
            </w:pPr>
            <w:r>
              <w:rPr>
                <w:sz w:val="4"/>
                <w:szCs w:val="4"/>
              </w:rPr>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283"/>
              <w:jc w:val="left"/>
              <w:rPr>
                <w:sz w:val="4"/>
                <w:szCs w:val="4"/>
              </w:rPr>
            </w:pPr>
            <w:r>
              <w:rPr>
                <w:sz w:val="4"/>
                <w:szCs w:val="4"/>
              </w:rPr>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283"/>
              <w:jc w:val="left"/>
              <w:rPr>
                <w:sz w:val="4"/>
                <w:szCs w:val="4"/>
              </w:rPr>
            </w:pPr>
            <w:r>
              <w:rPr>
                <w:sz w:val="4"/>
                <w:szCs w:val="4"/>
              </w:rPr>
            </w:r>
          </w:p>
        </w:tc>
      </w:tr>
      <w:tr>
        <w:trPr/>
        <w:tc>
          <w:tcPr>
            <w:tcW w:w="5367" w:type="dxa"/>
            <w:gridSpan w:val="7"/>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796" w:type="dxa"/>
            <w:gridSpan w:val="2"/>
            <w:tcBorders/>
            <w:vAlign w:val="center"/>
          </w:tcPr>
          <w:p>
            <w:pPr>
              <w:pStyle w:val="TableContents"/>
              <w:bidi w:val="0"/>
              <w:spacing w:before="0" w:after="283"/>
              <w:jc w:val="left"/>
              <w:rPr>
                <w:sz w:val="4"/>
                <w:szCs w:val="4"/>
              </w:rPr>
            </w:pPr>
            <w:r>
              <w:rPr>
                <w:sz w:val="4"/>
                <w:szCs w:val="4"/>
              </w:rPr>
            </w:r>
          </w:p>
        </w:tc>
      </w:tr>
      <w:tr>
        <w:trPr/>
        <w:tc>
          <w:tcPr>
            <w:tcW w:w="5367" w:type="dxa"/>
            <w:gridSpan w:val="7"/>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Selected Early Stage Companies</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Acumen Pharmaceuticals,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95.1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II Ready</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Central Nervous System</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Alzheimer’s Disease</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Apogee Therapeutics, Inc.</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1,426.8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Dermatology</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Atopic Dermatitis</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Cabaletta Bio,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790.3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 / II</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Immunology</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Systemic Lupus Erythematosus (SLE)</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Dianthus Therapeutics, Inc.</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75.1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II Ready</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Immunology</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Myasthenia Gravis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94"/>
        <w:gridCol w:w="60"/>
        <w:gridCol w:w="175"/>
        <w:gridCol w:w="925"/>
        <w:gridCol w:w="155"/>
        <w:gridCol w:w="60"/>
        <w:gridCol w:w="1329"/>
        <w:gridCol w:w="60"/>
        <w:gridCol w:w="1670"/>
        <w:gridCol w:w="60"/>
        <w:gridCol w:w="3317"/>
      </w:tblGrid>
      <w:tr>
        <w:trPr/>
        <w:tc>
          <w:tcPr>
            <w:tcW w:w="2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pPr>
            <w:r>
              <w:rPr/>
              <w:t> </w:t>
            </w:r>
          </w:p>
        </w:tc>
      </w:tr>
      <w:tr>
        <w:trPr/>
        <w:tc>
          <w:tcPr>
            <w:tcW w:w="2394"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Enterprise</w:t>
              <w:br/>
              <w:t>Value</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6" w:type="dxa"/>
            <w:gridSpan w:val="5"/>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Product</w:t>
            </w:r>
          </w:p>
        </w:tc>
      </w:tr>
      <w:tr>
        <w:trPr/>
        <w:tc>
          <w:tcPr>
            <w:tcW w:w="239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Cardiovascular Companies</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32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Phase</w:t>
            </w:r>
          </w:p>
        </w:tc>
        <w:tc>
          <w:tcPr>
            <w:tcW w:w="60" w:type="dxa"/>
            <w:tcBorders/>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Therapeutic Category</w:t>
            </w:r>
          </w:p>
        </w:tc>
        <w:tc>
          <w:tcPr>
            <w:tcW w:w="60" w:type="dxa"/>
            <w:tcBorders/>
            <w:vAlign w:val="center"/>
          </w:tcPr>
          <w:p>
            <w:pPr>
              <w:pStyle w:val="TableContents"/>
              <w:bidi w:val="0"/>
              <w:spacing w:before="0" w:after="283"/>
              <w:jc w:val="left"/>
              <w:rPr/>
            </w:pPr>
            <w:r>
              <w:rPr/>
              <w:t> </w:t>
            </w:r>
          </w:p>
        </w:tc>
        <w:tc>
          <w:tcPr>
            <w:tcW w:w="331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Therapeutic Indication</w:t>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Longboard Pharmaceuticals, Inc.</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787.9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center"/>
              <w:rPr/>
            </w:pPr>
            <w:r>
              <w:rPr/>
              <w:t>Phase III Ready</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Neurology</w:t>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Developmental and Epileptic Encephalopathy</w:t>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Spyre Therapeutics, Inc.</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1,174.1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center"/>
              <w:rPr/>
            </w:pPr>
            <w:r>
              <w:rPr/>
              <w:t>IND</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Gastrointestinal</w:t>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Inflammatory Bowel Disease</w:t>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Structure Therapeutics Inc.</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1,870.9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center"/>
              <w:rPr/>
            </w:pPr>
            <w:r>
              <w:rPr/>
              <w:t>Phase II-A</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Metabolic Disorders</w:t>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Diabetes and Obesity</w:t>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Zura Bio Limited</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center"/>
              <w:rPr/>
            </w:pPr>
            <w:r>
              <w:rPr/>
              <w:t>Phase II Ready</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Immunology</w:t>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Systemic Sclerosis</w:t>
            </w:r>
          </w:p>
        </w:tc>
      </w:tr>
      <w:tr>
        <w:trPr/>
        <w:tc>
          <w:tcPr>
            <w:tcW w:w="2394"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(95.1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1,870.9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789.1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761.0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All Selected Companies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(95.1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1,870.9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499.8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review of the selected companies, Houlihan Lokey considered, among other things, the fact that Tectonic’s lead program was in a Phase 1a trial in healthy volunteers, with plans to conduct Phase 1b and Phase 2 trials in patients with Group 2 PH / HFpEF. Houlihan Lokey also noted that the enterprise value for the selected companies with lead products in the cardiovascular therapeutic category ranged from $(8.0 million) to $442.9 million, and the enterprise value for the selected companies with lead products in early stages of development ranged from $(95.1 million) to $1,870.9 million. Taking into account the results of its selected companies analysis of Tectonic, including, among other things, its experience and professional judgment and the observed median enterprise value of the selected cardiovascular companies of $157.3 million, Houlihan Lokey selected an implied enterprise value reference range for Tectonic of $125.0 million to $175.0 million, which resulted in an aggregate implied equity value reference range for Tectonic pro forma for the private financings of $224.6 million to $274.6 million and an implied per share reference range for Tectonic pro forma for the private financings of $10.40 to $12.72. </w:t>
      </w:r>
    </w:p>
    <w:p>
      <w:pPr>
        <w:pStyle w:val="TextBody"/>
        <w:bidi w:val="0"/>
        <w:spacing w:before="240" w:after="0"/>
        <w:jc w:val="left"/>
        <w:rPr>
          <w:rFonts w:ascii="Times New Roman" w:hAnsi="Times New Roman"/>
          <w:sz w:val="20"/>
        </w:rPr>
      </w:pPr>
      <w:r>
        <w:rPr>
          <w:rFonts w:ascii="Times New Roman" w:hAnsi="Times New Roman"/>
          <w:i/>
          <w:sz w:val="20"/>
        </w:rPr>
        <w:t>Implied Exchange Ratio Reference Range</w:t>
      </w:r>
      <w:r>
        <w:rPr>
          <w:rFonts w:ascii="Times New Roman" w:hAnsi="Times New Roman"/>
          <w:sz w:val="20"/>
        </w:rPr>
        <w:t xml:space="preserve">. Taking into account the AVROBIO Liquidation Analysis and Houlihan Lokey’s selected companies analysis for Tectonic, Houlihan Lokey (i) divided the low end of the implied per share reference range for Tectonic by the high end of the implied per share reference range for AVBROBIO and (ii) divided the high end of the implied per share reference range for Tectonic by the low end of the implied per share reference range for AVBROBIO, which indicated an implied exchange ratio reference range of 0.65897208 to 0.85154258 shares of AVROBIO common stock for each share of Tectonic capital stock, as compared to the assumed Exchange Ratio in the Merger pursuant to the Merger agreement of 0.74458326 shares of AVROBIO common stock for each share of Tectonic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i/>
          <w:sz w:val="20"/>
        </w:rPr>
        <w:t>Tectonic - Illustrative M&amp;A Transactions</w:t>
      </w:r>
      <w:r>
        <w:rPr>
          <w:rFonts w:ascii="Times New Roman" w:hAnsi="Times New Roman"/>
          <w:sz w:val="20"/>
        </w:rPr>
        <w:t xml:space="preserve">. Solely for illustrative purposes, Houlihan Lokey considered certain financial terms of certain M&amp;A transactions involving target companies that Houlihan Lokey deemed relevant. The illustrative M&amp;A transactions were selected because they involved target companies that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illustrative M&amp;A transactions, and all criteria were evaluated in their entirety without application of definitive qualifications or limitations to individual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financial data reviewed included overall transaction value, the value of upfront consideration payable on closing of the transaction and the value of any contingent consideration. Transaction values for the M&amp;A transactions were calculated on an enterprise value basis based on the announced transaction equity price and other public information available at the time of the announcement. The M&amp;A transactions and corresponding data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0"/>
        <w:gridCol w:w="60"/>
        <w:gridCol w:w="60"/>
        <w:gridCol w:w="845"/>
        <w:gridCol w:w="60"/>
        <w:gridCol w:w="60"/>
        <w:gridCol w:w="1332"/>
        <w:gridCol w:w="60"/>
        <w:gridCol w:w="1572"/>
        <w:gridCol w:w="60"/>
        <w:gridCol w:w="232"/>
        <w:gridCol w:w="1228"/>
        <w:gridCol w:w="60"/>
        <w:gridCol w:w="60"/>
        <w:gridCol w:w="153"/>
        <w:gridCol w:w="1307"/>
        <w:gridCol w:w="60"/>
        <w:gridCol w:w="60"/>
        <w:gridCol w:w="198"/>
        <w:gridCol w:w="1052"/>
        <w:gridCol w:w="76"/>
      </w:tblGrid>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575" w:type="dxa"/>
            <w:gridSpan w:val="4"/>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60" w:type="dxa"/>
            <w:tcBorders/>
            <w:vAlign w:val="center"/>
          </w:tcPr>
          <w:p>
            <w:pPr>
              <w:pStyle w:val="TableContents"/>
              <w:bidi w:val="0"/>
              <w:spacing w:before="0" w:after="283"/>
              <w:jc w:val="left"/>
              <w:rPr/>
            </w:pPr>
            <w:r>
              <w:rPr/>
              <w:t> </w:t>
            </w:r>
          </w:p>
        </w:tc>
        <w:tc>
          <w:tcPr>
            <w:tcW w:w="157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Upfront</w:t>
              <w:b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Contingent</w:t>
              <w:b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Value</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b/>
              </w:rPr>
            </w:pPr>
            <w:r>
              <w:rPr>
                <w:b/>
              </w:rPr>
              <w:t>Cardiovascular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3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9/30/22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DJS Antibodies Ltd</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AbbVie,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350.0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12/1/22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Renovacor,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Rocket Pharmaceuticals,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53.0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3/23/21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9/2/21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Chardan Healthcare Acquisition 2 Corp.</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Renovacor,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116.0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116.0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PH Precision Med</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Tenax Therapeutics,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21.6</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7/21/20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12/14/20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Tenzing Acquisition Corp.</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Reviva Pharmaceuticals,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119.7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119.7</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Viamet’s Oral Aldosterone Synthase Inhibitor</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PhaseBio Pharmaceuticals,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147.7</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392"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6"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21.6</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High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350.0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Median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84.5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121.3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117.9</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Mean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134.7</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392"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6"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b/>
                <w:u w:val="single"/>
              </w:rPr>
            </w:pPr>
            <w:r>
              <w:rPr>
                <w:b/>
                <w:u w:val="single"/>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392"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6"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shd w:fill="CCEEFF" w:val="clear"/>
            <w:vAlign w:val="center"/>
          </w:tcPr>
          <w:p>
            <w:pPr>
              <w:pStyle w:val="TableContents"/>
              <w:bidi w:val="0"/>
              <w:spacing w:before="0" w:after="283"/>
              <w:jc w:val="left"/>
              <w:rPr/>
            </w:pPr>
            <w:r>
              <w:rPr/>
              <w:t>11/14/23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Pending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Qsam Biosciences,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Telix Pharmaceuticals Limited</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123.1</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8/21/23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8/23/23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Bird Rock Bio,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Skye Bioscience,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6/25/23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Pending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Qpex Biopharma,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Shionogi,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140.0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2/21/23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2/21/23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Kinnjiu Biopharma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Kinnate Biopharma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24.0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Fulgent Pharma LLC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Fulgent Genetics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100.0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9/19/22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9/29/22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Versantis AG</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Genfit SA</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67.3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108.8</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12/12/22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Larkspur Health Acquisition Corp.</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Zyversa Therapeutics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193.6</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7/5/22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8/11/22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TeneoTwo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AstraZeneca Plc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1,165.0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1,265.0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5/31/22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8/16/22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Affinivax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GSK Plc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3,300.0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3/1/22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3/1/22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Syndesi Therapeutics SA</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AbbVie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870.0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1,000.0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12/14/21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3/11/22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VCN Biosciences SL</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Theriva Biologics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75.0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11/11/21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12/13/21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Forendo Pharma Ltd</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Organon &amp; Co</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870.0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945.0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11/11/21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11/11/21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Abfero Pharmaceuticals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Pharmacosmos AS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Undisclosed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225.0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10/26/21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10/26/21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Chengdu Antkin Biotechnology Co Ltd</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Shanghai Fosun Pharmaceutical Group</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627.3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627.3</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7/27/21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10/19/21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TeneoBio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Amgen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2,500.0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2/26/21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3/31/21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Silicon Therapeutics LLC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Roivant Sciences Ltd</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450.0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Undisclosed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450.0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6/30/21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Leisure Acquisition Corp.</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Ensysce Biosciences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207.0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9/29/20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12/23/20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LifeSci Acquisition Corp.</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Vincerx Pharma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55.0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9/21/20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9/21/20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pPr>
            <w:r>
              <w:rPr/>
              <w:t>Inflazome Ltd</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pPr>
            <w:r>
              <w:rPr/>
              <w:t>F. Hoffmann-La Roche Ltd</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Undisclosed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445.9</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8/24/20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8/24/20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CerSci Therapeutics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Acadia Pharmaceuticals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887.0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939.5</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2/26/20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2/26/20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pPr>
            <w:r>
              <w:rPr/>
              <w:t>PVP Biologics Inc (Inactive)</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pPr>
            <w:r>
              <w:rPr/>
              <w:t>Takeda Pharmaceutical Co Ltd</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Undisclosed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330.0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1/16/20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5/6/20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Neon Therapeutics,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BioNTech US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67.0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67.0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11/18/19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11/25/19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pPr>
            <w:r>
              <w:rPr/>
              <w:t>Rodin Therapeutics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pPr>
            <w:r>
              <w:rPr/>
              <w:t>Alkermes Plc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950.0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5/8/19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7/1/19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Therachon AG</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Pfizer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340.0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470.0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810.0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4/1/19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5/8/19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pPr>
            <w:r>
              <w:rPr/>
              <w:t>Novartis AG</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pPr>
            <w:r>
              <w:rPr/>
              <w:t>IFM Tre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1,265.0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1,575.0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1/4/19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1/11/19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Yong Shun Technology Development</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Dragon Merit</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36.8</w:t>
            </w:r>
          </w:p>
        </w:tc>
        <w:tc>
          <w:tcPr>
            <w:tcW w:w="76"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392"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6"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shd w:fill="CCEEFF" w:val="clear"/>
            <w:vAlign w:val="center"/>
          </w:tcPr>
          <w:p>
            <w:pPr>
              <w:pStyle w:val="TableContents"/>
              <w:bidi w:val="0"/>
              <w:spacing w:before="0" w:after="283"/>
              <w:jc w:val="left"/>
              <w:rPr/>
            </w:pPr>
            <w:r>
              <w:rPr/>
              <w:t>Low</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3,300.0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Media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277.5</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Mean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271.9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429.3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635.1</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bidi w:val="0"/>
        <w:jc w:val="left"/>
        <w:rPr/>
      </w:pPr>
      <w:r>
        <w:rPr/>
      </w:r>
    </w:p>
    <w:tbl>
      <w:tblPr>
        <w:tblW w:w="8713" w:type="dxa"/>
        <w:jc w:val="left"/>
        <w:tblInd w:w="0" w:type="dxa"/>
        <w:tblLayout w:type="fixed"/>
        <w:tblCellMar>
          <w:top w:w="0" w:type="dxa"/>
          <w:left w:w="0" w:type="dxa"/>
          <w:bottom w:w="0" w:type="dxa"/>
          <w:right w:w="0" w:type="dxa"/>
        </w:tblCellMar>
      </w:tblPr>
      <w:tblGrid>
        <w:gridCol w:w="1763"/>
        <w:gridCol w:w="125"/>
        <w:gridCol w:w="452"/>
        <w:gridCol w:w="453"/>
        <w:gridCol w:w="60"/>
        <w:gridCol w:w="60"/>
        <w:gridCol w:w="515"/>
        <w:gridCol w:w="60"/>
        <w:gridCol w:w="680"/>
        <w:gridCol w:w="60"/>
        <w:gridCol w:w="232"/>
        <w:gridCol w:w="1228"/>
        <w:gridCol w:w="60"/>
        <w:gridCol w:w="60"/>
        <w:gridCol w:w="232"/>
        <w:gridCol w:w="1228"/>
        <w:gridCol w:w="60"/>
        <w:gridCol w:w="60"/>
        <w:gridCol w:w="198"/>
        <w:gridCol w:w="1052"/>
        <w:gridCol w:w="75"/>
      </w:tblGrid>
      <w:tr>
        <w:trPr/>
        <w:tc>
          <w:tcPr>
            <w:tcW w:w="17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93" w:type="dxa"/>
            <w:gridSpan w:val="4"/>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6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w:t>
            </w:r>
          </w:p>
        </w:tc>
        <w:tc>
          <w:tcPr>
            <w:tcW w:w="125"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Upfront</w:t>
              <w:b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Contingent</w:t>
              <w:b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Value</w:t>
            </w:r>
          </w:p>
        </w:tc>
        <w:tc>
          <w:tcPr>
            <w:tcW w:w="75" w:type="dxa"/>
            <w:tcBorders/>
            <w:vAlign w:val="center"/>
          </w:tcPr>
          <w:p>
            <w:pPr>
              <w:pStyle w:val="TableContents"/>
              <w:bidi w:val="0"/>
              <w:spacing w:before="0" w:after="283"/>
              <w:jc w:val="left"/>
              <w:rPr/>
            </w:pPr>
            <w:r>
              <w:rPr/>
              <w:t> </w:t>
            </w:r>
          </w:p>
        </w:tc>
      </w:tr>
      <w:tr>
        <w:trPr/>
        <w:tc>
          <w:tcPr>
            <w:tcW w:w="2853" w:type="dxa"/>
            <w:gridSpan w:val="5"/>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2793" w:type="dxa"/>
            <w:gridSpan w:val="4"/>
            <w:tcBorders/>
            <w:shd w:fill="CCEEFF" w:val="clear"/>
            <w:vAlign w:val="cente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All M&amp;A Transactions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pPr>
            <w:r>
              <w:rPr/>
              <w:t>Low</w:t>
            </w:r>
          </w:p>
        </w:tc>
        <w:tc>
          <w:tcPr>
            <w:tcW w:w="12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20.0</w:t>
            </w:r>
          </w:p>
        </w:tc>
        <w:tc>
          <w:tcPr>
            <w:tcW w:w="75" w:type="dxa"/>
            <w:tcBorders/>
            <w:vAlign w:val="center"/>
          </w:tcPr>
          <w:p>
            <w:pPr>
              <w:pStyle w:val="TableContents"/>
              <w:bidi w:val="0"/>
              <w:spacing w:before="0" w:after="283"/>
              <w:jc w:val="left"/>
              <w:rPr/>
            </w:pPr>
            <w:r>
              <w:rPr/>
              <w:t> </w:t>
            </w:r>
          </w:p>
        </w:tc>
      </w:tr>
      <w:tr>
        <w:trPr/>
        <w:tc>
          <w:tcPr>
            <w:tcW w:w="1763" w:type="dxa"/>
            <w:tcBorders/>
            <w:shd w:fill="CCEEFF" w:val="clear"/>
            <w:vAlign w:val="center"/>
          </w:tcPr>
          <w:p>
            <w:pPr>
              <w:pStyle w:val="TableContents"/>
              <w:bidi w:val="0"/>
              <w:spacing w:before="0" w:after="283"/>
              <w:jc w:val="left"/>
              <w:rPr/>
            </w:pPr>
            <w:r>
              <w:rPr/>
              <w:t>High</w:t>
            </w:r>
          </w:p>
        </w:tc>
        <w:tc>
          <w:tcPr>
            <w:tcW w:w="125"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4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3,300.0</w:t>
            </w:r>
          </w:p>
        </w:tc>
        <w:tc>
          <w:tcPr>
            <w:tcW w:w="75" w:type="dxa"/>
            <w:tcBorders/>
            <w:shd w:fill="CCEEFF" w:val="clear"/>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pPr>
            <w:r>
              <w:rPr/>
              <w:t>Media</w:t>
            </w:r>
          </w:p>
        </w:tc>
        <w:tc>
          <w:tcPr>
            <w:tcW w:w="12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200.3</w:t>
            </w:r>
          </w:p>
        </w:tc>
        <w:tc>
          <w:tcPr>
            <w:tcW w:w="75" w:type="dxa"/>
            <w:tcBorders/>
            <w:vAlign w:val="center"/>
          </w:tcPr>
          <w:p>
            <w:pPr>
              <w:pStyle w:val="TableContents"/>
              <w:bidi w:val="0"/>
              <w:spacing w:before="0" w:after="283"/>
              <w:jc w:val="left"/>
              <w:rPr/>
            </w:pPr>
            <w:r>
              <w:rPr/>
              <w:t> </w:t>
            </w:r>
          </w:p>
        </w:tc>
      </w:tr>
      <w:tr>
        <w:trPr/>
        <w:tc>
          <w:tcPr>
            <w:tcW w:w="1763" w:type="dxa"/>
            <w:tcBorders/>
            <w:shd w:fill="CCEEFF" w:val="clear"/>
            <w:vAlign w:val="center"/>
          </w:tcPr>
          <w:p>
            <w:pPr>
              <w:pStyle w:val="TableContents"/>
              <w:bidi w:val="0"/>
              <w:spacing w:before="0" w:after="283"/>
              <w:jc w:val="left"/>
              <w:rPr/>
            </w:pPr>
            <w:r>
              <w:rPr/>
              <w:t>Mean</w:t>
            </w:r>
          </w:p>
        </w:tc>
        <w:tc>
          <w:tcPr>
            <w:tcW w:w="125"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4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541.3</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w:t>
      </w:r>
      <w:r>
        <w:rPr>
          <w:rFonts w:ascii="Times New Roman" w:hAnsi="Times New Roman"/>
          <w:sz w:val="20"/>
        </w:rPr>
        <w:t xml:space="preserve">NA” refers to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In its review of the M&amp;A transactions, Houlihan Lokey considered, among other things, the fact that Tectonic’s lead program was in a Phase 1a trial in healthy volunteers, with plans to conduct Phase 1b and Phase 2 trials in patients with Group 2 PH / HFpEF. Houlihan Lokey also noted that the enterprise value (before taking into account any contingent consideration) for the M&amp;A transactions involving target companies with lead products in the cardiovascular therapeutic category ranged from $0.1 million to $225.0 million and the enterprise value (before taking into account any contingent consideration) for the M&amp;A transactions involving target companies with lead products in Phase 1 stage of development ranged from $4.7 million to $2,100.0 million. Taking into account the results of its illustrative M&amp;A transactions analysis of Tectonic, including, among other things, its experience and professional judgment and the observed median transaction value of the illustrative M&amp;A transactions involving cardiovascular companies of $117.9 million, Houlihan Lokey selected an illustrative implied enterprise value reference range for Tectonic of $100.0 million to $150.0 million, which resulted in an illustrative aggregate implied equity value reference range for Tectonic pro forma for the private financings of $199.6 million to $249.6 million and an illustrative implied per share reference range for Tectonic pro forma for the private financings of $9.24 to $11.56. </w:t>
      </w:r>
    </w:p>
    <w:p>
      <w:pPr>
        <w:pStyle w:val="TextBody"/>
        <w:bidi w:val="0"/>
        <w:spacing w:before="240" w:after="0"/>
        <w:jc w:val="left"/>
        <w:rPr>
          <w:rFonts w:ascii="Times New Roman" w:hAnsi="Times New Roman"/>
          <w:sz w:val="20"/>
        </w:rPr>
      </w:pPr>
      <w:r>
        <w:rPr>
          <w:rFonts w:ascii="Times New Roman" w:hAnsi="Times New Roman"/>
          <w:i/>
          <w:sz w:val="20"/>
        </w:rPr>
        <w:t>Tectonic - Illustrative IPO Transactions</w:t>
      </w:r>
      <w:r>
        <w:rPr>
          <w:rFonts w:ascii="Times New Roman" w:hAnsi="Times New Roman"/>
          <w:sz w:val="20"/>
        </w:rPr>
        <w:t xml:space="preserve">. Solely for illustrative purposes, Houlihan Lokey considered certain financial terms of certain IPO transactions involving companies that Houlihan Lokey deemed relevant. The illustrative IPO transactions were selected because they involved issuers that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illustrative IPO transactions, and all criteria were evaluated in their entirety without application of definitive qualifications or limitations to individual criteria. </w:t>
      </w:r>
    </w:p>
    <w:p>
      <w:pPr>
        <w:pStyle w:val="TextBody"/>
        <w:bidi w:val="0"/>
        <w:spacing w:before="240" w:after="0"/>
        <w:jc w:val="left"/>
        <w:rPr>
          <w:rFonts w:ascii="Times New Roman" w:hAnsi="Times New Roman"/>
          <w:sz w:val="20"/>
        </w:rPr>
      </w:pPr>
      <w:r>
        <w:rPr>
          <w:rFonts w:ascii="Times New Roman" w:hAnsi="Times New Roman"/>
          <w:sz w:val="20"/>
        </w:rPr>
        <w:t xml:space="preserve">The financial data reviewed included pre-money equity value, gross proceeds, post-money equity value and post-money enterprise value, which were calculated based on the announced transaction IPO price and other public information available at the time of the announcement. The IPO transactions and corresponding data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1"/>
        <w:gridCol w:w="60"/>
        <w:gridCol w:w="1137"/>
        <w:gridCol w:w="60"/>
        <w:gridCol w:w="145"/>
        <w:gridCol w:w="775"/>
        <w:gridCol w:w="60"/>
        <w:gridCol w:w="60"/>
        <w:gridCol w:w="1401"/>
        <w:gridCol w:w="60"/>
        <w:gridCol w:w="64"/>
        <w:gridCol w:w="1081"/>
        <w:gridCol w:w="60"/>
        <w:gridCol w:w="60"/>
        <w:gridCol w:w="140"/>
        <w:gridCol w:w="560"/>
        <w:gridCol w:w="60"/>
        <w:gridCol w:w="60"/>
        <w:gridCol w:w="145"/>
        <w:gridCol w:w="580"/>
        <w:gridCol w:w="60"/>
        <w:gridCol w:w="60"/>
        <w:gridCol w:w="187"/>
        <w:gridCol w:w="748"/>
        <w:gridCol w:w="60"/>
        <w:gridCol w:w="60"/>
        <w:gridCol w:w="145"/>
        <w:gridCol w:w="580"/>
        <w:gridCol w:w="60"/>
        <w:gridCol w:w="60"/>
        <w:gridCol w:w="220"/>
        <w:gridCol w:w="880"/>
        <w:gridCol w:w="76"/>
      </w:tblGrid>
      <w:tr>
        <w:trPr/>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139" w:type="dxa"/>
            <w:gridSpan w:val="9"/>
            <w:tcBorders/>
            <w:vAlign w:val="center"/>
          </w:tcPr>
          <w:p>
            <w:pPr>
              <w:pStyle w:val="TableContents"/>
              <w:bidi w:val="0"/>
              <w:spacing w:before="0" w:after="283"/>
              <w:jc w:val="left"/>
              <w:rPr>
                <w:b/>
              </w:rPr>
            </w:pPr>
            <w:r>
              <w:rPr>
                <w:b/>
              </w:rPr>
              <w:t>(Dollars in millions, except per share data)</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441"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60" w:type="dxa"/>
            <w:tcBorders/>
            <w:vAlign w:val="center"/>
          </w:tcPr>
          <w:p>
            <w:pPr>
              <w:pStyle w:val="TableContents"/>
              <w:bidi w:val="0"/>
              <w:spacing w:before="0" w:after="283"/>
              <w:jc w:val="left"/>
              <w:rPr/>
            </w:pPr>
            <w:r>
              <w:rPr/>
              <w:t> </w:t>
            </w:r>
          </w:p>
        </w:tc>
        <w:tc>
          <w:tcPr>
            <w:tcW w:w="113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Selected Company</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GPCR</w:t>
              <w:br/>
              <w:t>Platform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Asset Indication</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Lead Asset</w:t>
              <w:br/>
              <w:t>Phase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Offer</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b/>
              </w:rPr>
              <w:t>Pre-</w:t>
            </w:r>
            <w:r>
              <w:rPr/>
              <w:br/>
            </w:r>
            <w:r>
              <w:rPr>
                <w:b/>
              </w:rP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Proceeds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Enterprise</w:t>
              <w:br/>
              <w:t>Value</w:t>
            </w:r>
          </w:p>
        </w:tc>
        <w:tc>
          <w:tcPr>
            <w:tcW w:w="76" w:type="dxa"/>
            <w:tcBorders/>
            <w:vAlign w:val="center"/>
          </w:tcPr>
          <w:p>
            <w:pPr>
              <w:pStyle w:val="TableContents"/>
              <w:bidi w:val="0"/>
              <w:spacing w:before="0" w:after="283"/>
              <w:jc w:val="left"/>
              <w:rPr/>
            </w:pPr>
            <w:r>
              <w:rPr/>
              <w:t> </w:t>
            </w:r>
          </w:p>
        </w:tc>
      </w:tr>
      <w:tr>
        <w:trPr/>
        <w:tc>
          <w:tcPr>
            <w:tcW w:w="1638" w:type="dxa"/>
            <w:gridSpan w:val="3"/>
            <w:tcBorders/>
            <w:shd w:fill="CCEEFF" w:val="clear"/>
            <w:vAlign w:val="cente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Cardiovascular</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8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441" w:type="dxa"/>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461"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236" w:type="dxa"/>
            <w:gridSpan w:val="4"/>
            <w:tcBorders/>
            <w:vAlign w:val="center"/>
          </w:tcPr>
          <w:p>
            <w:pPr>
              <w:pStyle w:val="TableContents"/>
              <w:bidi w:val="0"/>
              <w:spacing w:before="0" w:after="283"/>
              <w:jc w:val="left"/>
              <w:rPr>
                <w:sz w:val="4"/>
                <w:szCs w:val="4"/>
              </w:rPr>
            </w:pPr>
            <w:r>
              <w:rPr>
                <w:sz w:val="4"/>
                <w:szCs w:val="4"/>
              </w:rPr>
            </w:r>
          </w:p>
        </w:tc>
      </w:tr>
      <w:tr>
        <w:trPr/>
        <w:tc>
          <w:tcPr>
            <w:tcW w:w="44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11/2/23</w:t>
            </w:r>
          </w:p>
        </w:tc>
        <w:tc>
          <w:tcPr>
            <w:tcW w:w="60"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Lexeo Therapeutics, Inc.</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Cardiomyopathy and Alzheimer’s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172.4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272.4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329.7</w:t>
            </w:r>
          </w:p>
        </w:tc>
        <w:tc>
          <w:tcPr>
            <w:tcW w:w="76"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2/9/23</w:t>
            </w:r>
          </w:p>
        </w:tc>
        <w:tc>
          <w:tcPr>
            <w:tcW w:w="6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Mineralys Therapeutics, Inc.</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Hypertension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432.9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653.7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357.4</w:t>
            </w:r>
          </w:p>
        </w:tc>
        <w:tc>
          <w:tcPr>
            <w:tcW w:w="76" w:type="dxa"/>
            <w:tcBorders/>
            <w:shd w:fill="CCEEFF" w:val="clear"/>
            <w:vAlign w:val="center"/>
          </w:tcPr>
          <w:p>
            <w:pPr>
              <w:pStyle w:val="TableContents"/>
              <w:bidi w:val="0"/>
              <w:spacing w:before="0" w:after="283"/>
              <w:jc w:val="left"/>
              <w:rPr/>
            </w:pPr>
            <w:r>
              <w:rPr/>
              <w:t> </w:t>
            </w:r>
          </w:p>
        </w:tc>
      </w:tr>
      <w:tr>
        <w:trPr/>
        <w:tc>
          <w:tcPr>
            <w:tcW w:w="44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1/6/22</w:t>
            </w:r>
          </w:p>
        </w:tc>
        <w:tc>
          <w:tcPr>
            <w:tcW w:w="60"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CinCor Pharma, Inc.</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Hypertension</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390.7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212.7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603.4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284.6</w:t>
            </w:r>
          </w:p>
        </w:tc>
        <w:tc>
          <w:tcPr>
            <w:tcW w:w="76"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7/29/21</w:t>
            </w:r>
          </w:p>
        </w:tc>
        <w:tc>
          <w:tcPr>
            <w:tcW w:w="6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Tenaya Therapeutics, Inc.</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gHCM and HFpEF</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Preclinical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409.9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616.9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324.7</w:t>
            </w:r>
          </w:p>
        </w:tc>
        <w:tc>
          <w:tcPr>
            <w:tcW w:w="76" w:type="dxa"/>
            <w:tcBorders/>
            <w:shd w:fill="CCEEFF" w:val="clear"/>
            <w:vAlign w:val="center"/>
          </w:tcPr>
          <w:p>
            <w:pPr>
              <w:pStyle w:val="TableContents"/>
              <w:bidi w:val="0"/>
              <w:spacing w:before="0" w:after="283"/>
              <w:jc w:val="left"/>
              <w:rPr/>
            </w:pPr>
            <w:r>
              <w:rPr/>
              <w:t> </w:t>
            </w:r>
          </w:p>
        </w:tc>
      </w:tr>
      <w:tr>
        <w:trPr/>
        <w:tc>
          <w:tcPr>
            <w:tcW w:w="44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6/29/21</w:t>
            </w:r>
          </w:p>
        </w:tc>
        <w:tc>
          <w:tcPr>
            <w:tcW w:w="60"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Aerovate Therapeutics, Inc.</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PAH</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139.8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341.7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247.5</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bidi w:val="0"/>
        <w:jc w:val="left"/>
        <w:rPr/>
      </w:pPr>
      <w:r>
        <w:rPr/>
      </w:r>
    </w:p>
    <w:tbl>
      <w:tblPr>
        <w:tblW w:w="10805" w:type="dxa"/>
        <w:jc w:val="left"/>
        <w:tblInd w:w="0" w:type="dxa"/>
        <w:tblLayout w:type="fixed"/>
        <w:tblCellMar>
          <w:top w:w="0" w:type="dxa"/>
          <w:left w:w="0" w:type="dxa"/>
          <w:bottom w:w="0" w:type="dxa"/>
          <w:right w:w="0" w:type="dxa"/>
        </w:tblCellMar>
      </w:tblPr>
      <w:tblGrid>
        <w:gridCol w:w="560"/>
        <w:gridCol w:w="60"/>
        <w:gridCol w:w="1175"/>
        <w:gridCol w:w="60"/>
        <w:gridCol w:w="121"/>
        <w:gridCol w:w="799"/>
        <w:gridCol w:w="60"/>
        <w:gridCol w:w="60"/>
        <w:gridCol w:w="1535"/>
        <w:gridCol w:w="60"/>
        <w:gridCol w:w="64"/>
        <w:gridCol w:w="1081"/>
        <w:gridCol w:w="60"/>
        <w:gridCol w:w="60"/>
        <w:gridCol w:w="140"/>
        <w:gridCol w:w="560"/>
        <w:gridCol w:w="60"/>
        <w:gridCol w:w="60"/>
        <w:gridCol w:w="140"/>
        <w:gridCol w:w="740"/>
        <w:gridCol w:w="60"/>
        <w:gridCol w:w="60"/>
        <w:gridCol w:w="187"/>
        <w:gridCol w:w="748"/>
        <w:gridCol w:w="60"/>
        <w:gridCol w:w="60"/>
        <w:gridCol w:w="140"/>
        <w:gridCol w:w="740"/>
        <w:gridCol w:w="60"/>
        <w:gridCol w:w="60"/>
        <w:gridCol w:w="175"/>
        <w:gridCol w:w="925"/>
        <w:gridCol w:w="7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30" w:type="dxa"/>
            <w:gridSpan w:val="9"/>
            <w:tcBorders/>
            <w:vAlign w:val="center"/>
          </w:tcPr>
          <w:p>
            <w:pPr>
              <w:pStyle w:val="TableContents"/>
              <w:bidi w:val="0"/>
              <w:spacing w:before="0" w:after="283"/>
              <w:jc w:val="left"/>
              <w:rPr>
                <w:b/>
              </w:rPr>
            </w:pPr>
            <w:r>
              <w:rPr>
                <w:b/>
              </w:rPr>
              <w:t>(Dollars in millions, except per share data)</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60" w:type="dxa"/>
            <w:tcBorders/>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Selected Company</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GPCR</w:t>
              <w:br/>
              <w:t>Platform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Asset Indication</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Lead Asset</w:t>
              <w:br/>
              <w:t>Phase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Offer</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b/>
              </w:rPr>
              <w:t>Pre-</w:t>
            </w:r>
            <w:r>
              <w:rPr/>
              <w:br/>
            </w:r>
            <w:r>
              <w:rPr>
                <w:b/>
              </w:rP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Proceeds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Enterprise</w:t>
              <w:br/>
              <w:t>Value</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6/17/21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Verve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Hypercholesterolemia and ASCVD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Preclinical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609.4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916.1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571.9</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10/28/20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Galecto,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Pulmonary Fibrosis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283.8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378.9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205.2</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5/13/19</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Applied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Diabetic Cardiomyopathy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114.5</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Low</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130.5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170.5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114.5</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High</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609.4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916.1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571.9</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Median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491.1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304.6</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Mean</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Phase I</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3/30/23</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Gubra A/S</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Yes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Obesity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205.0</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2/2/23</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Yes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T2DM / Obesity and PAH</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370.5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185.3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555.8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306.0</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9/14/22</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Third Harmonic Bio,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Chronic Urticaria and Asthma</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403.8</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7/27/22</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MAIA Biotechnology,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34.4</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5/5/22</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PepGen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Duchenne Muscular Dystrophy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52.0</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3/24/22</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AN2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Infectious Diseases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79.4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291.4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167.3</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2/3/22</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Arcellx,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Myeloma</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521.7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339.5</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10/20/21</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Ventyx Biosciences,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Yes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Ulcerative Colitis and Crohn’s Disease</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631.3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805.6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513.4</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10/14/21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MiNK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Respiratory Distress Syndrome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355.1</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7/30/21</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IN8bio,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Leukemia</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147.5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138.9</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3/25/21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Edgewise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Muscular Dystrophy and Cardiomyopathy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585.1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787.5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521.4</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3/18/21</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Instil Bio,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2,196.2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368.0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2,564.2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1,975.4</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3/11/21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Longboard Pharmaceuticals,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Yes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DEEs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90.0</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2/11/21</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Decibel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Hearing Disorders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310.3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137.9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448.2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246.1</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12/4/20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Silverback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730.6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367.9</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10/15/20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Aligos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Hepatitis B</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507.0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242.8</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10/1/20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Oncorus,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196.6</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9/24/20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Prelude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648.5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830.4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606.6</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9/17/20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Athira Pharma,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Alzheimer’s Disease, Dementia</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547.7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277.4</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7/15/20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Relay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1,337.5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460.0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1,797.5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1,093.1</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6/25/20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Fusion Pharmaceuticals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708.3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385.3</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6/4/20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Applied Molecular Transport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Pouchitis and Rheumatoid Arthritis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299.6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476.7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319.1</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7/17/19</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Fulcrum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Muscular Dystrophy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247.2</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Low</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34.4</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High</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2,564.2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1,975.4</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Median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507.0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306.0</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Mean</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624.6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395.0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633"/>
        <w:gridCol w:w="61"/>
        <w:gridCol w:w="965"/>
        <w:gridCol w:w="61"/>
        <w:gridCol w:w="460"/>
        <w:gridCol w:w="460"/>
        <w:gridCol w:w="61"/>
        <w:gridCol w:w="61"/>
        <w:gridCol w:w="1064"/>
        <w:gridCol w:w="60"/>
        <w:gridCol w:w="572"/>
        <w:gridCol w:w="573"/>
        <w:gridCol w:w="60"/>
        <w:gridCol w:w="60"/>
        <w:gridCol w:w="140"/>
        <w:gridCol w:w="560"/>
        <w:gridCol w:w="60"/>
        <w:gridCol w:w="60"/>
        <w:gridCol w:w="140"/>
        <w:gridCol w:w="740"/>
        <w:gridCol w:w="60"/>
        <w:gridCol w:w="60"/>
        <w:gridCol w:w="187"/>
        <w:gridCol w:w="748"/>
        <w:gridCol w:w="60"/>
        <w:gridCol w:w="60"/>
        <w:gridCol w:w="140"/>
        <w:gridCol w:w="740"/>
        <w:gridCol w:w="60"/>
        <w:gridCol w:w="60"/>
        <w:gridCol w:w="175"/>
        <w:gridCol w:w="925"/>
        <w:gridCol w:w="79"/>
      </w:tblGrid>
      <w:tr>
        <w:trPr/>
        <w:tc>
          <w:tcPr>
            <w:tcW w:w="63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3826" w:type="dxa"/>
            <w:gridSpan w:val="9"/>
            <w:tcBorders/>
            <w:vAlign w:val="center"/>
          </w:tcPr>
          <w:p>
            <w:pPr>
              <w:pStyle w:val="TableContents"/>
              <w:bidi w:val="0"/>
              <w:spacing w:before="0" w:after="283"/>
              <w:jc w:val="left"/>
              <w:rPr>
                <w:b/>
              </w:rPr>
            </w:pPr>
            <w:r>
              <w:rPr>
                <w:b/>
              </w:rPr>
              <w:t>(Dollars in millions, except per share data)</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63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61"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Selected Company</w:t>
            </w:r>
          </w:p>
        </w:tc>
        <w:tc>
          <w:tcPr>
            <w:tcW w:w="61"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GPCR</w:t>
              <w:br/>
              <w:t>Platform</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Asset Indication</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Lead Asset</w:t>
              <w:br/>
              <w:t>Phase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Offer</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b/>
              </w:rPr>
              <w:t>Pre-</w:t>
            </w:r>
            <w:r>
              <w:rPr/>
              <w:br/>
            </w:r>
            <w:r>
              <w:rPr>
                <w:b/>
              </w:rP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Proceeds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Enterprise</w:t>
              <w:br/>
              <w:t>Value</w:t>
            </w:r>
          </w:p>
        </w:tc>
        <w:tc>
          <w:tcPr>
            <w:tcW w:w="79" w:type="dxa"/>
            <w:tcBorders/>
            <w:vAlign w:val="center"/>
          </w:tcPr>
          <w:p>
            <w:pPr>
              <w:pStyle w:val="TableContents"/>
              <w:bidi w:val="0"/>
              <w:spacing w:before="0" w:after="283"/>
              <w:jc w:val="left"/>
              <w:rPr/>
            </w:pPr>
            <w:r>
              <w:rPr/>
              <w:t> </w:t>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1042" w:type="dxa"/>
            <w:gridSpan w:val="4"/>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vAlign w:val="cente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All Selected IPOs</w:t>
            </w:r>
          </w:p>
        </w:tc>
        <w:tc>
          <w:tcPr>
            <w:tcW w:w="61"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r>
      <w:tr>
        <w:trPr/>
        <w:tc>
          <w:tcPr>
            <w:tcW w:w="6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Low</w:t>
            </w:r>
          </w:p>
        </w:tc>
        <w:tc>
          <w:tcPr>
            <w:tcW w:w="61"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34.4</w:t>
            </w:r>
          </w:p>
        </w:tc>
        <w:tc>
          <w:tcPr>
            <w:tcW w:w="79" w:type="dxa"/>
            <w:tcBorders/>
            <w:vAlign w:val="center"/>
          </w:tcPr>
          <w:p>
            <w:pPr>
              <w:pStyle w:val="TableContents"/>
              <w:bidi w:val="0"/>
              <w:spacing w:before="0" w:after="283"/>
              <w:jc w:val="left"/>
              <w:rPr/>
            </w:pPr>
            <w:r>
              <w:rPr/>
              <w:t> </w:t>
            </w:r>
          </w:p>
        </w:tc>
      </w:tr>
      <w:tr>
        <w:trPr/>
        <w:tc>
          <w:tcPr>
            <w:tcW w:w="6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High</w:t>
            </w:r>
          </w:p>
        </w:tc>
        <w:tc>
          <w:tcPr>
            <w:tcW w:w="61"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2,564.2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1,975.4</w:t>
            </w:r>
          </w:p>
        </w:tc>
        <w:tc>
          <w:tcPr>
            <w:tcW w:w="79" w:type="dxa"/>
            <w:tcBorders/>
            <w:shd w:fill="CCEEFF" w:val="clear"/>
            <w:vAlign w:val="center"/>
          </w:tcPr>
          <w:p>
            <w:pPr>
              <w:pStyle w:val="TableContents"/>
              <w:bidi w:val="0"/>
              <w:spacing w:before="0" w:after="283"/>
              <w:jc w:val="left"/>
              <w:rPr/>
            </w:pPr>
            <w:r>
              <w:rPr/>
              <w:t> </w:t>
            </w:r>
          </w:p>
        </w:tc>
      </w:tr>
      <w:tr>
        <w:trPr/>
        <w:tc>
          <w:tcPr>
            <w:tcW w:w="6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Median</w:t>
            </w:r>
          </w:p>
        </w:tc>
        <w:tc>
          <w:tcPr>
            <w:tcW w:w="61"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507.0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306.0</w:t>
            </w:r>
          </w:p>
        </w:tc>
        <w:tc>
          <w:tcPr>
            <w:tcW w:w="79" w:type="dxa"/>
            <w:tcBorders/>
            <w:vAlign w:val="center"/>
          </w:tcPr>
          <w:p>
            <w:pPr>
              <w:pStyle w:val="TableContents"/>
              <w:bidi w:val="0"/>
              <w:spacing w:before="0" w:after="283"/>
              <w:jc w:val="left"/>
              <w:rPr/>
            </w:pPr>
            <w:r>
              <w:rPr/>
              <w:t> </w:t>
            </w:r>
          </w:p>
        </w:tc>
      </w:tr>
      <w:tr>
        <w:trPr/>
        <w:tc>
          <w:tcPr>
            <w:tcW w:w="6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Mean</w:t>
            </w:r>
          </w:p>
        </w:tc>
        <w:tc>
          <w:tcPr>
            <w:tcW w:w="61"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591.0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371.6</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review of the illustrative IPO transactions, Houlihan Lokey considered, among other things, the fact that Tectonic’s lead product was in Phase 1a trials. Houlihan Lokey also noted that the enterprise value for the issuers in the illustrative IPO transactions involving issuers with lead products in the cardiovascular therapeutic category ranged from $130.5 million to $609.4 million, and the enterprise value for the issuers in the illustrative IPO transactions involving issuers with lead products in the Phase 1 stage of development ranged from $41.7 million to $2,196.2 million. Taking into account the results of its illustrative IPO transactions analysis of Tectonic, including, among other things, its experience and professional judgment and the observed median post money enterprise value of the illustrative IPO transactions involving cardiovascular companies of $304.6 million, Houlihan Lokey selected an illustrative implied enterprise value reference range for Tectonic of $150.0 million to $200.0 million, which resulted in an illustrative aggregate implied equity value reference range for Tectonic pro forma for the private financings of $249.6 million to $299.6 million and an illustrative implied per share reference range for Tectonic pro forma for the private financings of $11.56 to $13.88. </w:t>
      </w:r>
    </w:p>
    <w:p>
      <w:pPr>
        <w:pStyle w:val="TextBody"/>
        <w:bidi w:val="0"/>
        <w:spacing w:before="240" w:after="0"/>
        <w:jc w:val="left"/>
        <w:rPr>
          <w:rFonts w:ascii="Times New Roman" w:hAnsi="Times New Roman"/>
          <w:sz w:val="20"/>
        </w:rPr>
      </w:pPr>
      <w:r>
        <w:rPr>
          <w:rFonts w:ascii="Times New Roman" w:hAnsi="Times New Roman"/>
          <w:i/>
          <w:sz w:val="20"/>
        </w:rPr>
        <w:t>Tectonic - Illustrative Private Financing Transactions</w:t>
      </w:r>
      <w:r>
        <w:rPr>
          <w:rFonts w:ascii="Times New Roman" w:hAnsi="Times New Roman"/>
          <w:sz w:val="20"/>
        </w:rPr>
        <w:t xml:space="preserve">. Solely for illustrative purposes, Houlihan Lokey considered certain financial terms of certain private financing transactions involving companies that Houlihan Lokey deemed relevant. The illustrative private financing transactions were selected because they involved issuers that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illustrative private financing transactions, and all criteria were evaluated in their entirety without application of definitive qualifications or limitations to individual criteria. </w:t>
      </w:r>
    </w:p>
    <w:p>
      <w:pPr>
        <w:pStyle w:val="TextBody"/>
        <w:bidi w:val="0"/>
        <w:spacing w:before="240" w:after="0"/>
        <w:jc w:val="left"/>
        <w:rPr>
          <w:rFonts w:ascii="Times New Roman" w:hAnsi="Times New Roman"/>
          <w:sz w:val="20"/>
        </w:rPr>
      </w:pPr>
      <w:r>
        <w:rPr>
          <w:rFonts w:ascii="Times New Roman" w:hAnsi="Times New Roman"/>
          <w:sz w:val="20"/>
        </w:rPr>
        <w:t xml:space="preserve">The financial data reviewed included amount raised, total capital raised, pre-money enterprise value and post-money enterprise value, which were based on public information available at the time of the announcement. The private financing transactions and corresponding data were: </w:t>
      </w:r>
    </w:p>
    <w:p>
      <w:pPr>
        <w:pStyle w:val="TextBody"/>
        <w:bidi w:val="0"/>
        <w:spacing w:before="0" w:after="0"/>
        <w:jc w:val="left"/>
        <w:rPr/>
      </w:pPr>
      <w:r>
        <w:rPr/>
        <w:t> </w:t>
      </w:r>
    </w:p>
    <w:tbl>
      <w:tblPr>
        <w:tblW w:w="9020" w:type="dxa"/>
        <w:jc w:val="left"/>
        <w:tblInd w:w="0" w:type="dxa"/>
        <w:tblLayout w:type="fixed"/>
        <w:tblCellMar>
          <w:top w:w="0" w:type="dxa"/>
          <w:left w:w="0" w:type="dxa"/>
          <w:bottom w:w="0" w:type="dxa"/>
          <w:right w:w="0" w:type="dxa"/>
        </w:tblCellMar>
      </w:tblPr>
      <w:tblGrid>
        <w:gridCol w:w="1370"/>
        <w:gridCol w:w="120"/>
        <w:gridCol w:w="2210"/>
        <w:gridCol w:w="120"/>
        <w:gridCol w:w="950"/>
        <w:gridCol w:w="120"/>
        <w:gridCol w:w="172"/>
        <w:gridCol w:w="688"/>
        <w:gridCol w:w="60"/>
        <w:gridCol w:w="120"/>
        <w:gridCol w:w="154"/>
        <w:gridCol w:w="616"/>
        <w:gridCol w:w="60"/>
        <w:gridCol w:w="120"/>
        <w:gridCol w:w="232"/>
        <w:gridCol w:w="928"/>
        <w:gridCol w:w="60"/>
        <w:gridCol w:w="120"/>
        <w:gridCol w:w="145"/>
        <w:gridCol w:w="580"/>
        <w:gridCol w:w="75"/>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50" w:type="dxa"/>
            <w:gridSpan w:val="8"/>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 Date</w:t>
            </w:r>
          </w:p>
        </w:tc>
        <w:tc>
          <w:tcPr>
            <w:tcW w:w="120" w:type="dxa"/>
            <w:tcBorders/>
            <w:vAlign w:val="center"/>
          </w:tcPr>
          <w:p>
            <w:pPr>
              <w:pStyle w:val="TableContents"/>
              <w:bidi w:val="0"/>
              <w:spacing w:before="0" w:after="283"/>
              <w:jc w:val="left"/>
              <w:rPr/>
            </w:pPr>
            <w:r>
              <w:rPr/>
              <w:t>  </w:t>
            </w:r>
          </w:p>
        </w:tc>
        <w:tc>
          <w:tcPr>
            <w:tcW w:w="22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12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Financing</w:t>
            </w:r>
          </w:p>
          <w:p>
            <w:pPr>
              <w:pStyle w:val="TableContents"/>
              <w:bidi w:val="0"/>
              <w:spacing w:before="0" w:after="20"/>
              <w:jc w:val="center"/>
              <w:rPr>
                <w:rFonts w:ascii="Times New Roman" w:hAnsi="Times New Roman"/>
                <w:b/>
                <w:sz w:val="16"/>
              </w:rPr>
            </w:pPr>
            <w:r>
              <w:rPr>
                <w:rFonts w:ascii="Times New Roman" w:hAnsi="Times New Roman"/>
                <w:b/>
                <w:sz w:val="16"/>
              </w:rPr>
              <w:t>Round</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Amount</w:t>
            </w:r>
            <w:r>
              <w:rPr/>
              <w:br/>
            </w:r>
            <w:r>
              <w:rPr>
                <w:b/>
              </w:rPr>
              <w:t>Raised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Capital</w:t>
              <w:br/>
              <w:t>Raised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Pre-Money</w:t>
            </w:r>
            <w:r>
              <w:rPr/>
              <w:br/>
            </w:r>
            <w:r>
              <w:rPr>
                <w:b/>
              </w:rP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b/>
              </w:rPr>
              <w:t>Post-</w:t>
              <w:br/>
              <w:t>Money</w:t>
            </w:r>
            <w:r>
              <w:rPr/>
              <w:br/>
            </w:r>
            <w:r>
              <w:rPr>
                <w:b/>
              </w:rPr>
              <w:t>Value</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Cardiovascular</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10/31/23</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Imagine Pharma, Inc.</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10/17/23</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Amplifier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12/14/22</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XyloCor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A1</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54.5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62.6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74.6</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1/20/21</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XyloCor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A1</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62.6</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8/19/22</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Rivus Pharmaceuticals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432.0</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7/20/21</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Rivus Pharmaceuticals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6/1/22</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Mineralys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268.0</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1/18/22</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Mineralys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77.5</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12/20/21</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Armgo Pharma</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70.0</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9/22/21</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CinCor Pharma</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B</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142.9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192.9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230.0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372.9</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5/14/19</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CinCor Pharma</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65.0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bidi w:val="0"/>
        <w:jc w:val="left"/>
        <w:rPr/>
      </w:pPr>
      <w:r>
        <w:rPr/>
      </w:r>
    </w:p>
    <w:tbl>
      <w:tblPr>
        <w:tblW w:w="9335" w:type="dxa"/>
        <w:jc w:val="left"/>
        <w:tblInd w:w="0" w:type="dxa"/>
        <w:tblLayout w:type="fixed"/>
        <w:tblCellMar>
          <w:top w:w="0" w:type="dxa"/>
          <w:left w:w="0" w:type="dxa"/>
          <w:bottom w:w="0" w:type="dxa"/>
          <w:right w:w="0" w:type="dxa"/>
        </w:tblCellMar>
      </w:tblPr>
      <w:tblGrid>
        <w:gridCol w:w="1235"/>
        <w:gridCol w:w="120"/>
        <w:gridCol w:w="2660"/>
        <w:gridCol w:w="120"/>
        <w:gridCol w:w="950"/>
        <w:gridCol w:w="120"/>
        <w:gridCol w:w="172"/>
        <w:gridCol w:w="688"/>
        <w:gridCol w:w="60"/>
        <w:gridCol w:w="120"/>
        <w:gridCol w:w="154"/>
        <w:gridCol w:w="616"/>
        <w:gridCol w:w="60"/>
        <w:gridCol w:w="120"/>
        <w:gridCol w:w="232"/>
        <w:gridCol w:w="928"/>
        <w:gridCol w:w="60"/>
        <w:gridCol w:w="120"/>
        <w:gridCol w:w="145"/>
        <w:gridCol w:w="580"/>
        <w:gridCol w:w="7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65" w:type="dxa"/>
            <w:gridSpan w:val="8"/>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 Date</w:t>
            </w:r>
          </w:p>
        </w:tc>
        <w:tc>
          <w:tcPr>
            <w:tcW w:w="12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12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Financing</w:t>
            </w:r>
          </w:p>
          <w:p>
            <w:pPr>
              <w:pStyle w:val="TableContents"/>
              <w:bidi w:val="0"/>
              <w:spacing w:before="0" w:after="20"/>
              <w:jc w:val="center"/>
              <w:rPr>
                <w:rFonts w:ascii="Times New Roman" w:hAnsi="Times New Roman"/>
                <w:b/>
                <w:sz w:val="16"/>
              </w:rPr>
            </w:pPr>
            <w:r>
              <w:rPr>
                <w:rFonts w:ascii="Times New Roman" w:hAnsi="Times New Roman"/>
                <w:b/>
                <w:sz w:val="16"/>
              </w:rPr>
              <w:t>Round</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Amount</w:t>
            </w:r>
            <w:r>
              <w:rPr/>
              <w:br/>
            </w:r>
            <w:r>
              <w:rPr>
                <w:b/>
              </w:rPr>
              <w:t>Raised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Capital</w:t>
              <w:br/>
              <w:t>Raised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Pre-Money</w:t>
            </w:r>
            <w:r>
              <w:rPr/>
              <w:br/>
            </w:r>
            <w:r>
              <w:rPr>
                <w:b/>
              </w:rP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b/>
              </w:rPr>
              <w:t>Post-</w:t>
              <w:br/>
              <w:t>Money</w:t>
            </w:r>
            <w:r>
              <w:rPr/>
              <w:br/>
            </w:r>
            <w:r>
              <w:rPr>
                <w:b/>
              </w:rPr>
              <w:t>Value</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8/31/21</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Versanis Bio</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105.0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3/1/21</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Tenaya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C</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248.0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376.0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10/3/19</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Tenaya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B</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92.0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118.0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210.0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1/14/21</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Verve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215.5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325.0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419.0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1/11/20</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Verve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A2</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193.0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12/8/20</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Edgewise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C</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155.0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295.0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9/17/19</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Edgewise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B</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120.0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10/21/20</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InCarda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C</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77.9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128.3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158.3</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8/14/19</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Renovacor</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22.3</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22.3</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142.9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248.0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325.0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432.0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65.0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90.3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139.2</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63.2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97.7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120.2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187.3</w:t>
            </w:r>
          </w:p>
        </w:tc>
        <w:tc>
          <w:tcPr>
            <w:tcW w:w="75" w:type="dxa"/>
            <w:tcBorders/>
            <w:shd w:fill="CCEEFF" w:val="clear"/>
            <w:vAlign w:val="center"/>
          </w:tcPr>
          <w:p>
            <w:pPr>
              <w:pStyle w:val="TableContents"/>
              <w:bidi w:val="0"/>
              <w:spacing w:before="0" w:after="283"/>
              <w:jc w:val="left"/>
              <w:rPr/>
            </w:pPr>
            <w:r>
              <w:rPr/>
              <w:t> </w:t>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Early Stage - GPCR</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12/14/23</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Deep Apple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7/11/23</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Septerna</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320.0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1/27/22</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Septerna</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145.0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4/20/23</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Enveda Biosciences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319.0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6/22/21</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Enveda Biosciences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100.1</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2/15/23</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Maxion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29.5</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10/25/21</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Pathios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35.2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36.5</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11/28/22</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Escient Pharmaceuticals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C</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250.0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8/25/20</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Escient Pharmaceuticals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B</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72.5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150.0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8/1/22</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Structure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191.0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351.0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3/11/20</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Structure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A1</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4/29/19</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Structure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5/10/22</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Domain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2/23/21</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Teon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63.7</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10/28/20</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Longboard Pharmaceuticals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101.0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5/1/19</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Confo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40.4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48.0</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29.5</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351.0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57.5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123.0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66.1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96.7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86.2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159.5</w:t>
            </w:r>
          </w:p>
        </w:tc>
        <w:tc>
          <w:tcPr>
            <w:tcW w:w="75" w:type="dxa"/>
            <w:tcBorders/>
            <w:vAlign w:val="center"/>
          </w:tcPr>
          <w:p>
            <w:pPr>
              <w:pStyle w:val="TableContents"/>
              <w:bidi w:val="0"/>
              <w:spacing w:before="0" w:after="283"/>
              <w:jc w:val="left"/>
              <w:rPr/>
            </w:pPr>
            <w:r>
              <w:rPr/>
              <w:t> </w:t>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All Private Financings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22.3</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325.0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432.0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132.5</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64.5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97.2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106.6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176.2</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w:t>
      </w:r>
      <w:r>
        <w:rPr>
          <w:rFonts w:ascii="Times New Roman" w:hAnsi="Times New Roman"/>
          <w:sz w:val="20"/>
        </w:rPr>
        <w:t xml:space="preserve">NA” refers to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In its review of the illustrative private financing transactions, Houlihan Lokey considered, among other things, the fact that Tectonic’s lead program was in a Phase 1a trial in healthy volunteers, with plans to conduct Phase 1b and Phase 2 trials in patients with Group 2 PH / HFpEF. Houlihan Lokey also noted that the enterprise value for the companies in the illustrative private financing transactions involving companies with lead products in the cardiovascular therapeutic category ranged from $11.3 million to $325.0 million, and the enterprise value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companies in the illustrative private financing transactions involving companies with lead products in early stages of development and a GPCR platform ranged from $13.7 million to $218.0 million. Taking into account the results of its illustrative private financing transactions analysis of Tectonic, including, among other things, its experience and professional judgment and the observed median post money enterprise value of the illustrative private financing transactions involving cardiovascular companies of $139.2 million, Houlihan Lokey selected an illustrative implied enterprise value reference range for Tectonic of $125.0 million to $175.0 million, which resulted in an aggregate illustrative implied equity value reference range for Tectonic pro forma for the private financings (in the Transaction) of $224.6 million to $274.6 million and an illustrative implied per share reference range for Tectonic pro forma for the private financings (in the Transaction) of $10.40 to $12.72. </w:t>
      </w:r>
    </w:p>
    <w:p>
      <w:pPr>
        <w:pStyle w:val="TextBody"/>
        <w:bidi w:val="0"/>
        <w:spacing w:before="240" w:after="0"/>
        <w:jc w:val="left"/>
        <w:rPr>
          <w:rFonts w:ascii="Times New Roman" w:hAnsi="Times New Roman"/>
          <w:sz w:val="20"/>
        </w:rPr>
      </w:pPr>
      <w:r>
        <w:rPr>
          <w:rFonts w:ascii="Times New Roman" w:hAnsi="Times New Roman"/>
          <w:i/>
          <w:sz w:val="20"/>
        </w:rPr>
        <w:t>Illustrative Implied Exchange Ratio Reference Range</w:t>
      </w:r>
      <w:r>
        <w:rPr>
          <w:rFonts w:ascii="Times New Roman" w:hAnsi="Times New Roman"/>
          <w:sz w:val="20"/>
        </w:rPr>
        <w:t xml:space="preserve">. Taking into account the AVROBIO Liquidation Analysis and Houlihan Lokey’s illustrative M&amp;A transactions, illustrative IPO transactions and illustrative private financing transactions analyses for Tectonic, Houlihan Lokey (i) divided the low end of the implied per share reference range for Tectonic indicated by the applicable analysis by the high end of the implied per share reference range for AVBROBIO and (ii) divided the high end of the implied per share reference range for Tectonic indicated by the applicable analysis by the low end of the implied per share reference range for AVBROBIO, which indicated illustrative implied exchange ratio reference ranges of 0.58561962 to 0.77401431 shares of AVROBIO common stock for each share of Tectonic capital stock based on the illustrative M&amp;A transactions analysis, 0.73232454 to 0.92907085 shares of AVROBIO common stock for each share of Tectonic capital stock based on the illustrative IPO transactions analysis and 0.65897208 to 0.85154258 shares of AVROBIO common stock for each share of Tectonic capital stock based on the illustrative private financings transactions analysis, in each case as compared to the assumed Exchange Ratio in the Merger pursuant to the Merger agreement of 0.74458326 shares of AVROBIO common stock for each share of Tectonic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Houlihan Lokey was engaged by AVROBIO to provide an opinion to the AVROBIO Board as to the fairness, from a financial point of view, to AVROBIO of the Exchange Ratio provided for in the Merger pursuant to the Merger Agreement, after giving effect to the Related Transactions. AVROBIO engaged Houlihan Lokey based on Houlihan Lokey’s experience and reputation. Houlihan Lokey is regularly engaged to render financial opinions in connection with mergers, acquisitions, divestitures, leveraged buyouts, and for other purposes. Pursuant to its engagement by AVROBIO, Houlihan Lokey became entitled to an aggregate fee of $400,000 for its services, a portion of which became payable to Houlihan Lokey upon its retention by AVROBIO and the remainder of which became payable upon the delivery of its opinion. AVROBIO has also agreed to reimburse Houlihan Lokey for certain expenses and to indemnify Houlihan Lokey, its affiliates and certain related parties against certain liabilities and expenses arising out of or relating to Houlihan Lokey’s engagement.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AVROBIO, Tectonic, or any other party that may be involved in the Transaction and their respective affiliates or security holders or any currency or commodity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and certain of its affiliates may provide investment banking, financial advisory and/or other financial or consulting services to AVROBIO, Tectonic, other participants in the Transaction or certain of their respective affiliates or security holders in the future, for which Houlihan Lokey and its affiliates may receive compensation. In addition, during the past two years, Houlihan Lokey provided financial advisory services to a group of five clients, of which an affiliate of a security holder of Tectonic was a member of this group, for which Houlihan Lokey received compensation of approximately $350,000. Furthermore, in connection with bankruptcies, restructurings, distressed situations and similar matters, Houlihan Lokey and certain of its affiliates may have in the past acted, may currently be acting and may in the future act as financial advisor to debtors,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creditors, equity holders, trustees, agents and other interested parties (including, without limitation, formal and informal committees or groups of creditors) that may have included or represented and may include or represent, directly or indirectly, or may be or have been adverse to, AVROBIO, Tectonic, other participants in the Transaction or certain of their respective affiliates or security holders, for which advice and services Houlihan Lokey and its affiliates have received and may receive compensation. </w:t>
      </w:r>
    </w:p>
    <w:p>
      <w:pPr>
        <w:pStyle w:val="TextBody"/>
        <w:bidi w:val="0"/>
        <w:spacing w:before="360" w:after="0"/>
        <w:jc w:val="left"/>
        <w:rPr>
          <w:rFonts w:ascii="Times New Roman" w:hAnsi="Times New Roman"/>
          <w:b/>
          <w:sz w:val="20"/>
        </w:rPr>
      </w:pPr>
      <w:bookmarkStart w:id="51" w:name="toc770053_49"/>
      <w:bookmarkEnd w:id="51"/>
      <w:r>
        <w:rPr>
          <w:rFonts w:ascii="Times New Roman" w:hAnsi="Times New Roman"/>
          <w:b/>
          <w:sz w:val="20"/>
        </w:rPr>
        <w:t xml:space="preserve">Interests of AVROBIO’s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AVROBIO Board with respect to issuing shares of AVROBIO common stock in the merger and the other matters to be acted upon by the AVROBIO stockholders at the special meeting, the AVROBIO stockholders should be aware that AVROBIO’s directors and executive officers have interests in the merger that are different from, or in addition to, the interests of AVROBIO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was aware of these potential conflicts of interest and considered them, among other matters, in reaching its decision to approve the Merger Agreement and the merger, and to recommend that the AVROBIO stockholders approve the proposals to be presented to the AVROBIO stockholders for consideration at the special meeting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March 15, 2024, AVROBIO’s current non-employee directors and executive officers beneficially owned, in the aggregate, approximately 4,905,581 shares of AVROBIO common stock, which for purposes of this subsection excludes any AVROBIO shares issuable upon exercise or settlement of AVROBIO stock options or AVROBIO RSUs held by such individuals, and includes shares of AVROBIO common stock held by affiliates of such directors and officers. The affirmative vote of a majority of votes properly cast by the holders of AVROBIO common stock entitled to vote at the special meeting, assuming a quorum is present, is required for approval of Proposal Nos. 1, 2, 4, 5, 6 and 7. The affirmative vote of the holders of a majority of the outstanding shares of AVROBIO common stock entitled to vote at the special meeting is required for approval of Proposal No. 3. As of March 15, 2024, certain AVROBIO stockholders who in the aggregate owned approximately 10.8% of the outstanding shares of AVROBIO have entered into a support agreement in connection with the merger. For a more detailed discussion of the support agreements,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certain AVROBIO stockholders affiliated with AVROBIO’s directors also currently hold shares of AVROBIO common stock. The table below sets forth the ownership of AVROBIO common stock by affiliates of AVROBIO’s directors as of March 15, 2024.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840"/>
        <w:gridCol w:w="120"/>
        <w:gridCol w:w="114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w:t>
              <w:br/>
              <w:t>Stock Held</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Affiliates of Atlas Venture Fund(1)</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4,541,381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in part on a Schedule 13D filed with the SEC on July 30, 2019 and a Form 4 filed with the SEC on February 18, 2020. 3,710,052 shares are held directly by Atlas Venture Fund X, L.P. (“Atlas Venture X”), 810,811 shares are held directly by Atlas Venture Opportunity Fund I, L.P. (“Atlas Venture Opportunity”) and 20,518 shares are held directly by Atlas Venture Associates X, L.P. (“AVA X LP”). AVA X LP is the general partner of Atlas Venture X, and Atlas Venture Associates X, LLC (“AVA X LLC”) is the general partner of AVA X LP. Atlas Venture Associates Opportunity I, L.P. (“AVA Opportunity LP”) is the general partner of Atlas Venture Opportunity and Atlas Venture Associates Opportunity I, LLC (“AVA Opportunity LLC”) is the general partner of AVA Opportunity LP. Bruce Booth is a member of AVA X LLC and AVA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Opportunity LLC and a member of the AVROBIO Board. Dr. Booth disclaims beneficial ownership of such shares, except to the extent of his proportionate pecuniary interest therein, if any. The address for Atlas Venture X is 300 Technology Square, 8th Floor, Cambridge, MA 02139.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AVROBIO Stock Options and AVROBIO RSUs </w:t>
      </w:r>
    </w:p>
    <w:p>
      <w:pPr>
        <w:pStyle w:val="TextBody"/>
        <w:bidi w:val="0"/>
        <w:spacing w:before="120" w:after="0"/>
        <w:jc w:val="left"/>
        <w:rPr>
          <w:rFonts w:ascii="Times New Roman" w:hAnsi="Times New Roman"/>
          <w:sz w:val="20"/>
        </w:rPr>
      </w:pPr>
      <w:r>
        <w:rPr>
          <w:rFonts w:ascii="Times New Roman" w:hAnsi="Times New Roman"/>
          <w:sz w:val="20"/>
        </w:rPr>
        <w:t xml:space="preserve">Each AVROBIO in-the-money option that is outstanding immediately prior to the effective time that is held by a current AVROBIO employee, director, or consultant of AVROBIO as of the date hereof will be accelerated in full effective as of the effective time and (ii) each AVROBIO in-the-money option that is unexpired, unexercised and outstanding as of immediately prior to the effective time and is held by a current AVROBIO employee, director or consultant as of the date of the execution of the Merger Agreement and who is a signatory to the lock-up agreement, will survive the closing and remain outstanding and exercisable until six months after the expiration of the Restricted Period (as defined in the signatory’s respective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Further, the Merger Agreement provides that 50% of certain specified unexpired, unexercised and unvested AVROBIO options that remain outstanding as of immediately prior to the Effective Time (the “Specified Options”) (A) that are held by a current employee, director, or consultant of AVROBIO as of the date of the Merger Agreement will be accelerated in full effective as of immediately prior to the effective time, and (B) each Specified Option that is unexpired, unexercised, and outstanding as of immediately prior to the effective time and is held by a current employee, director or consultant of AVROBIO as of the date of the Merger Agreement who is or will be party to a lock-up agreement will remain outstanding and exercisable until six months after the expiration of the applicable Restricted Period (as defined in the signatory’s respective lock-up agreement). The Specified Options are certain out-of-the-money options held by certain members of AVROBIO management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all outstanding AVROBIO RSUs that vest solely on the basis of time will be accelerated in full as of immediately prior to the effective time.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AVROBIO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information regarding the AVROBIO stock options and RSUs held as of March 15, 2024 by the individuals who are AVROBIO’s executive officers and AVROBIO’s current non-employee directors. The number of shares of AVROBIO common stock underlying such AVROBIO options and AVROBIO RSUs and, with respect to stock options, the applicable exercise prices of such options will be adjusted appropriately to reflect the proposed reverse stock split. </w:t>
      </w:r>
    </w:p>
    <w:p>
      <w:pPr>
        <w:pStyle w:val="TextBody"/>
        <w:bidi w:val="0"/>
        <w:spacing w:before="0" w:after="0"/>
        <w:jc w:val="left"/>
        <w:rPr/>
      </w:pPr>
      <w:r>
        <w:rPr/>
        <w:t> </w:t>
      </w:r>
    </w:p>
    <w:tbl>
      <w:tblPr>
        <w:tblW w:w="7185" w:type="dxa"/>
        <w:jc w:val="left"/>
        <w:tblInd w:w="0" w:type="dxa"/>
        <w:tblLayout w:type="fixed"/>
        <w:tblCellMar>
          <w:top w:w="0" w:type="dxa"/>
          <w:left w:w="0" w:type="dxa"/>
          <w:bottom w:w="0" w:type="dxa"/>
          <w:right w:w="0" w:type="dxa"/>
        </w:tblCellMar>
      </w:tblPr>
      <w:tblGrid>
        <w:gridCol w:w="2990"/>
        <w:gridCol w:w="120"/>
        <w:gridCol w:w="148"/>
        <w:gridCol w:w="1987"/>
        <w:gridCol w:w="60"/>
        <w:gridCol w:w="120"/>
        <w:gridCol w:w="315"/>
        <w:gridCol w:w="1370"/>
        <w:gridCol w:w="75"/>
      </w:tblGrid>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w:t>
              <w:br/>
              <w:t>Outstanding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w:t>
              <w:br/>
              <w:t>Restricted Stock</w:t>
              <w:br/>
              <w:t>Units</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Bruce Booth, D.Phil</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93,712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Ian Clark</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172,734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Phillip Donenberg</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112,455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Gail Farfel</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98,037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Annalisa Jenkins, M.B.B.S., F.R.C.P.</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133,223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Christopher Paige, Ph.D.</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93,712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Philip Vickers, Ph.D.</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112,455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bidi w:val="0"/>
        <w:jc w:val="left"/>
        <w:rPr/>
      </w:pPr>
      <w:r>
        <w:rPr/>
      </w:r>
    </w:p>
    <w:tbl>
      <w:tblPr>
        <w:tblW w:w="5850" w:type="dxa"/>
        <w:jc w:val="left"/>
        <w:tblInd w:w="0" w:type="dxa"/>
        <w:tblLayout w:type="fixed"/>
        <w:tblCellMar>
          <w:top w:w="0" w:type="dxa"/>
          <w:left w:w="0" w:type="dxa"/>
          <w:bottom w:w="0" w:type="dxa"/>
          <w:right w:w="0" w:type="dxa"/>
        </w:tblCellMar>
      </w:tblPr>
      <w:tblGrid>
        <w:gridCol w:w="1655"/>
        <w:gridCol w:w="120"/>
        <w:gridCol w:w="123"/>
        <w:gridCol w:w="2012"/>
        <w:gridCol w:w="60"/>
        <w:gridCol w:w="120"/>
        <w:gridCol w:w="117"/>
        <w:gridCol w:w="1568"/>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w:t>
              <w:br/>
              <w:t>Outstanding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w:t>
              <w:br/>
              <w:t>Restricted Stock</w:t>
              <w:br/>
              <w:t>Units</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0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56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1,067,000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190,249</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Avruch</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766,336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98,499</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524,497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130,171</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Essra Ridha</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458,000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98,499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value of in-the-money AVROBIO options and RSUs that will be subject to accelerated vesting is $1.1 million for executive officers and $0.1 million for directors, assuming $1.33 per share of AVROBIO common stock, which reflects the average closing market price of AVROBIO’s common stock over the first five trading days ending three trading days prior to the first public announcement of the transaction. In addition, the executive officers and directors hold an aggregate of 447,500 shares subject to Specified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Positions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currently consists of seven members and is currently divided into three classes of directors with three directors in Class I, two directors in Class II and two directors in Class III. Each director serves for a term ending on the date of the third annual meeting following the annual meeting at which he or she was elected and until his or her successor is duly elected and qualified. The terms and members of each class of directors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Gail Farfel, Ph.D., Christopher Paige, Ph.D. and Philip Vickers, Ph.D., and their terms will expire at the annual meeting of stockholders to be held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Ian Clark and Annalisa Jenkins, M.B.B.S., F.R.C.P., and their terms will expire at the annual meeting of stockholders to be held in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Bruce Booth, D.Phil. and Phillip Donenberg, and their terms will expire at the annual meeting of stockholders to be held in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merger, one of the current AVROBIO directors will serve as a director of the combined company, and the combined company’s directors will consist of six members, with five directors designated by Tectonic, who are Terrance McGuire, Alise Reicin, Timothy A. Springer, Praveen Tipirneni and Stefan Vitorovic, and one director designated by AVROBIO, who is Phillip Donenberg.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the current AVROBIO directors and executive officers, and there are no family relationships among any of the proposed combined company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AVROBIO directors and officers under the Merger Agreement, please see the section titled “</w:t>
      </w:r>
      <w:r>
        <w:rPr>
          <w:rFonts w:ascii="Times New Roman" w:hAnsi="Times New Roman"/>
          <w:i/>
          <w:sz w:val="20"/>
        </w:rPr>
        <w:t>The Merger Agreement—Indemnification and Insurance for Directors and Officers</w:t>
      </w:r>
      <w:r>
        <w:rPr>
          <w:rFonts w:ascii="Times New Roman" w:hAnsi="Times New Roman"/>
          <w:sz w:val="20"/>
        </w:rPr>
        <w:t xml:space="preserve">” beginning on page 254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AVROBIO compensates its non-employee directors for their service on the AVROBIO Board pursuant to its director compensation program. Non-employee members of the AVROBIO Board receive cash compensation, payable in quarterly installments, in arrears following the end of each quarter in which service occurred, prorated based on the number of actual days served by the director during such calendar quarter. Pursuant to the director compensation program, non-employee directors are also eligible to receive initial and annual grants of stock options. Each initial stock option granted to AVROBIO’s non-employee directors, vests and becomes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36 equal monthly installments over a three-year period; provided, however, that all vesting shall cease if the director resigns from the AVROBIO Board or otherwise ceases to serve as a director of AVROBIO. Each annual stock option granted to AVROBIO’s non-employee directors, vests and becomes exercisable in full upon the earlier to occur of the first anniversary of the date of grant or the date of the next annual meeting. AVROBIO also reimburses its non-employee directors for reasonable travel and out-of-pocket expenses incurred in connection with attending its board of director and committee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Severance Arrangements </w:t>
      </w:r>
    </w:p>
    <w:p>
      <w:pPr>
        <w:pStyle w:val="TextBody"/>
        <w:bidi w:val="0"/>
        <w:spacing w:before="120" w:after="0"/>
        <w:jc w:val="left"/>
        <w:rPr>
          <w:rFonts w:ascii="Times New Roman" w:hAnsi="Times New Roman"/>
          <w:i/>
          <w:sz w:val="20"/>
        </w:rPr>
      </w:pPr>
      <w:r>
        <w:rPr>
          <w:rFonts w:ascii="Times New Roman" w:hAnsi="Times New Roman"/>
          <w:i/>
          <w:sz w:val="20"/>
        </w:rPr>
        <w:t xml:space="preserve">Erik Ostrowski </w:t>
      </w:r>
    </w:p>
    <w:p>
      <w:pPr>
        <w:pStyle w:val="TextBody"/>
        <w:bidi w:val="0"/>
        <w:spacing w:before="120" w:after="0"/>
        <w:jc w:val="left"/>
        <w:rPr>
          <w:rFonts w:ascii="Times New Roman" w:hAnsi="Times New Roman"/>
          <w:sz w:val="20"/>
        </w:rPr>
      </w:pPr>
      <w:r>
        <w:rPr>
          <w:rFonts w:ascii="Times New Roman" w:hAnsi="Times New Roman"/>
          <w:sz w:val="20"/>
        </w:rPr>
        <w:t xml:space="preserve">Mr. Ostrowski’s employment agreement provides that, in the event that his employment is terminated by AVROBIO without “cause” or by Mr. Ostrowski with “good reason” (as each term is defined in his employment agreement),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in equal installments over nine months in accordance with AVROBIO’s normal payroll cycle,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nine months, and (iii) acceleration of vesting of all stock options and other stock based awards held by Mr. Ostrowski that would have vested if 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in the event of a “change in control” (as defined in his employment agreement) all time-based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Ostrowski’s employment is terminated by AVROBIO without “cause” or by Mr. Ostrowski for “good reason,” in each case, within three months prior to or 18 months after a “change in control,” subject to the execution and effectiveness of a separation agreement and release, he will be entitled to receive (i) a lump sum amount equal to 100% of the sum of his current base salary (or his base salary in effect immediately prior to the change in control if higher) plus his target bonus for that year, less any amount paid to Mr. Ostrowski in the same calendar year under the Employee Confidentiality, Assignment and Noncompetition Agreement,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12 months, and (iii) full acceleration of vesting of all time-based stock options and other time-based stock-based awards held by Mr. Ostrowski. </w:t>
      </w:r>
    </w:p>
    <w:p>
      <w:pPr>
        <w:pStyle w:val="TextBody"/>
        <w:bidi w:val="0"/>
        <w:spacing w:before="360" w:after="0"/>
        <w:jc w:val="left"/>
        <w:rPr>
          <w:rFonts w:ascii="Times New Roman" w:hAnsi="Times New Roman"/>
          <w:i/>
          <w:sz w:val="20"/>
        </w:rPr>
      </w:pPr>
      <w:r>
        <w:rPr>
          <w:rFonts w:ascii="Times New Roman" w:hAnsi="Times New Roman"/>
          <w:i/>
          <w:sz w:val="20"/>
        </w:rPr>
        <w:t xml:space="preserve">Azadeh Golipour </w:t>
      </w:r>
    </w:p>
    <w:p>
      <w:pPr>
        <w:pStyle w:val="TextBody"/>
        <w:bidi w:val="0"/>
        <w:spacing w:before="120" w:after="0"/>
        <w:jc w:val="left"/>
        <w:rPr>
          <w:rFonts w:ascii="Times New Roman" w:hAnsi="Times New Roman"/>
          <w:sz w:val="20"/>
        </w:rPr>
      </w:pPr>
      <w:r>
        <w:rPr>
          <w:rFonts w:ascii="Times New Roman" w:hAnsi="Times New Roman"/>
          <w:sz w:val="20"/>
        </w:rPr>
        <w:t xml:space="preserve">Dr. Golipour’s employment agreement provides that, in the event that her employment is terminated by AVROBIO without “cause” or by Dr. Golipour with “good reason” (as each term is defined in her employment agreement), subject to the execution and effectiveness of a separation agreement and release, she will be entitled to receive (i) an amount equal to 75% of her base salary less any garden leave pay paid to Dr. Golipour in the same calendar year under the Employee Confidentiality, Assignment and Noncompetition Agreement, provided that Dr. Golipour has not breached any of the confidentiality, noncompetition or cooperation provisions set forth in, or incorporated into, the employment agreement, payable in equal installments over nine months in accordance with AVROBIO’s normal payroll cycle, (ii) if Dr. Golipour was participating in AVROBIO’s group health plan and elects COBRA health continuation, a monthly cash payment equal to the monthly employer contribution that AVROBIO would have made to provide health insurance to Dr. Golipour had she remained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employed with AVROBIO for up to nine months, and (iii) acceleration of vesting of all stock options and other stock based awards held by Dr. Golipour that would have vested if she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Dr. Golipour’s employment is terminated by AVROBIO without “cause” or by Dr. Golipour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less any amount paid to Dr. Golipour in the same calendar year under the Employee Confidentiality, Assignment and Noncompetition Agreement, (ii) if Dr. Golipour was participating in AVROBIO’s group health plan and elects COBRA health continuation, a monthly cash payment equal to the monthly employer contribution that AVROBIO would have made to provide health insurance to Dr. Golipour had she remained employed with AVROBIO for up to 12 months, and (iii) full acceleration of vesting of all time-based stock options and other time-based stock-based awards held by Dr. Golipour. </w:t>
      </w:r>
    </w:p>
    <w:p>
      <w:pPr>
        <w:pStyle w:val="TextBody"/>
        <w:bidi w:val="0"/>
        <w:spacing w:before="360" w:after="0"/>
        <w:jc w:val="left"/>
        <w:rPr>
          <w:rFonts w:ascii="Times New Roman" w:hAnsi="Times New Roman"/>
          <w:i/>
          <w:sz w:val="20"/>
        </w:rPr>
      </w:pPr>
      <w:r>
        <w:rPr>
          <w:rFonts w:ascii="Times New Roman" w:hAnsi="Times New Roman"/>
          <w:i/>
          <w:sz w:val="20"/>
        </w:rPr>
        <w:t xml:space="preserve">Essra Ridha </w:t>
      </w:r>
    </w:p>
    <w:p>
      <w:pPr>
        <w:pStyle w:val="TextBody"/>
        <w:bidi w:val="0"/>
        <w:spacing w:before="120" w:after="0"/>
        <w:jc w:val="left"/>
        <w:rPr>
          <w:rFonts w:ascii="Times New Roman" w:hAnsi="Times New Roman"/>
          <w:sz w:val="20"/>
        </w:rPr>
      </w:pPr>
      <w:r>
        <w:rPr>
          <w:rFonts w:ascii="Times New Roman" w:hAnsi="Times New Roman"/>
          <w:sz w:val="20"/>
        </w:rPr>
        <w:t xml:space="preserve">Dr. Ridha’s employment agreement provides that, in the event that her employment is terminated by AVROBIO without “cause” or by Dr. Ridha with “good reason” (as each term is defined in her employment agreement), subject to the execution and effectiveness of a separation agreement and release, she will be entitled to receive (i) an amount equal to 75% of her base salary, (ii) nine (9) months of benefits allowance, which would include medical, dental, vision, and leisure travel insurance benefits, and (iii) acceleration of vesting of all stock options and other stock based awards held by Dr. Ridha that would have vested if she had remained employed by AVROBIO for an additional nine months following the date of termination. In addition, in the event that Dr. Ridha’s employment is terminated by AVROBIO without “cause” or by Dr. Ridha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(ii) 12 months of benefits allowance, which would include medical, dental, vision, and leisure travel insurance benefits, and (iii) full acceleration of vesting of all time-based stock options and other time-based stock-based awards held by Dr. Ridha.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Retention Bonuses </w:t>
      </w:r>
    </w:p>
    <w:p>
      <w:pPr>
        <w:pStyle w:val="TextBody"/>
        <w:bidi w:val="0"/>
        <w:spacing w:before="120" w:after="0"/>
        <w:jc w:val="left"/>
        <w:rPr>
          <w:rFonts w:ascii="Times New Roman" w:hAnsi="Times New Roman"/>
          <w:sz w:val="20"/>
        </w:rPr>
      </w:pPr>
      <w:r>
        <w:rPr>
          <w:rFonts w:ascii="Times New Roman" w:hAnsi="Times New Roman"/>
          <w:sz w:val="20"/>
        </w:rPr>
        <w:t>On June 9, 2023, the AVROBIO Compensation Committee approved cash retention bonuses for each of Mr. Ostrowski, Dr. Golipour and Dr. Ridha. The Retention Bonuses were payable to each of Mr. Ostrowski, Dr. Golipour and Dr. Ridha, subject to each executive continuing to be employed by AVROBIO as of December 31, 2023. The amount of the retention bonuses payable to each of Mr. Ostrowski, Dr. Golipour and Dr. Ridha equaled to (i) 125% of each executive’s base salary for calendar year 2023 as in effect on June 9, 2023 (except that, in the case of Mr. Ostrowski, such calculation was based on his base salary in effect as of July 1, 2023), plus (ii) 125% of each executive’s target 2023 annual bonus as in effect on June 9, 2023 (except that, in the case of Mr. Ostrowski, such calculation was based on his target 2023 annual bonus in effect for the six month period commencing July 1, 2023), in each case pro-rated for the period of time from June 9, 2023 to December 31, 2023.</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related footnotes present information about the compensation payable to AVROBIO’s named executive officers in connection with the merger. The compensation shown in the table below is intended to comply with Item 402(t) of Regulation S-K, which requires disclosure of information about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compensation for each named executive officer that is based on or otherwise relates to the Merger. This compensation is referred to as “golden parachute” compensation by the applicable SEC disclosure rules. AVROBIO’s named executive officers who are no longer employed by AVROBIO have been excluded from the table below and will not receive any “golden parachute” compensation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values in the table below are based on the following assumptions: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relevant price per share of AVROBIO common stock is approximately $1.33, which reflects the average closing market price of AVROBIO’s common stock over the first five trading days ending three trading days prior to the first public announcement of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named executive officers who is currently employed by AVROBIO will remain employed through the closing of the merger, and that their employment is terminated without “cause” or by the executive officer for “good reason” as of immediately following the effective time of the merger on March 15, 2024 (in each case, referred to as a “qualifying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named executive officers holds the outstanding equity awards that were held by such AVROBIO named executive officer as of March 15, 2024, the latest practicable date before the filing of this proxy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the base salary, target annual incentive compensation, and health and welfare benefit elections of each AVROBIO named executive officer remains the same as of March 15,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footnotes describe payments and benefits that will be paid solely based on the closing of merger (“single-trigger payments”), and payments and benefits that will be paid based on the closing of the merger and a qualifying termination following the merger (“double-trigger payments”). </w:t>
      </w:r>
    </w:p>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1445"/>
        <w:gridCol w:w="120"/>
        <w:gridCol w:w="60"/>
        <w:gridCol w:w="800"/>
        <w:gridCol w:w="60"/>
        <w:gridCol w:w="120"/>
        <w:gridCol w:w="60"/>
        <w:gridCol w:w="800"/>
        <w:gridCol w:w="60"/>
        <w:gridCol w:w="120"/>
        <w:gridCol w:w="96"/>
        <w:gridCol w:w="1094"/>
        <w:gridCol w:w="60"/>
        <w:gridCol w:w="120"/>
        <w:gridCol w:w="60"/>
        <w:gridCol w:w="98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Perquisites/</w:t>
              <w:br/>
              <w:t>Benefits</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829,250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301,288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26,918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1,157,456</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Geoff MacKay(4)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209,218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9,173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825,891</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Essra Ridha(5)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714,380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171,270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3,671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889,321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a lump sum amount equal to 100% of the sum of the named executive officer’s current base salary (or base salary in effect immediately prior to the change in control if higher) plus target bonus for that year, which amounts are double trigger payments.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 represents the estimated consideration payable with respect to all AVROBIO stock options and other AVROBIO stock-based awards held by AVROBIO’s named executive officers upon a qualifying termination of employment in connection with the merger, as discussed above under “—</w:t>
            </w:r>
            <w:r>
              <w:rPr>
                <w:rFonts w:ascii="Times New Roman" w:hAnsi="Times New Roman"/>
                <w:i/>
                <w:sz w:val="20"/>
              </w:rPr>
              <w:t>Executive Severance Arrangements</w:t>
            </w:r>
            <w:r>
              <w:rPr>
                <w:rFonts w:ascii="Times New Roman" w:hAnsi="Times New Roman"/>
                <w:sz w:val="20"/>
              </w:rPr>
              <w:t xml:space="preserve">.” The consideration payable with respect to such awards are double-trigger payments.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estimated value of reimbursement of COBRA premiums for health benefit coverage, in an amount equal to the monthly employer contribution that AVROBIO would have made to provide health insurance to Mr. Ostrowski and Dr. Golipour had the executive remained employed with AVROBIO until the earliest of 12 months following the date of termination, based on the costs of coverage and benefit elections in effect as of March 15, 2024. For Dr. Ridha, this amount represents 12 months of benefits allowance, which would include medical, dental, vision, and leisure travel insurance benefits. Such amounts are double-trigger payments.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(4)</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Due to his separation with AVROBIO, effective as of May 1, 2023, Mr. MacKay is ineligible for severance benefits in connection with the merger.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(5)</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the Cash and Perquisites/Benefits columns were converted from GBP to USD using the exchange rate as of February 1, 2024 (1 GBP = 1.2745 USD).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AVROBIO’s charter and bylaws, AVROBIO has entered into indemnification agreements with each of its directors and officers. These agreements provide for the indemnification of AVROBIO’s directors and executive officers for all reasonable expenses and liabilities incurred in connection with any action or proceeding brought against them by reason of the fact that they are or were agents of AVROBIO. AVROBIO believes that these charter and bylaw provisions and indemnification agreements are necessary to attract and retain qualified persons as directors and officers. </w:t>
      </w:r>
    </w:p>
    <w:p>
      <w:pPr>
        <w:pStyle w:val="TextBody"/>
        <w:bidi w:val="0"/>
        <w:spacing w:before="360" w:after="0"/>
        <w:jc w:val="left"/>
        <w:rPr>
          <w:rFonts w:ascii="Times New Roman" w:hAnsi="Times New Roman"/>
          <w:b/>
          <w:sz w:val="20"/>
        </w:rPr>
      </w:pPr>
      <w:bookmarkStart w:id="52" w:name="toc770053_49a"/>
      <w:bookmarkEnd w:id="52"/>
      <w:r>
        <w:rPr>
          <w:rFonts w:ascii="Times New Roman" w:hAnsi="Times New Roman"/>
          <w:b/>
          <w:sz w:val="20"/>
        </w:rPr>
        <w:t xml:space="preserve">Interests of Tectonic’s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Tectonic Board with respect to approving the merger, stockholders should be aware that Tectonic’s directors and executive officers have interests in the merger that are different from, or in addition to, the interests of Tectonic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Tectonic Board was aware of these potential conflicts of interest and considered them, among other matters, in reaching its decision to approve the Merger Agreement and the merger, and to recommend that the Tectonic stockholders approve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Certain of Tectonic’s directors participated, or are affiliated with entities that participated, in the private financings, including Timothy A. Springer, Andrew Kruse, Stefan Vitorovic and Terrance McGuire.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December 31, 2023, Tectonic’s current non-employee directors and executive officers beneficially owned, in the aggregate approximately 90.5% of the outstanding shares of Tectonic capital stock, which for purposes of this subsection excludes any Tectonic shares issuable upon exercise or settlement of Tectonic stock options held by such individual. Each of Tectonic’s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Tectonic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Tectonic common stock that is outstanding and unexercised immediately prior to the effective time under the Tectonic Equity Incentive Plan and that, following assumption by AVROBIO at the effective time, whether or not vested, will be converted into an option to purchase shares of AVROBIO common stock. AVROBIO will assume the Tectonic Equity Incentive Plan, as amended, and each such outstanding option to purchase shares of Tectonic common stock in accordance with the terms (as in effect as of the date of the Merger Agreement) of the Tectonic Equity Incentive Plan and the terms of the stock option agreement by which such option to purchase shares of Tectonic common stock is evidenced.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Alise Reicin, Tectonic’s Chief Executive Officer and a member of the Tectonic Board, held stock options granted pursuant to the Tectonic Equity Incentive Plan to purchase 416,304 shares of Tectonic’s common stock, of which 107,190 options have been exercised, and 20,468 shares of Tectonic Common Stock issued upon such exercises remain subject to vesting. Marcella K. Ruddy, Tectonic’s Chief Medical Officer, held stock options granted pursuant to the Tectonic Equity Incentive Plan to purchase 177,233 shares of Tectonic’s common stock. Christian Cortis, Tectonic’s Chief Operating Officer and Chief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Officer, held stock options granted pursuant to the Tectonic Equity Incentive Plan to purchase 336,359 shares of Tectonic’s common stock. Praveen Tipirneni, a member of the Tectonic Board, held stock options granted pursuant to the Tectonic Equity Incentive Plan to purchase 22,765 shares of Tectonic’s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Management Following the Merger </w:t>
      </w:r>
    </w:p>
    <w:p>
      <w:pPr>
        <w:pStyle w:val="TextBody"/>
        <w:bidi w:val="0"/>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427 of this proxy statement/prospectus certain of Tectonic’s directors and executive officers are expected to become the directors and executive officers of the combined company upon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Tectonic directors and officers under the Merger Agreement, please see the section titled “</w:t>
      </w:r>
      <w:r>
        <w:rPr>
          <w:rFonts w:ascii="Times New Roman" w:hAnsi="Times New Roman"/>
          <w:i/>
          <w:sz w:val="20"/>
        </w:rPr>
        <w:t>The Merger Agreement—Indemnification and Insurance for Directors and Officers</w:t>
      </w:r>
      <w:r>
        <w:rPr>
          <w:rFonts w:ascii="Times New Roman" w:hAnsi="Times New Roman"/>
          <w:sz w:val="20"/>
        </w:rPr>
        <w:t xml:space="preserve">” beginning on page 254 of this proxy statement/prospectus. </w:t>
      </w:r>
    </w:p>
    <w:p>
      <w:pPr>
        <w:pStyle w:val="TextBody"/>
        <w:bidi w:val="0"/>
        <w:spacing w:before="360" w:after="0"/>
        <w:jc w:val="left"/>
        <w:rPr>
          <w:rFonts w:ascii="Times New Roman" w:hAnsi="Times New Roman"/>
          <w:b/>
          <w:sz w:val="20"/>
        </w:rPr>
      </w:pPr>
      <w:bookmarkStart w:id="53" w:name="toc770053_50"/>
      <w:bookmarkEnd w:id="53"/>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Delaware law, at the completion of the merger, Merger Sub, a wholly owned subsidiary of AVROBIO formed by AVROBIO in connection with the merger, will merge with and into Tectonic, with Tectonic surviving as a wholly owned subsidiary of AVROBIO. </w:t>
      </w:r>
    </w:p>
    <w:p>
      <w:pPr>
        <w:pStyle w:val="TextBody"/>
        <w:bidi w:val="0"/>
        <w:spacing w:before="360" w:after="0"/>
        <w:jc w:val="left"/>
        <w:rPr>
          <w:rFonts w:ascii="Times New Roman" w:hAnsi="Times New Roman"/>
          <w:b/>
          <w:sz w:val="20"/>
        </w:rPr>
      </w:pPr>
      <w:bookmarkStart w:id="54" w:name="toc770053_51"/>
      <w:bookmarkEnd w:id="54"/>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At the effective time, upon the terms and subject to the conditions set forth in the Merger Agreement, each outstanding share of Tectonic common stock (including shares of Tectonic common stock issued upon conversion of Tectonic preferred stock as well as the private financing shares and the Company SAFEs) (excluding shares to be canceled pursuant to the Merger Agreement and excluding dissenting shares) will be automatically converted solely into the right to receive a number of shares of AVROBIO common stock equal to the exchange ratio described in more detail in the sections titled “</w:t>
      </w:r>
      <w:r>
        <w:rPr>
          <w:rFonts w:ascii="Times New Roman" w:hAnsi="Times New Roman"/>
          <w:i/>
          <w:sz w:val="20"/>
        </w:rPr>
        <w:t>The Merger Agreement—Merger 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xml:space="preserve">” beginning on pages 239 and 240, respectively,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AVROBIO common stock will be issued in connection with the merger, and no certificates or scrip for any such fractional shares will be issued. Any fractional shares of AVROBIO common stock resulting from the conversion of shares of Tectonic common stock (including shares of Tectonic common stock issued upon conversion of Tectonic preferred stock as well as the private financing shares and the Company SAFEs) into the right to receive a number of AVROBIO common stock equal to the exchange ratio or from the settlement of Tectonic options pursuant to the Merger Agreement (after aggregating all fractional shares of AVROBIO common stock issuable to such holder) will be rounded to the nearest whole share of AVROBIO common stock, with no cash being paid for any fractional share of AVROBIO common stock eliminated by such rounding. </w:t>
      </w:r>
    </w:p>
    <w:p>
      <w:pPr>
        <w:pStyle w:val="TextBody"/>
        <w:bidi w:val="0"/>
        <w:spacing w:before="360" w:after="0"/>
        <w:jc w:val="left"/>
        <w:rPr>
          <w:rFonts w:ascii="Times New Roman" w:hAnsi="Times New Roman"/>
          <w:b/>
          <w:sz w:val="20"/>
        </w:rPr>
      </w:pPr>
      <w:bookmarkStart w:id="55" w:name="toc770053_52"/>
      <w:bookmarkEnd w:id="55"/>
      <w:r>
        <w:rPr>
          <w:rFonts w:ascii="Times New Roman" w:hAnsi="Times New Roman"/>
          <w:b/>
          <w:sz w:val="20"/>
        </w:rPr>
        <w:t xml:space="preserve">Calculation of AVROBIO’s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AVROBIO’s “net cash” means, as of the cash determination time (which is as of 11:59 p.m. Eastern Time on the last business day prior to the anticipated closing date)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cash and cash equivalents and marketable securities as of immediately prior to the closing and determined in accordance with GAAP, in a manner consistent with the manner in which such items were historically determined and in accordance with AVROBIO’s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bidi w:val="0"/>
        <w:jc w:val="left"/>
        <w:rPr/>
      </w:pPr>
      <w:r>
        <w:rPr/>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plus: </w:t>
      </w:r>
    </w:p>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AVROBIO’s prepaid expenses and deposits of AVROBIO and its subsidiaries;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sum of certain cash payments actually required to be made by AVROBIO under its contractual obligations to the extent unpaid as of immediately prior to closing;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unpaid liabilities as of the date of closing required to be set forth on a balance sheet calculated in accordance with GAAP, in each case determined in accordance with GAAP and, to the extent in accordance with GAAP, in a manner consistent with the manner in which such items were historically determined and in accordance with AVROBIO’s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AVROBIO’s property, liabilities for taxes relating to the disposition of AVROBIO’s pre-closing assets, and any guarantees relating to each of the foregoing);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transaction expenses to the extent unpaid as of the closing;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unpaid cash cost of change in control payments, severance payments, bonus payments, retention or similar payments payable to AVROBIO’s employees (whether “single” or “double” trigger) (including, without limitation, (a) a reasonable estimate of payment or reimbursement by AVROBIO for continued coverage under any employee benefit plan in existence immediately prior to the closing (excluding any such plan contemplated by the Incentive Plan Proposal and the ESPP Proposal) and (b) including the employer portion of any employment, payroll, or similar taxes with respect to all such compensation);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related to AVROBIO or any of its subsidiaries’ payment obligations pursuant to any real estate leases;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premium (a) associated with obtaining a “tail policy” on AVROBIO’s existing directors’ and officers’ liability insurance policy and (b) the clinical trial liability insurance tail policy;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taxes of AVROBIO and its subsidiaries for tax periods (or portions thereof) ending on or before the closing and which are accrued in accordance with GAAP as of immediately prior to the closing (unless otherwise required by law);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unpaid costs and expenses (including a reasonable estimate of any taxes) relating to the winding down of any portion of AVROBIO’s pre-closing business, which is either not to be held for sale after the date of closing or subject to the terms of the CVR Agreement;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bidi w:val="0"/>
        <w:jc w:val="left"/>
        <w:rPr/>
      </w:pPr>
      <w:r>
        <w:rPr/>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withholding and other taxes payable in connection with the distribution of any CVRs to any former AVROBIO stockholder;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amounts paid prior to or actually incurred as of, the closing not otherwise already reducing cash and cash equivalents, by AVROBIO as a result of any litigation against AVROBIO and/or its directors relating to the Merger Agreement or the transactions contemplated therein;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plus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amounts of the transaction expenses payable by Tectonic pursuant to the Merger Agreement that are paid by AVROBIO or its subsidiaries prior to the closing; and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 of the IP Expense Fund (as defined in the CVR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prior to the anticipated closing date, AVROBIO will deliver to Tectonic a net cash schedule setting forth, in reasonable detail, AVROBIO’s good faith estimated calculation of its net cash at the cash determination time, prepared and certified by AVROBIO’s Chief Financial Officer (or if there is no chief financial officer, the principal financial and accounting officer), and, if requested, the relevant work papers and back-up materials used or useful in preparing the net cash schedule. No later than three business days after delivery of the cash determination time (the last day of such period referred to as the response date), Tectonic will have the right to dispute any part of the net cash schedule by delivering a written notice to that effect to AVROBIO (referred to herein as a dispute notice). Any dispute notice will identify, in reasonable detail and, to the extent known, the nature and amounts of any proposed revisions to AVROBIO’s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If, on or prior to the response date, Tectonic disputes the net cash schedule, the parties shall attempt in good faith to resolve the disputed items and negotiate an agreed-upon determination of net cash. If the parties are unable to negotiate an agreed-upon determination of net cash or any component thereof within three days after the delivery of Tectonic’s dispute notice, any remaining disagreements will be referred to an independent auditor of recognized national standing mutually agreed upon by AVROBIO and Tectonic. The determination of the amount of net cash made by such auditor shall be final and binding on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AVROBIO’s net cash balance is subject to numerous factors, some of which are outside of AVROBIO’s control. The actual amount of net cash will depend significantly on the timing of the closing. In addition, the closing could be delayed if AVROBIO and Tectonic are not able to agree upon the amount of AVROBIO’s net cash as of the cash determination time. </w:t>
      </w:r>
    </w:p>
    <w:p>
      <w:pPr>
        <w:pStyle w:val="TextBody"/>
        <w:bidi w:val="0"/>
        <w:spacing w:before="360" w:after="0"/>
        <w:jc w:val="left"/>
        <w:rPr>
          <w:rFonts w:ascii="Times New Roman" w:hAnsi="Times New Roman"/>
          <w:b/>
          <w:sz w:val="20"/>
        </w:rPr>
      </w:pPr>
      <w:bookmarkStart w:id="56" w:name="toc770053_53"/>
      <w:bookmarkEnd w:id="56"/>
      <w:r>
        <w:rPr>
          <w:rFonts w:ascii="Times New Roman" w:hAnsi="Times New Roman"/>
          <w:b/>
          <w:sz w:val="20"/>
        </w:rPr>
        <w:t xml:space="preserve">Procedures for Exchanging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AVROBIO and Tectonic will select an exchange agent and, at the effective time, AVROBIO will deposit with the exchange agent evidence of book-entry shares representing the shares of AVROBIO common stock issuable pursuant to the terms of the Merger Agreement in exchange for shares of Tectonic common stock (including shares of Tectonic common stock issued upon conversion of Tectonic preferred stock as well as the private financing shares and the Company SAFEs) (excluding shares to be canceled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mail to each record holder of Tectonic common stock (including shares of Tectonic common stock issued upon conversion of Tectonic preferred stock as well as the private financing shares and the Company SAFEs) (excluding shares to be canceled pursuant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and excluding dissenting shares) (i) a letter of transmittal and (ii) instructions for surrendering the record holder’s stock certificates in exchange for the merger consideration.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AVROBIO, the record holder of such stock certificates or book-entry shares, as applicable, will be entitled to receive in exchange therefor book-entry shares representing the number of whole shares of AVROBIO common stock issuable to such holder pursuant to the Merger Agreement. The surrendered certificates representing shares of Tectonic common stock or Tectonic preferred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representing Tectonic common stock or Tectonic preferred stock that has not been surrendered will represent only the right to receive shares of AVROBIO common stock issuable pursuant to the Merger Agreement to which the holder of any such certificate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TECTONIC COMMON STOCK OR TECTONIC PREFERRED STOCK SHOULD NOT SEND IN THEIR TECTONIC STOCK CERTIFICATES UNTIL THEY RECEIVE A LETTER OF TRANSMITTAL FROM THE EXCHANGE AGENT WITH INSTRUCTIONS FOR THE SURRENDER OF TECTONIC STOCK CERTIFICATES. </w:t>
      </w:r>
    </w:p>
    <w:p>
      <w:pPr>
        <w:pStyle w:val="TextBody"/>
        <w:bidi w:val="0"/>
        <w:spacing w:before="360" w:after="0"/>
        <w:jc w:val="left"/>
        <w:rPr>
          <w:rFonts w:ascii="Times New Roman" w:hAnsi="Times New Roman"/>
          <w:b/>
          <w:sz w:val="20"/>
        </w:rPr>
      </w:pPr>
      <w:bookmarkStart w:id="57" w:name="toc770053_54"/>
      <w:bookmarkEnd w:id="57"/>
      <w:r>
        <w:rPr>
          <w:rFonts w:ascii="Times New Roman" w:hAnsi="Times New Roman"/>
          <w:b/>
          <w:sz w:val="20"/>
        </w:rPr>
        <w:t xml:space="preserve">Effective Time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Tectonic stockholders and the approval by the AVROBIO stockholders of the issuance of AVROBIO common stock and the other transactions proposed under the Merger Agreement, other than those conditions that by their nature are to be satisfied at the closing. The merger will become effective upon the filing of a certificate of merger with the Secretary of State of the State of Delaware or at such later time as is agreed by AVROBIO and Tectonic and specified in the certificate of merger. Neither AVROBIO nor Tectonic can predict the exact timing of the consummation of the merger. </w:t>
      </w:r>
    </w:p>
    <w:p>
      <w:pPr>
        <w:pStyle w:val="TextBody"/>
        <w:bidi w:val="0"/>
        <w:spacing w:before="360" w:after="0"/>
        <w:jc w:val="left"/>
        <w:rPr>
          <w:rFonts w:ascii="Times New Roman" w:hAnsi="Times New Roman"/>
          <w:b/>
          <w:sz w:val="20"/>
        </w:rPr>
      </w:pPr>
      <w:bookmarkStart w:id="58" w:name="toc770053_55"/>
      <w:bookmarkEnd w:id="58"/>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AVROBIO must comply with applicable federal and state securities laws and the rules and regulations of Nasdaq in connection with the issuance of shares of AVROBIO common stock to Tectonic stockholders in connection with the transactions contemplated by the Merger Agreement and the filing of this proxy statement/prospectus with the SEC. AVROBIO does not intend to seek any regulatory approval from antitrust authorities to consummate the transactions. </w:t>
      </w:r>
    </w:p>
    <w:p>
      <w:pPr>
        <w:pStyle w:val="TextBody"/>
        <w:bidi w:val="0"/>
        <w:spacing w:before="360" w:after="0"/>
        <w:jc w:val="left"/>
        <w:rPr>
          <w:rFonts w:ascii="Times New Roman" w:hAnsi="Times New Roman"/>
          <w:b/>
          <w:sz w:val="20"/>
        </w:rPr>
      </w:pPr>
      <w:bookmarkStart w:id="59" w:name="toc770053_56"/>
      <w:bookmarkEnd w:id="59"/>
      <w:r>
        <w:rPr>
          <w:rFonts w:ascii="Times New Roman" w:hAnsi="Times New Roman"/>
          <w:b/>
          <w:sz w:val="20"/>
        </w:rPr>
        <w:t xml:space="preserve">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for certain U.S. Holders (as defined below) of Tectonic common stock who exchange shares of Tectonic common stock for shares of AVROBIO common stock pursuant to the merger. This section applies only to persons that hold their Tectonic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without limitation: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in individual retirement accounts or other tax-deferred accounts;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Tectonic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Tectonic common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Tectonic as part of a straddle, constructive sale, hedging, conversion or other integrated or similar transaction;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Tectonic common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Tectonic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In addition, this discussion does not address (i) the tax consequences of transactions effectuated before, after or at the same time as the merger, whether or not they are in connection with the merger, including, without limitation, transactions in which shares of Tectonic common stock are acquired or disposed of other than in exchange for shares of AVROBIO common stock in the merger; (ii) the tax consequences to holders of preferred stock, options, warrants, RSUs, SAFEs or other equity securities or (iii) the tax consequences of the ownership of shares of AVROBIO common stock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Tectonic common stock, the tax treatment of such partnership and any person treated as a partner of such partnership will generally depend on the status and activities of the partner and the activities of the partnership. Partnerships holding any Tectonic common stock and persons that are treated as partners of such partnerships should consult their tax advisors as to the particular U.S. federal income tax consequences of the merger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Characterization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In reliance on the representation letters of AVROBIO and Tectonic that will be delivered to each of Goodwin and Cooley, and subject to the assumptions, qualifications and limitations described herein and in the opinions included as Exhibit 8.1 and Exhibit 8.2 hereto, each of Goodwin, as counsel to AVROBIO, and Cooley, as counsel to Tectonic, is of the opinion that the merger will qualify as a “reorganization” within the meaning of Section 368(a) of the Code. It is not, however, a condition to AVROBIO’s obligation or Tectonic’s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complete the merger that the merger so qualifies. Additionally, the opinions described above are based on the law in effect on the dates of the opinions and assume that there will be no change in applicable law between such date and the time of the merger. If any of the assumptions, representations or covenants on which any opinion is based is or becomes incorrect, incomplete, inaccurate or is otherwise not complied with, the validity of the opinions described above may be adversely affected and the tax consequences of the merger could differ from those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tax opinions referenced above, AVROBIO and Tectonic intend for the merger to qualify as a “reorganization” within the meaning of Section 368(a) of the Code. In addition, each of AVROBIO and Tectonic agrees in the Merger Agreement to use reasonable best efforts (and each shall cause its Affiliates) to cause the merger to qualify as a reorganization, including, under certain circumstances, changing the structure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Neither AVROBIO, Tectonic, nor Merger Sub intends to obtain a ruling from the IRS on the tax consequences of the merger, including any ruling regarding qualification of the merger as a reorganization within the meaning of Section 368(a) of the Code. An opinion of counsel represents counsel’s legal judgment but is not binding on the IRS or any court. Accordingly, there can be no assurance that the IRS will not assert that the merger fails to qualify as a reorganization (or otherwise disagree with the conclusions set forth in such opinions) or that a court would not sustain such a challenge. If the IRS were to successfully challenge the “reorganization” status of the merger, the tax consequences would vary significantly from those set forth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remainder of this discussion assumes that the merger will be treated as a “reorganization” within the meaning of Section 368(a)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a “U.S. Holder” is a beneficial owner of Tectonic common stock that is for U.S. federal income tax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“U.S. persons” (within the meaning of Section 7701(a)(30) of the Code) have the authority to control all substantial decisions of the trust or (2) it has a valid election in place to be treated as a U.S. person for U.S. federal income tax purposes.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Effects of the Merger to U.S. Holders of Tectonic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Assuming, consistent with the tax opinions described above, that the merger qualifies as a “reorganization” within the meaning of Section 368(a) of the Code, U.S. Holders of Tectonic common stock who exchange all of their shares of Tectonic common stock for AVROBIO common stock generally will not recognize any gain or loss on such exchange for U.S. federal income tax purposes. In such case, each U.S. Holder’s aggregate tax basis in the shares of AVROBIO common stock received in the merger will equal such U.S. Holder’s aggregate adjusted tax basis in the shares of Tectonic common stock surrendered in the merger. The holding period of the shares of AVROBIO common stock received by a U.S. Holder in the merger will include such U.S. Holder’s holding period for the shares of Tectonic common stock surrendered in the merger. If a U.S. Holder holds different blocks of Tectonic common stock (generally, Tectonic common stock acquired on different dates or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different prices), such U.S. Holder should consult its tax advisor with respect to the determination of the tax bases and/or holding periods of the shares of AVROBIO common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tax opinions described above, if the merger does not qualify as a “reorganization” within the meaning of Section 368(a) of the Code, a U.S. Holder of Tectonic common stock who exchanges shares of Tectonic common stock for AVROBIO common stock generally would be required to recognize gain or loss equal to the difference, if any, between (i) the fair market value as of the effective time of the AVROBIO common stock received by such U.S. Holder and (ii) such U.S. Holder’s adjusted tax basis in the Tectonic common stock exchanged therefor. Such gain or loss would be capital gain or loss and generally would be long-term capital gain or loss if the U.S. Holder’s holding period for such shares of Tectonic common stock exceeds one year. Net short-term capital gain generally is taxed at regular ordinary income tax rates. Long-term capital gain recognized by non-corporate U.S. Holders may be taxed at reduced rates. The deductibility of capital losses is subject to limitations. In addition, if the merger does not qualify as a “reorganization” within the meaning of Section 368(a) of the Code, a U.S. Holder would have an aggregate tax basis in any AVROBIO common stock received in the merger that is equal to the fair market value of such AVROBIO common stock as of the effective time, and the holding period of such AVROBIO common stock would begin on the day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Assuming, consistent with the tax opinions described above, that the merger qualifies as a “reorganization” within the meaning of Section 368(a) of the Code, each U.S. Holder that is a “significant transferor” must include a statement on or with such transferor’s U.S. federal income tax return for the taxable year of the merger. For this purpose, a significant transferor is generally a person that transferred property to a corporation and received stock of the transferee corporation if, immediately after the exchange, such person (i) owns at least five percent (5%) (by vote or value) of the total outstanding stock of the transferee corporation if the stock owned by such person is publicly traded, or (ii) owned at least one percent (1%) (by vote or value) of the total outstanding stock of the transferee corporation if the stock owned by such person is not publicly traded. It is expected that the AVROBIO common stock will be publicly traded for this purpose.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MERGER IS FOR GENERAL INFORMATION PURPOSES ONLY AND IS NOT INTENDED TO BE, AND SHOULD NOT BE CONSTRUED AS, TAX ADVICE. DETERMINING THE ACTUAL TAX CONSEQUENCES OF THE MERGER TO YOU MAY BE COMPLEX AND WILL DEPEND ON YOUR SPECIFIC SITUATION AND ON FACTORS THAT ARE NOT WITHIN AVROBIO’S KNOWLEDGE OR CONTROL. YOU SHOULD CONSULT YOUR TAX ADVISORS WITH RESPECT TO THE APPLICATION OF U.S. FEDERAL INCOME TAX LAWS TO YOUR SPECIFIC SITUATION AS WELL AS ANY TAX CONSEQUENCES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bookmarkStart w:id="60" w:name="toc770053_57"/>
      <w:bookmarkEnd w:id="60"/>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AVROBIO common stock are currently listed on Nasdaq under the symbol “AVRO.” AVROBIO has agreed to use commercially reasonable efforts to cause the shares of AVROBIO common stock being issued in the merger to be approved for listing on Nasdaq at or prior to the effective time. It is a condition of the consummation of the merger that AVROBIO receive confirmation from Nasdaq that the combined company has been approved for listing on Nasdaq, but there can be no assurance such listing condition will be met or that AVROBIO will obtain such confirmation from Nasdaq by the date of the special meeting or at all. This condition is waivable but only to the extent permitted by law and only with the written waiver of each of AVROBIO, Tectonic and Merger Sub. In the event AVROBIO common stock to be issued in the merger is not approved for listing on Nasdaq, it is possible that AVROBIO, Tectonic and Merger Sub may mutually agree to waive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condition and nonetheless proceed with the completion of the merger. If such condition is waived, AVROBIO may not recirculate an updated proxy statement/prospectus or solicit a new vote of AVROBIO stockholders prior to proceeding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AVROBIO’s and Tectonic’s obligation to complete the merger is subject to the satisfaction or waiver by each of the parties, at or prior to the merger, of various conditions, including that the shares of AVROBIO common stock to be issued in the merger have been approved for listing (subject to official notice of issuance) on Nasdaq as of the closing of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If the Nasdaq listing application is accepted, AVROBIO anticipates that the common stock of the combined company will be listed on Nasdaq following the closing under the trading symbol “TECX.” In order for the Nasdaq listing application to be accepted, among other requirements, the combined company must maintain a minimum bid price of $4.00 per share over a 30-day trading period prior to listing, unless it effects a reverse stock split. </w:t>
      </w:r>
    </w:p>
    <w:p>
      <w:pPr>
        <w:pStyle w:val="TextBody"/>
        <w:bidi w:val="0"/>
        <w:spacing w:before="360" w:after="0"/>
        <w:jc w:val="left"/>
        <w:rPr>
          <w:rFonts w:ascii="Times New Roman" w:hAnsi="Times New Roman"/>
          <w:b/>
          <w:sz w:val="20"/>
        </w:rPr>
      </w:pPr>
      <w:bookmarkStart w:id="61" w:name="toc770053_58"/>
      <w:bookmarkEnd w:id="61"/>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The merger is expected to be accounted for under U.S. generally accepted accounting principles (“GAAP”) as an in-substance reverse recapitalization of AVROBIO by Tectonic. Under this method of accounting, Tectonic will be considered the accounting acquirer for financial reporting purposes. This determination is based on the expectations that, immediately following the merger: (i) Tectonic’s equity holders will own a substantial majority of the voting rights in the combined company; (ii) Tectonic’s largest stockholder will retain the largest interest in the combined company; (iii) Tectonic will designate a majority of the initial members of the board of directors of the combined company; (iv) Tectonic’s executive management team will become the management of the combined company; and (v) the combined company will be renamed Tectonic Therapeutic, Inc. and will be headquartered in Massachusetts. As a result of Tectonic being treated as the accounting acquirer, Tectonic’s assets and liabilities will be recorded at their pre-combination carrying amounts. AVROBIO’s assets and liabilities will be measured and recognized at their fair values as of the effective time, which are expected to approximate the carrying value of the acquired cash and other non-operating assets, with no goodwill or other intangible assets recorded. For periods prior to Closing, the historical financial statements of Tectonic shall become the historical financial statements of the combined company.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440 of this proxy statement/prospectus for additional information. </w:t>
      </w:r>
    </w:p>
    <w:p>
      <w:pPr>
        <w:pStyle w:val="TextBody"/>
        <w:bidi w:val="0"/>
        <w:spacing w:before="360" w:after="0"/>
        <w:jc w:val="left"/>
        <w:rPr>
          <w:rFonts w:ascii="Times New Roman" w:hAnsi="Times New Roman"/>
          <w:b/>
          <w:sz w:val="20"/>
        </w:rPr>
      </w:pPr>
      <w:bookmarkStart w:id="62" w:name="toc770053_59"/>
      <w:bookmarkEnd w:id="62"/>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AVROBIO stockholders are not entitled to appraisal rights in connection with the merger. Tectonic stockholders are entitled to appraisal rights in connection with the merger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Tectonic stockholders’ appraisal rights under Delaware law and is qualified in its entirety by reference to the text of the relevant provisions of Delaware law, which are attached as </w:t>
      </w:r>
      <w:r>
        <w:rPr>
          <w:rFonts w:ascii="Times New Roman" w:hAnsi="Times New Roman"/>
          <w:sz w:val="20"/>
          <w:u w:val="single"/>
        </w:rPr>
        <w:t>Annex K</w:t>
      </w:r>
      <w:r>
        <w:rPr>
          <w:rFonts w:ascii="Times New Roman" w:hAnsi="Times New Roman"/>
          <w:sz w:val="20"/>
        </w:rPr>
        <w:t xml:space="preserve"> in this proxy statement/prospectus. Stockholders intending to exercise appraisal rights should carefully review </w:t>
      </w:r>
      <w:r>
        <w:rPr>
          <w:rFonts w:ascii="Times New Roman" w:hAnsi="Times New Roman"/>
          <w:sz w:val="20"/>
          <w:u w:val="single"/>
        </w:rPr>
        <w:t>Annex K</w:t>
      </w:r>
      <w:r>
        <w:rPr>
          <w:rFonts w:ascii="Times New Roman" w:hAnsi="Times New Roman"/>
          <w:sz w:val="20"/>
        </w:rPr>
        <w:t xml:space="preserve">. Failure to follow precisely any of the statutory procedures set forth in </w:t>
      </w:r>
      <w:r>
        <w:rPr>
          <w:rFonts w:ascii="Times New Roman" w:hAnsi="Times New Roman"/>
          <w:sz w:val="20"/>
          <w:u w:val="single"/>
        </w:rPr>
        <w:t>Annex K</w:t>
      </w:r>
      <w:r>
        <w:rPr>
          <w:rFonts w:ascii="Times New Roman" w:hAnsi="Times New Roman"/>
          <w:sz w:val="20"/>
        </w:rPr>
        <w:t xml:space="preserve"> may result in a termination or waiver of these rights. This summary does not constitute legal or other advice, nor does it constitute a recommendation that Tectonic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merger is completed, within ten days after the effective date, Tectonic will notify its stockholders that the merger has been approved, the effective date and that appraisal rights are available to any stockholder who has not approved the merger. Holders of shares of Tectonic capital stock who desire to exercise their appraisal rights must deliver a written demand for appraisal to Tectonic within 20 days after the date of mailing of that notice, and that stockholder must not have delivered a written consent approving the merger. A demand for appraisal must reasonably inform Tectonic of the identity of the stockholder and that such stockholder intends thereby to demand appraisal of the shares of Tectonic capital stock held by such stockholder. Failure to deliver a written consent approving the merger will not in and of itself constitute a written demand for appraisal satisfying the requirements of Section 262. All demands for appraisal should be addressed to c/o Tectonic Therapeutic, Inc., 490 Arsenal Way, Suite 210, Watertown, Massachusetts 02472, and should be executed by, or on behalf of, the record holder of shares of Tectonic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TECTONIC WITHIN 20 DAYS AFTER THE DATE TECTONIC MAILS A NOTICE TO ITS STOCKHOLDERS NOTIFYING THEM THAT THE MERGER HAS BEEN APPROVED, THE EFFECTIVE DATE AND THAT APPRAISAL RIGHTS ARE AVAILABLE TO ANY STOCKHOLDER WHO HAS NOT APPROVED THE MERGER.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Tectonic capital stock as provided for in the Merger Agreement, but you will have no appraisal rights with respect to your shares of Tectonic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Tectonic capital stock must be made by, or in the name of, the registered stockholder, fully and correctly, as the stockholder’s name appears on the stockholder’s stock certificate(s). Beneficial owners who do not also hold the shares of record may not directly make appraisal demands to Tectonic.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Tectonic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Tectonic. If, following a demand for appraisal, you have withdrawn your demand for appraisal in accordance with Section 262, you will have the right to receive the merger consideration for your shares of Tectonic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120 days after the effective date,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corporation. The surviving corporation has no obligation to file a petition in the Delaware Court of Chancery in the event there are dissenting stockholders, and Tectonic,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this exclusion is a “narrow exclusion [that] does not encompass known elements of value,” but which rather applies only to the speculative elements of value arising from such accomplishment or expectation.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Weinberger,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Tectonic capital stock pursuant to the Merger Agreement. Any withdrawal of a demand for appraisal made more than 60 days after the effective time may only be made with the written approval of the surviving corporation.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3" w:name="toc770053_60"/>
      <w:bookmarkEnd w:id="63"/>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to this proxy statement/prospectus as </w:t>
      </w:r>
      <w:r>
        <w:rPr>
          <w:rFonts w:ascii="Times New Roman" w:hAnsi="Times New Roman"/>
          <w:i/>
          <w:sz w:val="20"/>
          <w:u w:val="single"/>
        </w:rPr>
        <w:t>Annex A</w:t>
      </w:r>
      <w:r>
        <w:rPr>
          <w:rFonts w:ascii="Times New Roman" w:hAnsi="Times New Roman"/>
          <w:i/>
          <w:sz w:val="20"/>
        </w:rPr>
        <w:t xml:space="preserve"> and is incorporated by reference into this proxy statement/prospectus. The Merger Agreement has been attached to this proxy statement/prospectus to provide you with information regarding its terms. It is not intended to provide any other factual information about AVROBIO, Tectonic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Merger Agreement contains representations and warranties that AVROBIO and Merger Sub, on the one hand, and Tectonic,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AVROBIO and Tectonic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AVROBIO or Tectonic, because they were made as of specific dates, may be intended merely as a risk allocation mechanism between AVROBIO, Merger Sub and Tectonic and are modified by the disclosure schedules. </w:t>
      </w:r>
    </w:p>
    <w:p>
      <w:pPr>
        <w:pStyle w:val="TextBody"/>
        <w:bidi w:val="0"/>
        <w:spacing w:before="360" w:after="0"/>
        <w:jc w:val="left"/>
        <w:rPr>
          <w:rFonts w:ascii="Times New Roman" w:hAnsi="Times New Roman"/>
          <w:b/>
          <w:sz w:val="20"/>
        </w:rPr>
      </w:pPr>
      <w:bookmarkStart w:id="64" w:name="toc770053_61"/>
      <w:bookmarkEnd w:id="64"/>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Delaware law, at the completion of the merger, Merger Sub, a wholly owned subsidiary of AVROBIO formed by AVROBIO in connection with the merger, will merge with and into Tectonic, with Tectonic surviving as a wholly owned subsidiary of AVROBIO. </w:t>
      </w:r>
    </w:p>
    <w:p>
      <w:pPr>
        <w:pStyle w:val="TextBody"/>
        <w:bidi w:val="0"/>
        <w:spacing w:before="360" w:after="0"/>
        <w:jc w:val="left"/>
        <w:rPr>
          <w:rFonts w:ascii="Times New Roman" w:hAnsi="Times New Roman"/>
          <w:b/>
          <w:sz w:val="20"/>
        </w:rPr>
      </w:pPr>
      <w:bookmarkStart w:id="65" w:name="toc770053_62"/>
      <w:bookmarkEnd w:id="65"/>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Tectonic stockholders and the approval by the AVROBIO stockholders of the issuance of AVROBIO common stock and the other transactions proposed under the Merger Agreement, other than those conditions that by their nature are to be satisfied at the closing. The merger will become effective upon the filing of a certificate of merger with the Secretary of State of the State of Delaware or at such later time as is agreed by AVROBIO and Tectonic and specified in the certificate of merger. Neither AVROBIO nor Tectonic can predict the exact timing of the consummation of the merger. </w:t>
      </w:r>
    </w:p>
    <w:p>
      <w:pPr>
        <w:pStyle w:val="TextBody"/>
        <w:bidi w:val="0"/>
        <w:spacing w:before="360" w:after="0"/>
        <w:jc w:val="left"/>
        <w:rPr>
          <w:rFonts w:ascii="Times New Roman" w:hAnsi="Times New Roman"/>
          <w:b/>
          <w:sz w:val="20"/>
        </w:rPr>
      </w:pPr>
      <w:bookmarkStart w:id="66" w:name="toc770053_63"/>
      <w:bookmarkEnd w:id="66"/>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each outstanding share of Tectonic common stock (including shares of Tectonic common stock issued upon conversion of Tectonic preferred stock as well as the private financing shares and the Company SAFEs) (excluding shares to be canceled pursuant to the Merger Agreement and excluding dissenting shares) will be automatically converted solely into the right to receive a number of shares of AVROBIO common stock equal to the product of the exchange ratio (described in more detail below) multiplied by each share of Tectonic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fractional shares of AVROBIO common stock will be issued in connection with the merger, and no certificates or scrip for any such fractional shares will be issued. Any fractional shares of AVROBIO common stock resulting from the conversion of shares of Tectonic common stock (including shares of Tectonic common stock issued upon conversion of Tectonic preferred stock as well as the private financing shares and the Company SAFEs) shall be issued as follows: (i) one share of AVROBIO common stock if the aggregate amount of fractional shares of AVROBIO common stock of any individual holder of Tectonic capital stock is entitled to receive is equal to or exceeds 0.50 or (ii) no shares of AVROBIO common stock if the aggregate amount of fractional shares of AVROBIO common stock of any individual holder of Tectonic capital stock is entitled to receive is less than 0.50, with no cash being paid for any fractional share eliminated by such rounding. </w:t>
      </w:r>
    </w:p>
    <w:p>
      <w:pPr>
        <w:pStyle w:val="TextBody"/>
        <w:bidi w:val="0"/>
        <w:spacing w:before="360" w:after="0"/>
        <w:jc w:val="left"/>
        <w:rPr>
          <w:rFonts w:ascii="Times New Roman" w:hAnsi="Times New Roman"/>
          <w:b/>
          <w:sz w:val="20"/>
        </w:rPr>
      </w:pPr>
      <w:bookmarkStart w:id="67" w:name="toc770053_64"/>
      <w:bookmarkEnd w:id="67"/>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AVROBIO and Tectonic securityholders a percentage of the combined company. Based on AVROBIO’s and Tectonic’s capitalization as of January 30, 2024, the date the Merger Agreement was executed, and certain other assumptions, the exchange ratio is estimated to be equal to approximately 0.74458326 shares of AVROBIO common stock. This estimate is subject to adjustment prior to the closing for net cash at the cash determination time (and as a result, AVROBIO securityholders could own more, and Tectonic securityholders could own less, or vice versa, of the combined company). AVROBIO management currently anticipates that AVROBIO’s net cash as of closing will be approximately $65.0 million to $75.0 million and therefore the exchange ratio is currently estimated to be approximately 0.74458326 (assuming (i) $65.0 million in AVROBIO’s net cash as of closing, (ii) a one-for-ten reverse stock split, and (iii) the private financings in Tectonic of $130.7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as part of the private financings, certain investors have agreed to purchase shares of Tectonic common stock at a purchase price equal to $12.39908 per share, subject to and immediately prior to the closing, pursuant to the terms of the Subscription Agreement and certain investors have consummated or will consummate certain additional purchases of Tectonic common stock pursuant to the conversion of the Company SAFEs entered into by such investors and Tectonic, for an aggregate purchase price between the Subscription Agreement and the Company SAFEs of approximately $130.7 million.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and certain other assumptions, immediately following the completion of the merger and after giving effect to the private financings, AVROBIO securityholders would own approximately 22.3% of the capital stock of the combined company, former Tectonic securityholders are expected to own approximately 39.8% of the capital stock of the combined company and purchasers of AVROBIO common stock in the private financings are expected to represent approximately 38.0% of the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$65.0 million. There can be no assurances any of these assumptions will be accurate at closing when the final exchange ratio is determined. For more information on the private financings, please see the section titled “</w:t>
      </w:r>
      <w:r>
        <w:rPr>
          <w:rFonts w:ascii="Times New Roman" w:hAnsi="Times New Roman"/>
          <w:i/>
          <w:sz w:val="20"/>
        </w:rPr>
        <w:t>Agreements Related to the Merger—Subscription Agreement</w:t>
      </w:r>
      <w:r>
        <w:rPr>
          <w:rFonts w:ascii="Times New Roman" w:hAnsi="Times New Roman"/>
          <w:sz w:val="20"/>
        </w:rPr>
        <w:t xml:space="preserve">” beginning on page 264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eight decimal places) by dividing the Tectonic merger shares by the Tectonic outstanding shares, in which: </w:t>
      </w:r>
    </w:p>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pPr>
            <w:r>
              <w:rPr/>
              <w:t>“</w:t>
            </w:r>
            <w:r>
              <w:rPr>
                <w:rFonts w:ascii="Times New Roman" w:hAnsi="Times New Roman"/>
                <w:sz w:val="20"/>
              </w:rPr>
              <w:t xml:space="preserve">aggregate valuation” means the sum of (i) the Tectonic valuation plus (ii) the AVROBIO valuation.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AVROBIO allocation percentage” means the quotient (expressed as a percentage and rounded to eight decimal places) determined by dividing (i) the AVROBIO valuation by (ii) the aggregate valuation.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pPr>
            <w:r>
              <w:rPr/>
              <w:t>“</w:t>
            </w:r>
            <w:r>
              <w:rPr>
                <w:rFonts w:ascii="Times New Roman" w:hAnsi="Times New Roman"/>
                <w:sz w:val="20"/>
              </w:rPr>
              <w:t xml:space="preserve">AVROBIO equity value” means $77,500,000.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AVROBIO outstanding shares” means, subject to the terms of the Merger Agreement (including, without limitation, the effects of the reverse stock split), the total number of shares of AVROBIO common stock outstanding immediately prior to the effective time, expressed on a fully-diluted and as-converted-to-AVROBIO common stock basis, and assuming, without limitation or duplication, (i) the issuance of shares of AVROBIO common stock in respect of all AVROBIO options, warrants or other rights to receive shares, whether conditional or unconditional, that will be outstanding as of immediately prior to the effective time, calculated on a treasury stock method basis, (ii) the settlement in shares of AVROBIO common stock of AVROBIO RSUs outstanding as of immediately prior to the effective time on a net settlement basis as provided in the Merger Agreement, and (iii) the exclusion of shares of AVROBIO common stock held immediately prior to the effective time by AVROBIO as treasury stock or in connection with any unallocated equity pool or by Tectonic, any of its subsidiaries or any subsidiary of AVROBIO. For clarity, none of the out-of-the-money AVROBIO stock options or performance based AVROBIO RSU for which the performance condition has not been met as of the effective time and no shares reserved for issuance under the 2024 Plan and the 2024 ESPP shall be included in the total number of shares of AVROBIO common stock outstanding for purposes of determining the AVROBIO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AVROBIO valuation” means (i) the AVROBIO equity value minus (ii) the lower AVROBIO net cash amount (if any) plus (iii) the Upper AVROBIO net cash amount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Tectonic allocation percentage” means the quotient (expressed as a percentage and rounded to eight decimal places) determined by subtracting (i) the AVROBIO allocation percentage from (ii) 100 percent.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Tectonic merger shares” means, subject to the terms of the Merger Agreement, the product determined by multiplying the (i) post-closing AVROBIO shares by (ii) the Tectonic allocation percentage.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pPr>
            <w:r>
              <w:rPr/>
              <w:t>“</w:t>
            </w:r>
            <w:r>
              <w:rPr>
                <w:rFonts w:ascii="Times New Roman" w:hAnsi="Times New Roman"/>
                <w:sz w:val="20"/>
              </w:rPr>
              <w:t xml:space="preserve">Tectonic equity value” means $140,000,000.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Tectonic outstanding shares” means, subject to the terms of the Merger Agreement, the total number of shares of Tectonic common stock outstanding immediately prior to the effective time, expressed on a fully-diluted and as-converted-to-Tectonic common stock basis (including, without limitation, after giving effect to the conversion of the Company SAFEs and the Tectonic preferred stock), and assuming, without limitation or duplication, (i) the inclusion of the private financing shares, (ii) the issuance of shares of Tectonic common stock in respect of all Tectonic options or other rights to receive shares, whether conditional or unconditional, that will be outstanding as of immediately prior to the effective time, calculated on a treasury stock method basis, and (iii) the exclusion of shares of Tectonic common stock held immediately prior to the effective time by Tectonic as treasury stock or in connection with any unallocated equity pool or by AVROBIO, any of its subsidiaries of any subsidiary of Tectonic.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pPr>
            <w:r>
              <w:rPr/>
              <w:t>“</w:t>
            </w:r>
            <w:r>
              <w:rPr>
                <w:rFonts w:ascii="Times New Roman" w:hAnsi="Times New Roman"/>
                <w:sz w:val="20"/>
              </w:rPr>
              <w:t xml:space="preserve">Tectonic valuation” means (i) the Tectonic equity value plus (ii) the actual proceeds from the private financings.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lower AVROBIO net cash amount” means, if AVROBIO’s net cash is less than the lower target AVROBIO net cash, then the amount, if any, that the target AVROBIO net cash exceed the AVROBIO net cash at closing.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pPr>
            <w:r>
              <w:rPr/>
              <w:t>“</w:t>
            </w:r>
            <w:r>
              <w:rPr>
                <w:rFonts w:ascii="Times New Roman" w:hAnsi="Times New Roman"/>
                <w:sz w:val="20"/>
              </w:rPr>
              <w:t xml:space="preserve">lower target AVROBIO net cash” means $64,500,000.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post-closing AVROBIO shares” means the quotient determined by dividing (i) the AVROBIO outstanding shares by (ii) the AVROBIO allocation percentage.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bidi w:val="0"/>
        <w:jc w:val="left"/>
        <w:rPr/>
      </w:pPr>
      <w:r>
        <w:rPr/>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pPr>
            <w:r>
              <w:rPr/>
              <w:t>“</w:t>
            </w:r>
            <w:r>
              <w:rPr>
                <w:rFonts w:ascii="Times New Roman" w:hAnsi="Times New Roman"/>
                <w:sz w:val="20"/>
              </w:rPr>
              <w:t xml:space="preserve">target AVROBIO net cash” means $65,000,000.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upper AVROBIO net cash amount” means, if AVROBIO net cash is greater than the upper target AVROBIO net cash, then the amount, if any, that the AVROBIO net cash exceeds the target AVROBIO net cash.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pPr>
            <w:r>
              <w:rPr/>
              <w:t>“</w:t>
            </w:r>
            <w:r>
              <w:rPr>
                <w:rFonts w:ascii="Times New Roman" w:hAnsi="Times New Roman"/>
                <w:sz w:val="20"/>
              </w:rPr>
              <w:t xml:space="preserve">upper target AVROBIO net cash” means $65,500,000. </w:t>
            </w:r>
          </w:p>
        </w:tc>
      </w:tr>
    </w:tbl>
    <w:p>
      <w:pPr>
        <w:pStyle w:val="TextBody"/>
        <w:bidi w:val="0"/>
        <w:spacing w:before="240" w:after="0"/>
        <w:jc w:val="left"/>
        <w:rPr>
          <w:rFonts w:ascii="Times New Roman" w:hAnsi="Times New Roman"/>
          <w:sz w:val="20"/>
        </w:rPr>
      </w:pPr>
      <w:r>
        <w:rPr>
          <w:rFonts w:ascii="Times New Roman" w:hAnsi="Times New Roman"/>
          <w:sz w:val="20"/>
        </w:rPr>
        <w:t>The estimated exchange ratio for purposes of the unaudited pro forma condensed combined financial information was derived on a fully-diluted basis as of January 29, 2024 using a stipulated value of Tectonic of approximately $140 million and of AVROBIO of approximately $77.5 million.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440 of this proxy statement/prospectus. </w:t>
      </w:r>
    </w:p>
    <w:p>
      <w:pPr>
        <w:pStyle w:val="TextBody"/>
        <w:bidi w:val="0"/>
        <w:spacing w:before="360" w:after="0"/>
        <w:jc w:val="left"/>
        <w:rPr>
          <w:rFonts w:ascii="Times New Roman" w:hAnsi="Times New Roman"/>
          <w:b/>
          <w:sz w:val="20"/>
        </w:rPr>
      </w:pPr>
      <w:bookmarkStart w:id="68" w:name="toc770053_65"/>
      <w:bookmarkEnd w:id="68"/>
      <w:r>
        <w:rPr>
          <w:rFonts w:ascii="Times New Roman" w:hAnsi="Times New Roman"/>
          <w:b/>
          <w:sz w:val="20"/>
        </w:rPr>
        <w:t xml:space="preserve">Calculation of AVROBIO’s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AVROBIO’s “net cash” means, as of the cash determination time (which is as of 11:59 p.m. Eastern Time on the last business day prior to the anticipated closing date)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cash and cash equivalents and marketable securities as of immediately prior to the closing and determined in accordance with GAAP, in a manner consistent with the manner in which such items were historically determined and in accordance with AVROBIO’s financial statements;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plus: </w:t>
      </w:r>
    </w:p>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AVROBIO’s prepaid expenses and deposits of AVROBIO and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amounts of the transaction expenses payable by Tectonic pursuant to the Merger Agreement that are paid by AVROBIO or its subsidiaries prior to the closing;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sum of certain cash payments actually required to be made by AVROBIO under its contractual obligations to the extent unpaid as of immediately prior to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unpaid liabilities as of the date of closing required to be set forth on a balance sheet calculated in accordance with GAAP, in each case determined in accordance with GAAP and, to the extent in accordance with GAAP, in a manner consistent with the manner in which such items were historically determined and in accordance with AVROBIO’s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AVROBIO’s property, liabilities for taxes relating to the disposition of AVROBIO’s pre-closing assets, and any guarantees relating to each of the foregoing);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transaction expenses to the extent unpaid as of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unpaid cash cost of change in control payments, severance payments, bonus payments, retention or similar payments payable to AVROBIO’s employees (whether “single” or “double” trigger) (including, without limitation, (a) a reasonable estimate of payment or reimbursement by AVROBIO for continued coverage under any employee benefit plan in existence immediately prior to the closing (excluding any such plan contemplated by the Incentive Plan Proposal and the ESPP Proposal) and (b) including the employer portion of any employment, payroll, or similar taxes with respect to all such compensation);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related to AVROBIO or any of its subsidiaries’ payment obligations pursuant to any real estate leases;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premium (a) associated with obtaining a “tail policy” on AVROBIO’s existing directors’ and officers’ liability insurance policy and (b) the clinical trial liability insurance tail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taxes of AVROBIO and its subsidiaries for tax periods (or portions thereof) ending on or before the closing and which are accrued in accordance with GAAP as of immediately prior to the closing (unless otherwise required by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unpaid costs and expenses (including a reasonable estimate of any taxes) relating to the winding down of AVROBIO’s pre-closing business, which is either not to be held for sale after the date of closing or subject to the terms of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withholding and other taxes payable in connection with the distribution of any CVRs to any former AVROBIO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amounts paid prior to, or actually incurred as of, the closing not otherwise already reducing cash and cash equivalents, by AVROBIO as a result of any litigation against AVROBIO and/or its directors relating to the Merger Agreement or the transactions contemplated therein; and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 of the IP Expense Fund (as defined in the CVR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prior to the anticipated closing date, AVROBIO will deliver to Tectonic a net cash schedule setting forth, in reasonable detail, AVROBIO’s good faith estimated calculation of its net cash at the cash determination time, prepared and certified by AVROBIO’s Chief Financial Officer (or if there is no chief financial officer, the principal financial and accounting officer), and, if requested, the relevant work papers and back-up materials used or useful in preparing the net cash schedule. No later than three business days after delivery of the cash determination time (the last day of such period referred to as the response date), Tectonic will have the right to dispute any part of the net cash schedule by delivering a written notice to that effect to AVROBIO (referred to herein as a dispute notice). Any dispute notice will identify, in reasonable detail and, to the extent known, the nature and amounts of any proposed revisions to AVROBIO’s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If Tectonic disputes the net cash schedule, the parties shall attempt in good faith to resolve the disputed items and negotiate an agreed-upon determination of net cash. If the parties are unable to negotiate an agreed-upon determination of net cash or any component thereof within three days after the delivery of Tectonic’s dispute notice, any remaining disagreements will be referred to an independent auditor of recognized national standing mutually agreed upon by AVROBIO and Tectonic. The determination of the amount of net cash made by such auditor shall be final and binding on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AVROBIO’s net cash balance is subject to numerous factors, some of which are outside of AVROBIO’s control. The actual amount of net cash will depend significantly on the timing of the closing. In addition, the closing could be delayed if AVROBIO and Tectonic are not able to agree upon the amount of AVROBIO’s net cash as of the cash determination time. </w:t>
      </w:r>
    </w:p>
    <w:p>
      <w:pPr>
        <w:pStyle w:val="TextBody"/>
        <w:bidi w:val="0"/>
        <w:spacing w:before="360" w:after="0"/>
        <w:jc w:val="left"/>
        <w:rPr>
          <w:rFonts w:ascii="Times New Roman" w:hAnsi="Times New Roman"/>
          <w:b/>
          <w:sz w:val="20"/>
        </w:rPr>
      </w:pPr>
      <w:bookmarkStart w:id="69" w:name="toc770053_66"/>
      <w:bookmarkEnd w:id="69"/>
      <w:r>
        <w:rPr>
          <w:rFonts w:ascii="Times New Roman" w:hAnsi="Times New Roman"/>
          <w:b/>
          <w:sz w:val="20"/>
        </w:rPr>
        <w:t xml:space="preserve">Treatment of Tectonic Options and the Tectonic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Tectonic common stock that is outstanding and unexercised immediately prior to the effective time, whether or not vested, will be assumed and converted into an option to purchase shares of AVROBIO common stock. Accordingly, from and after the effective time: (i) each outstanding Tectonic stock option assumed by AVROBIO may be exercised solely for shares of AVROBIO common stock; (ii) the number of shares of AVROBIO common stock subject to each outstanding Tectonic stock option assumed by AVROBIO will be determined by multiplying (A)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Tectonic common stock that were subject to such Tectonic stock option assumed by AVROBIO, as in effect immediately prior to the effective time, by (B) the exchange ratio, and rounding the resulting number down to the nearest whole number of shares of AVROBIO common stock; and (iii) the per share exercise price of each Tectonic stock option assumed by AVROBIO will be determined by dividing (A) the per share exercise price of such Tectonic stock option, as in effect immediately prior to the effective time, by (B) the exchange ratio and rounding the resulting exercise price up to the nearest whole cent. Each Tectonic stock option assumed by AVROBIO will otherwise continue in full force and effect and the term, exercisability, vesting schedule, acceleration rights and other terms and conditions of such Tectonic stock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AVROBIO will assume the Tectonic Equity Incentive Plan. Each Tectonic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AVROBIO common stock subsequent to the effective time. In addition, the AVROBIO Compensation Committee will succeed to the authority and responsibility of the Tectonic Board as administrator of the Tectonic Equity Incentive Plan. </w:t>
      </w:r>
    </w:p>
    <w:p>
      <w:pPr>
        <w:pStyle w:val="TextBody"/>
        <w:bidi w:val="0"/>
        <w:spacing w:before="360" w:after="0"/>
        <w:jc w:val="left"/>
        <w:rPr>
          <w:rFonts w:ascii="Times New Roman" w:hAnsi="Times New Roman"/>
          <w:b/>
          <w:sz w:val="20"/>
        </w:rPr>
      </w:pPr>
      <w:bookmarkStart w:id="70" w:name="toc770053_67"/>
      <w:bookmarkEnd w:id="70"/>
      <w:r>
        <w:rPr>
          <w:rFonts w:ascii="Times New Roman" w:hAnsi="Times New Roman"/>
          <w:b/>
          <w:sz w:val="20"/>
        </w:rPr>
        <w:t xml:space="preserve">Treatment of AVROBIO Common Stock, AVROBIO Options and AVROBIO RSUs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AVROBIO common stock issued and outstanding at the time of the merger will remain issued and outstanding, and, subject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addition, (i) each AVROBIO in-the-money option that is outstanding immediately prior to the effective time that is held by a current AVROBIO employee, director, or consultant of AVROBIO as of the date of the Merger Agreement will be accelerated in full effective as of the effective time and (ii) each AVROBIO in-the-money option that is unexpired, unexercised and outstanding as of immediately prior to the effective time and is held by a current AVROBIO employee, director or consultant as of the date of the execution of the Merger Agreement who is a signatory to a lock-up agreement, will survive the closing and remain outstanding and exercisable until six months after the expiration of the applicable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Further, the Merger Agreement provides that (A) each Specified Option held by a current employee, director, or consultant of AVROBIO as of the date of the Merger Agreement will be accelerated in full effective as of immediately prior to the effective time, and (B) each Specified Option that is unexpired, unexercised, and outstanding as of immediately prior to the effective time and is held by a current employee, director or consultant of AVROBIO as of the date of the Merger Agreement who is or will be party to a lock-up agreement will remain outstanding and exercisable until six months after the expiration of the applicable Restricted Period (as defined in the signatory’s respective lock-up agreement). The Specified Options are certain out-of-the-money options held by certain members of AVROBIO management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outstanding AVROBIO RSU that vests solely on the basis of time will be accelerated in full as of immediately prior to the effective time, contingent on the occurrence of the merger.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AVROBIO common stock underlying such options and RSUs and the exercise prices for such stock options will be appropriately adjusted to reflect the proposed reverse stock split. </w:t>
      </w:r>
    </w:p>
    <w:p>
      <w:pPr>
        <w:pStyle w:val="TextBody"/>
        <w:bidi w:val="0"/>
        <w:spacing w:before="360" w:after="0"/>
        <w:jc w:val="left"/>
        <w:rPr>
          <w:rFonts w:ascii="Times New Roman" w:hAnsi="Times New Roman"/>
          <w:b/>
          <w:sz w:val="20"/>
        </w:rPr>
      </w:pPr>
      <w:bookmarkStart w:id="71" w:name="toc770053_68"/>
      <w:bookmarkEnd w:id="71"/>
      <w:r>
        <w:rPr>
          <w:rFonts w:ascii="Times New Roman" w:hAnsi="Times New Roman"/>
          <w:b/>
          <w:sz w:val="20"/>
        </w:rPr>
        <w:t xml:space="preserve">Procedures for Exchanging Tectonic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AVROBIO and Tectonic will jointly select an exchange agent and, at the effective time, AVROBIO will deposit with the exchange agent evidence of book-entry shares representing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AVROBIO common stock issuable pursuant to the terms of the Merger Agreement in exchange for shares of Tectonic common stock (after giving effect to the conversion of the Company SAFEs and the Tectonic preferred stock and assuming the inclusion of the private financing shares).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transmit to each record holder of Tectonic common stock of Tectonic preferred stock that were converted into the right to receive the merger consideration: (i) a letter of transmittal and (ii) instructions for surrendering the record holder’s stock certificates, or uncertificated shares, in exchange for book-entry shares of AVROBIO common stock.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AVROBIO, the record holder of such stock certificates or book-entry shares, as applicable, will be entitled to receive in exchange therefor book-entry shares representing the number of whole shares of AVROBIO common stock issuable to such holder pursuant to the Merger Agreement. The surrendered certificates representing shares of Tectonic common stock or Tectonic preferred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representing Tectonic common stock or Tectonic preferred stock that has not been surrendered will represent only the right to receive book-entry shares of AVROBIO common stock issuable pursuant to the Merger Agreement to which the holder of any such certificate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TECTONIC COMMON STOCK OR TECTONIC PREFERRED STOCK SHOULD NOT SEND IN THEIR TECTONIC STOCK CERTIFICATES UNTIL THEY RECEIVE A LETTER OF TRANSMITTAL FROM THE EXCHANGE AGENT WITH INSTRUCTIONS FOR THE SURRENDER OF TECTONIC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AVROBIO who will not continue as directors or officers of the combined company following the consummation of the merger will resign effective as of the closing. Effective as of the effective time, the board of directors of the combined company will consist of a total of six directors, one of whom will be designated by AVROBIO and five of whom will be designated by Tectonic. AVROBIO has designated Phillip Donenberg to serve as a member of the board of directors of the combined company, and Tectonic has designated Terrance McGuire, Alise Reicin, Timothy A. Springer, Praveen Tipirneni and Stefan Vitorovic to serve as members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the executive officers of the combined company will be as follows: Alise Reicin M.D., Chief Executive Officer; Christian Cortis, Ph.D., Chief Operating Officer and Chief Financial Officer; Peter McNamara, Ph.D., Chief Scientific Officer; Marcella K. Ruddy, M.D., Chief Medical Officer; and Marc Schwabish, Ph.D., Chief Business Officer. </w:t>
      </w:r>
    </w:p>
    <w:p>
      <w:pPr>
        <w:pStyle w:val="TextBody"/>
        <w:bidi w:val="0"/>
        <w:spacing w:before="360" w:after="0"/>
        <w:jc w:val="left"/>
        <w:rPr>
          <w:rFonts w:ascii="Times New Roman" w:hAnsi="Times New Roman"/>
          <w:b/>
          <w:sz w:val="20"/>
        </w:rPr>
      </w:pPr>
      <w:bookmarkStart w:id="72" w:name="toc770053_69"/>
      <w:bookmarkEnd w:id="72"/>
      <w:r>
        <w:rPr>
          <w:rFonts w:ascii="Times New Roman" w:hAnsi="Times New Roman"/>
          <w:b/>
          <w:sz w:val="20"/>
        </w:rPr>
        <w:t xml:space="preserve">Amendment of the Amended and Restated Certificate of Incorporation of AVROBIO </w:t>
      </w:r>
    </w:p>
    <w:p>
      <w:pPr>
        <w:pStyle w:val="TextBody"/>
        <w:bidi w:val="0"/>
        <w:spacing w:before="120" w:after="0"/>
        <w:jc w:val="left"/>
        <w:rPr>
          <w:rFonts w:ascii="Times New Roman" w:hAnsi="Times New Roman"/>
          <w:sz w:val="20"/>
        </w:rPr>
      </w:pPr>
      <w:r>
        <w:rPr>
          <w:rFonts w:ascii="Times New Roman" w:hAnsi="Times New Roman"/>
          <w:sz w:val="20"/>
        </w:rPr>
        <w:t xml:space="preserve">AVROBIO agreed to amend its amended and restated certificate of incorporation to (i) effect the proposed reverse stock split and (ii) effect the officer exculpation, each as contemplated in the Merger Agreement. Approval of the amendment to effect the proposed reverse stock split requires the affirmative vote of a majority of the votes properly cast by the holders of AVROBIO common stock entitled to vote at the special meeting, assuming a quorum is present. Approval of the amendment to effect the officer exculpation requires the affirmative vote of a majority of the outstanding shares of AVROBIO common stock entitled to vote at the special meeting. The merger is conditioned upon the approval of the Reverse Stock Split Proposal (or the waiver thereof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Copies of the proposed forms of certificate of amendment to the AVROBIO charter to effect the reverse stock split and the officer exculpation are attached as Annex G and Annex H to this proxy statement/prospectus,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73" w:name="toc770053_70"/>
      <w:bookmarkEnd w:id="73"/>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AVROBIO and Tectonic for a transaction of this type relating to, among other things: </w:t>
      </w:r>
    </w:p>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and similar corporate matters; </w:t>
            </w:r>
          </w:p>
        </w:tc>
      </w:tr>
    </w:tbl>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75"/>
        <w:gridCol w:w="110"/>
        <w:gridCol w:w="60"/>
        <w:gridCol w:w="1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110"/>
        <w:gridCol w:w="60"/>
        <w:gridCol w:w="1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subsidiaries;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non-contravention of organizational documents, certain laws, governmental authorizations or certain contracts of the parties;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parties’ efforts with respect to ensuring the inapplicability of Section 203 of the DGCL; </w:t>
            </w:r>
          </w:p>
        </w:tc>
      </w:tr>
    </w:tbl>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AVROBIO, documents filed with the SEC and the accuracy of information contained in those documents;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material contracts to which the parties or their subsidiaries are a party and any violation, default or breach of such contracts;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10"/>
        <w:gridCol w:w="60"/>
        <w:gridCol w:w="2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fees;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AVROBIO, the valid issuance in the merger of AVROBIO common stock;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10"/>
        <w:gridCol w:w="60"/>
        <w:gridCol w:w="2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110"/>
        <w:gridCol w:w="60"/>
        <w:gridCol w:w="1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anti-corruption; and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sanctions with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in any event will not survive the merger, but their accuracy forms the basis of one of the conditions to the obligations of AVROBIO and Tectonic to complete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74" w:name="toc770053_71"/>
      <w:bookmarkEnd w:id="74"/>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AVROBIO has agreed that, except as permitted by the Merger Agreement, as required by law, or unless Tectonic has provided written consent, during the period commencing on the date of the Merger Agreement and continuing until the earlier to occur of the effective time and the termination of the Merger Agreement, AVROBIO and its subsidiaries will use commercially reasonable efforts to (i) conduct their business and operations in the ordinary course consistent with past practices and in compliance with all applicable laws, regulations and certain contracts and (ii) continue to pay outstanding accounts payable and other material liabilities (including payroll) when due and payable. AVROBIO has also agreed that, subject to certain limited exceptions, without the consent of Tectonic, it will not, and will not cause or permit any of its subsidiaries to, during the period commencing on the date of the Merger Agreement and continuing until the earlier to occur of the effective time and the termination of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capital stock; or repurchase, redeem or otherwise reacquire any shares of capital stock or other securities (except for shares of AVROBIO common stock from terminated employees, directors or consultants of AVROBIO);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AVROBIO common stock issued upon the valid exercise of outstanding AVROBIO options or AVROBIO RSUs, as applicable);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similar organizational documents of AVROBIO or its subsidiaries,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including equity awards plans; cause or permit any such agreement, plan or arrangement to be amended other than as required by law or in order to make amendments for purposes of Section 409A of the Code; pay any bonus or make any profit-sharing or similar payment to, or increase the amount of the wages, salary, commissions, fringe benefits or other compensation or remuneration payable to, any of its directors, officers or employees; increase or amend the severance or change of control benefits offered to any current or new employees, directors or consultants; or hire any officer or employee; provided, however, that consultants may be retained on terms permitting termination by AVROBIO without notice to provide supplemental support services, as reasonably may be needed by AVROBIO, or to fill vacancies to the extent such positions are existing as of the date of the Merger Agreement and which vacancies occur after the date of the Merger Agreement;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or otherwise irrevocably dispose of any of its assets or properties, or grant any encumbrance with respect to such assets or properties;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adopt or change any material accounting method in respect of taxes; enter into any material tax closing agreement or settle any material tax claim or assessment (other than as a result of any extension to file a tax return that is automatically granted); or apply for or surrender any claim for tax refund;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AVROBIO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AVROBIO or its subsidiaries, taken as a whole, or any equitable relief on, or the admission of wrongdoing by AVROBIO or any of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(provided, however, that any such accounts payable or accrued expenses need not be paid if the validity or amount thereof shall at the time be contested in good faith);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materially change pricing or royalties or other payments set or charged by AVROBIO or any of subsidiaries to its customers or licensees or (B) agree to materially change pricing or royalties or other payments set or charged by persons who have licensed intellectual property to AVROBIO or any of subsidiaries;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or terminate any of AVROBIO’s material contracts;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AVROBIO may engage in the sale, license, transfer, disposition, divestiture or other monetization transaction and/or winding down of AVROBIO’s business or operations as they exist prior to the closing or the sale, license, transfer, disposition, divestiture or other monetization transaction or other disposition of any of AVROBIO’s pre-closing assets (each, an “AVROBIO pre-closing transaction”), including entering into contracts or amending or terminating contracts. </w:t>
      </w:r>
    </w:p>
    <w:p>
      <w:pPr>
        <w:pStyle w:val="TextBody"/>
        <w:bidi w:val="0"/>
        <w:spacing w:before="240" w:after="0"/>
        <w:jc w:val="left"/>
        <w:rPr>
          <w:rFonts w:ascii="Times New Roman" w:hAnsi="Times New Roman"/>
          <w:sz w:val="20"/>
        </w:rPr>
      </w:pPr>
      <w:r>
        <w:rPr>
          <w:rFonts w:ascii="Times New Roman" w:hAnsi="Times New Roman"/>
          <w:sz w:val="20"/>
        </w:rPr>
        <w:t xml:space="preserve">Tectonic has agreed that, except as permitted by the Merger Agreement, as required by law, or unless AVROBIO shall have provided written consent, during the period commencing on the date of the Merger Agreement and continuing until the earlier to occur of the effective time and the termination of the Merger Agreement, Tectonic will use commercially reasonable efforts to conduct its business and operations in the ordinary course consistent with past practices and in compliance with all applicable laws, regulations and certain contracts. Tectonic has also agreed that, subject to certain limited exceptions, without the consent of AVROBIO, it will not, and will not cause or permit its subsidiary to, during the period commencing on the date of the Merger Agreement and continuing until the earlier to occur of the effective time and the termination of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capital stock; or repurchase, redeem or otherwise reacquire any shares of capital stock or other securities (except for shares of common stock from terminated employees, directors or consultants of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organizational documents of Tectonic or its subsidiaries,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any of the foregoing actions with respect to any capital stock or other security of Tectonic or its subsidiaries (except for shares of outstanding Tectonic common stock issued upon the valid exercise or settlement of Tectonic options in accordance with their terms as in effect as of the date of the Merger Agreement); any option, warrant or right to acquire any capital stock or any other security (except for options issued to new hires in accordance with the terms of the Merger Agreement); or any instrument convertible into or exchangeable for any capital stock or other security of Tectonic or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in excess of $500,000;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including equity awards plans; cause or permit any such agreements, plans or arrangements to be amended other than as required by law or in order to make amendments for the purposes of compliance with Section 409A of the Code; pay any bonus or make any profit-sharing or similar payment to or increase or amend the amount of the wages, salary, commissions, fringe benefits or other compensation or remuneration payable to, any of its directors, officers or employees; increase or amend the severance or change of control benefits offered to any of its current or new directors, employees or consultants; or hire or engage any officer or employee;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encumbrance with respect to such assets or properties in excess of $250,000, except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rights owned by Tectonic , other than pursuant to non-exclusive licenses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adopt or change any material accounting method in respect of taxes; enter into any material tax closing agreement or settle any material tax claim or assessment; consent to any extension or waiver of the limitation period applicable to or relating to any material tax claim or assessment (other than as a result of any extension to file a tax return that is automatically granted); or apply for or surrender any claim for tax refund;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Tectonic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Tectonic or its subsidiaries, taken as a whole, any equitable relief on, or the admission of wrongdoing by Tectonic or any of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(provided, however, that such accounts payable or accrued expenses need not be paid if the validity or amount shall at the time be contested in good faith);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with respect to, any material insurance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Tectonic or its subsidiaries to its customers or licensees or agree to materially change pricing or royalties or other payments set or charged by persons or entities who have licensed intellectual property to Tectonic or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or terminate a Tectonic material contract, except in the ordinary course of business in a manner that would not require AVROBIO’s consent pursuant to the Merger Agreement, and would not reasonably be expected to prevent or to materially impede or delay the consummation of the transactions contemplated by the Merger Agreement;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Merger Agreement also provides that notwithstanding the covenants on Tectonic described above, beginning on or after June 1, 2024, Tectonic will be able to draw down on the private financing amounts, in no event exceeding $25,000,000 in the aggregate, for purposes of funding general operating expenses of Tectonic in the ordinary course of business (for the avoidance of doubt in accordance with Tectonic’s obligations pursuant to Section 5.2(b) of the Merger Agreement). </w:t>
      </w:r>
    </w:p>
    <w:p>
      <w:pPr>
        <w:pStyle w:val="TextBody"/>
        <w:bidi w:val="0"/>
        <w:spacing w:before="360" w:after="0"/>
        <w:jc w:val="left"/>
        <w:rPr>
          <w:rFonts w:ascii="Times New Roman" w:hAnsi="Times New Roman"/>
          <w:b/>
          <w:sz w:val="20"/>
        </w:rPr>
      </w:pPr>
      <w:bookmarkStart w:id="75" w:name="toc770053_72"/>
      <w:bookmarkEnd w:id="75"/>
      <w:r>
        <w:rPr>
          <w:rFonts w:ascii="Times New Roman" w:hAnsi="Times New Roman"/>
          <w:b/>
          <w:sz w:val="20"/>
        </w:rPr>
        <w:t xml:space="preserve">CVRs </w:t>
      </w:r>
    </w:p>
    <w:p>
      <w:pPr>
        <w:pStyle w:val="TextBody"/>
        <w:bidi w:val="0"/>
        <w:spacing w:before="120" w:after="0"/>
        <w:jc w:val="left"/>
        <w:rPr>
          <w:rFonts w:ascii="Times New Roman" w:hAnsi="Times New Roman"/>
          <w:sz w:val="20"/>
        </w:rPr>
      </w:pPr>
      <w:r>
        <w:rPr>
          <w:rFonts w:ascii="Times New Roman" w:hAnsi="Times New Roman"/>
          <w:sz w:val="20"/>
        </w:rPr>
        <w:t>Prior to the effective time, AVROBIO will declare a distribution to its common stockholders of record as of immediately prior to the effective time (including the holders of shares of AVROBIO common stock issued upon settlement of the AVROBIO RSUs) of the right to receive one CVR for each outstanding share of AVROBIO common stock held by such stockholder as of such date. Each CVR will entitle the holder of the CVR to receive certain net proceeds (as defined in the CVR Agreement), if any, received within a 10-year period following the closing (the “CVR Term”) in connection with an AVROBIO disposition (including a license) of AVROBIO pre-closing assets; provided that no contingent payment will be payable to any holder of the CVRs until such time as the then-outstanding and undistributed proceeds exceeds $350,000 in the aggregate, subject to and in accordance with the terms and conditions of, the CVR Agreement, discussed in greater detail under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The record date for such distribution will be immediately prior to the effective time (including holders of shares of AVROBIO common stock issued upon settlement of the AVROBIO RSUs) occurs and the payment date will be three business days after the effective time; provided that the payment of such distribution may be conditioned upon the occurrence of the effective time. In connection with such distribution, AVROBIO will cause the CVR Agreement to be duly authorized, executed and delivered by AVROBIO and a rights agent jointly selected by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AVROBIO will pay all costs and fees associated with any action contemplated by the CVR Agreement. </w:t>
      </w:r>
    </w:p>
    <w:p>
      <w:pPr>
        <w:pStyle w:val="TextBody"/>
        <w:bidi w:val="0"/>
        <w:spacing w:before="360" w:after="0"/>
        <w:jc w:val="left"/>
        <w:rPr>
          <w:rFonts w:ascii="Times New Roman" w:hAnsi="Times New Roman"/>
          <w:b/>
          <w:sz w:val="20"/>
        </w:rPr>
      </w:pPr>
      <w:bookmarkStart w:id="76" w:name="toc770053_73"/>
      <w:bookmarkEnd w:id="76"/>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AVROBIO and Tectonic have agreed that, except as described below, AVROBIO and Tectonic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or submission of, any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(other than to inform any person of the existence of the provisions of the Merger Agreement) with any person with respect to any Acquisition Proposal or Acquisition Inquiry;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 Acquisition Proposal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(subject to certain exceptions); or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resolve or agree to do any of the foregoing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information (other than an inquiry, indication of interest or request for information made or submitted by Tectonic, on the one hand, or AVROBIO on the other hand, to the other party) that could reasonably be expected to lead to an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“Acquisition Proposal” means, with respect to a party, any offer or proposal, whether written or oral contemplating or otherwise relating to any Acquisition Transaction with such party.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Transaction” means with respect to a party, any transaction or series of related transactions (other than the transactions contemplated by the Merger Agreement, and with respect to AVROBIO, a sale, license, transfer, disposition, divestiture or other transaction and/or winding down of AVROBIO’s business or operations as they exist prior to the closing or the sale, license, transfer, disposition, divestiture or other monetization transaction or other disposition of AVROBIO’s pre-closing assets) involving: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or acquisition of securities, reorganization, recapitalization, tender offer, exchange offer or similar transaction: (i) in which AVROBIO, Tectonic or Merger Sub is a constituent entity, (ii) in which any individual, entity, governmental entity, or “group,” as defined under applicable securities laws, directly or indirectly acquires beneficial or record ownership of securities representing 20% or more of the outstanding securities of AVROBIO common stock, in the case of AVROBIO, or Tectonic common stock in the case of Tectonic or (iii) in which AVROBIO, Tectonic or Merger Sub or any of their respective subsidiaries issues securities representing more than 20% of the outstanding securities of AVROBIO common stock, in the case of AVROBIO or Tectonic common stock in the case of Tectonic;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fair market value of the assets of AVROBIO, Tectonic or Merger Sub and their respective subsidiaries, as applicable, taken as a whole (as determined by such party’s board of directors or a committee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transactions, series of related transactions, agreement or discussion entered into or proposed to enter into by Tectonic for purposes of raising capital that is otherwise in accordance with the Merger Agreement will not be deemed an Acquisition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the AVROBIO stockholders or Tectonic stockholders required to consummate the merger, each party may furnish non-public information regarding such party and its subsidiaries to, and may enter into discussions or negotiations with, any third party in response to a bona fide written Acquisition Proposal, which such party’s board of directors (or committee thereof)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such party nor any representative of such party has breached the non-solicitation provisions of the Merger Agreement described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(or committee thereof) concludes in good faith, based on the advice of outside legal counsel, that the failure to take such action would be inconsistent with the fiduciary duties of such board of directors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furnishing any non-public information such party receives from the third party an executed confidentiality agreement containing provisions at least as favorable to such party as those contained in the confidentiality agreement between AVROBIO and Tectonic;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simultaneous with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70% for these purposes) that (a) was not obtained or made as a result of a breach, or in violation, of the non-solicitation provisions by AVROBIO, (b) is on terms and conditions that the board of directors of the party (or committee thereof) receiving the offer determines in good faith, based on such matters that it deems relevant (including the likelihood of consummation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and the financing terms thereof), as well as any binding written offer by the other party to the Merger Agreement to amend the terms of the Merger Agreement, and following consultation with its outside legal counsel and financial advisors, if any, it deems are more favorable, from a financial point of view, to that party’s stockholders than the terms of the transactions contemplated by the Merger Agreement, (c) is not subject to any debt financing conditions (and if debt financing is required, such financing is then fully committed to the third party) and (d) is reasonably capable of being completed on the terms proposed.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each party will promptly (and in no event later than one business day after such party becomes aware of such Acquisition Proposal or Acquisition Inquiry) advise the other party in writing of such Acquisition Proposal or Acquisition Inquiry,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bookmarkStart w:id="77" w:name="toc770053_74"/>
      <w:bookmarkEnd w:id="77"/>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AVROBIO agreed that the AVROBIO Board will recommend that the holders of AVROBIO common stock vote to approve Proposal Nos. 1 and 2 (the “AVROBIO Board recommendation”) and that the AVROBIO Board will also recommend that the holders of AVROBIO common stock vote to approve Proposal No. 3, Proposal No. 4 and Proposal No. 5 (the “Second AVROBIO 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at any time prior to the approval of Proposal Nos. 1 and 2 by the necessary vote of AVROBIO stockholders (the “required AVROBIO stockholder vote”), if AVROBIO has received a Superior Offer, the AVROBIO Board may withhold, amend, withdraw or modify (or publicly propose to withhold, amend, withdraw or modify) the AVROBIO Board recommendation in a manner adverse to Tectonic (a “AVROBIO Board adverse recommendation change”) approve, endorse or recommend an Acquisition Proposal that constitutes a Superior Offer or enter into any agreement or other contract contemplating or otherwise relating to an Acquisition Proposal that constitutes a Superior Offer, if, but only if, following the receipt of and on account of such Superior Offer: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(or committee thereof) determines in good faith, after consultation with its outside legal counsel, that the failure to make a AVROBIO Board adverse recommendation change would be inconsistent with its fiduciary duties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has, and has caused its financial advisors and outside legal counsel to, during the required four business day notice period, negotiated with Tectonic in good faith to make such adjustments to the terms and conditions of the Merger Agreement so that such Acquisition Proposal ceases to constitute a Superior Offer;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Tectonic has delivered to AVROBIO a written offer to alter the terms or conditions of the Merger Agreement during the required four business day notice period, the AVROBIO Board (or committee thereof) has determined in good faith, after consultation with its outside legal counsel, that the failure to make a AVROBIO Board adverse recommendation change would be inconsistent with its fiduciary duties under applicable law (after taking into account such alterations of the terms and conditions of the Merger Agreement); provided that (x) Tectonic receives written notice from AVROBIO confirming that the AVROBIO Board has determined to change its recommendation during the required notice period, which notice must include a description in reasonable detail of the reasons for such AVROBIO Board adverse recommendation change, and written copies of any relevant proposed transaction agreements with any party making a potential Superior Offer, (y) during any required four business day notice period, Tectonic will be entitled to deliver to AVROBIO one or more counterproposals to such Acquisition Proposal and AVROBIO will, and will cause its representatives to, negotiate with Tectonic in good faith (to the extent Tectonic desires to negotiate) to make such adjustments in the terms and conditions of the Merger Agreement, to attempt to make the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 Proposal ceases to constitute a Superior Offer and (z) in the event of any material amendment to any Superior Offer (including any revision in the amount, form or mix of consideration that AVROBIO stockholders would receive as a result of such potential Superior Offer), AVROBIO will be required to provide Tectonic with notice of such material amendment and the required four business day notice period will be extended, if applicable, to ensure that at least three business days remain in the required four business day notice period following such notification during which the parties must comply again with the requirements in this provision and the AVROBIO Board must not make a AVROBIO Board adverse recommendation change prior to the end of such notice period as so extended (it being understood that there may be multiple extensions).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occurrence of an AVROBIO Board adverse recommendation change, the AVROBIO stockholders that have signed support agreements are not released from their support agreement obligations by virtue of any AVROBIO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at any time prior to the receipt of the required AVROBIO stockholder vote, the AVROBIO board may withhold, amend, withdraw or modify the Second AVROBIO Board recommendation in its exercise of its fiduciary duties.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Tectonic agreed that the Tectonic Board will recommend to it stockholders to vote to adopt and approve the Merger Agreement and the transactions contemplated therein (the “Tectonic Board recommendation”) and will not withhold, amend, withdraw or modify (or publicly propose to withhold, amend, withdraw or modify) the recommendation of the Tectonic Board in a manner adverse to AVROBIO (the “Tectonic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the foregoing, at any time prior to the approval and adoption of the Merger Agreement by the necessary vote of Tectonic stockholders, if Tectonic has received a Superior Offer, the Tectonic Board may make a Tectonic Board adverse recommendation change if, but only if, but only if, following the receipt of and on account of such Superior Offer: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 (or committee thereof) determines in good faith, after consultation with its outside legal counsel, that the failure to make a Tectonic Board adverse recommendation change would be inconsistent with its fiduciary duties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has, and has caused its financial advisors and outside legal counsel to, during the required four business day notice period, negotiate with AVROBIO in good faith to make such adjustments to the terms and conditions of the Merger Agreement so that such Acquisition Proposal ceases to constitute a Superior Offer;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AVROBIO has delivered to Tectonic a written offer to alter the terms or conditions of the Merger Agreement during the required notice period, the Tectonic Board (or a committee thereof) has determined in good faith, after consultation with its outside legal counsel, that the failure to make a Tectonic Board adverse recommendation change would be inconsistent with its fiduciary duties under applicable law (after taking into account such alterations of the terms and conditions of the Merger Agreement); provided that (x) AVROBIO receives written notice from Tectonic confirming that the Tectonic Board has determined to change its recommendation at least four business days in advance of the Tectonic Board adverse recommendation change, which notice must include a description in reasonable detail of the reasons for such Tectonic Board adverse recommendation change, and written copies of any relevant proposed transaction agreements with any party making a potential Superior Offer, (y) during any required four business day notice period, AVROBIO will be entitled to deliver to Tectonic one or more counterproposals to such Acquisition Proposal and Tectonic will, and will cause its representatives to, negotiate with AVROBIO in good faith (to the extent AVROBIO desires to negotiate) to make such adjustments in the terms and conditions of Merger Agreement, to attempt to make the applicable Acquisition Proposal ceases to constitute a Superior Offer and (z) in the event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material amendment to any Superior Offer (including any revision in the amount, form or mix of consideration the Tectonic stockholders would receive as a result of such potential Superior Offer), Tectonic will be required to provide AVROBIO with notice of such material amendment and the required four business day notice period will be extended, if applicable, to ensure that at least three business days remain in the required four business day notice period following such notification during which the parties must comply again with the requirements in this provision and the Tectonic Board will not make a Tectonic Board adverse recommendation change prior to the end of such required notice period as so extended (it being understood that there may be multiple extensions).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occurrence of an Tectonic Board adverse recommendation change, the Tectonic stockholders that have signed support agreements are not released from their support agreement obligations by virtue of any Tectonic Board adverse recommendation change. </w:t>
      </w:r>
    </w:p>
    <w:p>
      <w:pPr>
        <w:pStyle w:val="TextBody"/>
        <w:bidi w:val="0"/>
        <w:spacing w:before="360" w:after="0"/>
        <w:jc w:val="left"/>
        <w:rPr>
          <w:rFonts w:ascii="Times New Roman" w:hAnsi="Times New Roman"/>
          <w:b/>
          <w:sz w:val="20"/>
        </w:rPr>
      </w:pPr>
      <w:bookmarkStart w:id="78" w:name="toc770053_75"/>
      <w:bookmarkEnd w:id="78"/>
      <w:r>
        <w:rPr>
          <w:rFonts w:ascii="Times New Roman" w:hAnsi="Times New Roman"/>
          <w:b/>
          <w:sz w:val="20"/>
        </w:rPr>
        <w:t xml:space="preserve">Required Stockholder Approvals </w:t>
      </w:r>
    </w:p>
    <w:p>
      <w:pPr>
        <w:pStyle w:val="TextBody"/>
        <w:bidi w:val="0"/>
        <w:spacing w:before="120" w:after="0"/>
        <w:jc w:val="left"/>
        <w:rPr>
          <w:rFonts w:ascii="Times New Roman" w:hAnsi="Times New Roman"/>
          <w:sz w:val="20"/>
        </w:rPr>
      </w:pPr>
      <w:r>
        <w:rPr>
          <w:rFonts w:ascii="Times New Roman" w:hAnsi="Times New Roman"/>
          <w:sz w:val="20"/>
        </w:rPr>
        <w:t>AVROBIO is obligated under the Merger Agreement to take all action necessary under applicable law to call, give notice of and hold a meeting of the holders of AVROBIO common stock for the purpose of considering and voting to approve the Nasdaq Stock Issuance Proposal, Reverse Stock Split Proposal, Officer Exculpation Proposal Incentive Plan Proposal and ESPP Proposal. The special meeting will be held as promptly as practicable after the registration statement on Form S-4 is declared effective under the Securities Act, and in any event no later than 45 days after the effective date of the registration statement on Form S-4.</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registration statement on Form S-4 has been declared effective, and no later than four business days thereafter, Tectonic is required to obtain the approval by written consent from Tectonic stockholders representing no less than 88.0% of the voting power of Tectonic (the “Tectonic stockholder approval”), to (x) adopt and approve the Merger Agreement and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As promptly as reasonably practicable following receipt of such consents, Tectonic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bookmarkStart w:id="79" w:name="toc770053_76"/>
      <w:bookmarkEnd w:id="79"/>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 </w:t>
      </w:r>
    </w:p>
    <w:p>
      <w:pPr>
        <w:pStyle w:val="TextBody"/>
        <w:bidi w:val="0"/>
        <w:spacing w:before="360" w:after="0"/>
        <w:jc w:val="left"/>
        <w:rPr>
          <w:rFonts w:ascii="Times New Roman" w:hAnsi="Times New Roman"/>
          <w:b/>
          <w:sz w:val="20"/>
        </w:rPr>
      </w:pPr>
      <w:bookmarkStart w:id="80" w:name="toc770053_77"/>
      <w:bookmarkEnd w:id="80"/>
      <w:r>
        <w:rPr>
          <w:rFonts w:ascii="Times New Roman" w:hAnsi="Times New Roman"/>
          <w:b/>
          <w:sz w:val="20"/>
        </w:rPr>
        <w:t xml:space="preserve">Indemnification and Insurance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effective time through the sixth anniversary of the date on which the effective time occurs, AVROBIO and the surviving corporation in the merger agreed to indemnify and hold harmless each person who is now, or has been at any time prior to the date of the Merger Agreement, or who becomes prior to the effective time, a director or officer of AVROBIO or Tectonic,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AVROBIO or of Tectonic, whether asserted or claimed prior to, at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the effective time. From and after the effective time, AVROBIO and the surviving corporation in the merger will also fulfill AVROBIO’s and Tectonic’s indemnity obligations, respectively, to each person who is, has been, or who becomes prior to the effective time, a director or officer of AVROBIO or Tectonic.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the provisions of AVROBIO’s charter and bylaws with respect to indemnification, advancement of expenses and exculpation of present and former directors and officers of AVROBIO that are presently set forth in AVROBIO’s charter and bylaws will not be amended modified or repealed for a period of six years from the effective time in a manner that would adversely affect the rights thereunder of individuals who, at or prior to the effective time, were officers or directors of AVROBIO, unless such modification is required by applicable law. The certificate of incorporation and bylaws of the surviving corporation will contain, and AVROBIO will cause the certificate of incorporation and bylaws of the surviving corporation to so contain, provisions no less favorable with respect to indemnification, advancement of expenses and exculpation of present and former directors and officers as those presently set forth in AVROBIO’s charter and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AVROBIO will maintain director and officers’ liability insurance policies, with an effective date as of the closing date, on commercially available terms and conditions and with coverage limits customary for U.S. public companies similarly situated to AVROBIO. In addition, AVROBIO will secure and purchase a six year “tail policy” on AVROBIO’s existing directors’ and officers’ liability insurance policy with an effective date as of the date of the closing. </w:t>
      </w:r>
    </w:p>
    <w:p>
      <w:pPr>
        <w:pStyle w:val="TextBody"/>
        <w:bidi w:val="0"/>
        <w:spacing w:before="360" w:after="0"/>
        <w:jc w:val="left"/>
        <w:rPr>
          <w:rFonts w:ascii="Times New Roman" w:hAnsi="Times New Roman"/>
          <w:b/>
          <w:sz w:val="20"/>
        </w:rPr>
      </w:pPr>
      <w:bookmarkStart w:id="81" w:name="toc770053_78"/>
      <w:bookmarkEnd w:id="81"/>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AVROBIO and Tectonic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AVROBIO and Tectonic have further agreed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use its commercially reasonable efforts to maintain its listing on Nasdaq until the effective time and to obtain approval of the listing of the surviving corporation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use its commercially reasonable efforts to cause the shares of AVROBIO common stock being issued in the merger to be approved for listing on Nasdaq at or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keep Tectonic reasonably informed regarding any stockholder litigation against AVROBIO or any of its directors relating to the Merger Agreement or the transactions contemplated thereby. AVROBIO will (i) give Tectonic the opportunity to participate in, but not control, the defense, settlement or prosecution of any such litigation (to the extent that the attorney-client privilege is not undermined or otherwise adversely affected), (ii) consult with Tectonic with respect to the defense, settlement and prosecution of any such litigation and (iii) consider in good faith Tectonic’s advice with respect to such litigation.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82" w:name="toc770053_79"/>
      <w:bookmarkEnd w:id="82"/>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contains a description of all material conditions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AVROBIO, Tectonic and Merger Sub, at or prior to the closing, of various conditions, which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proceeding, or any proceeding threatened by the SEC, seeking a stop order that has not been withdrawn;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temporary restraining order, preliminary or permanent injunction or other order preventing the consummation of the merger or any of the other transactions contemplated by the Merger Agreement by any court of competent jurisdiction or other governmental authority of competent jurisdiction, and no law, statute, rule, regulation, ruling or decree will be in effect which has the effect of making the consummation of the merger or any of the other transactions contemplated by the Merger Agreement illegal;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shall have obtained the Tectonic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shares of AVROBIO common stock constituting a majority of the votes properly cast for and against the applicable matter at the special meeting must have approved the Nasdaq Stock Issuance Proposal and the Reverse Stock Split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listing of the additional shares of AVROBIO common stock on Nasdaq will have been obtained and the shares of AVROBIO common stock to be issued in the transactions contemplated by the Merger Agreement pursuant to the Merger Agreement will have been approved for listing (subject to official notice of issuance)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executed by certain Tectonic stockholders and AVROBIO stockholders will continue to be in full force and effect as of immediately following the effective time;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cash proceeds of no less than $114.5 million is received by Tectonic, or will be received by Tectonic substantially simultaneously with the closing, in connection with the consummation of the transactions contemplated by the Concurrent Investment Agreements; provided that this condition will not be available to Tectonic if such cash proceeds in an amount not less than $114.5 million would have been received by Tectonic before or substantially simultaneously with the closing, but for the breach or failure to perform by one or more of the investors in the pipe financing that is a holder of Tectonic capital stock or Company SAFEs as of the date of the Merger Agreement or an affiliate thereof of the agreements or covenants required to be performed or complied with by such investor under the applicable Investment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effective time;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must have delivered certain certificates and other documents required under the Merger Agreement for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AVROBIO and Merger Sub to complete the merger is further subject to the satisfaction or waiver by AVROBIO and Merger Sub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matters related to organization, organizational documents, authority, vote required and financial advisors of Tectonic in the Merger Agreement must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capitalization matters of Tectonic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remaining representations and warranties of the other party in the Merger Agreement must be accurate and complete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material adverse effect on Tectonic (without giving effect to any references therein to materiality qualifications);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shall have performed or complied in all material respects all agreement and covenants required to be performed or complied with by it under the Merger Agreement at or prior to the effective time;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shall have received certain customary documentation and certifications from Tectonic;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“AVROBIO Material Adverse Effect” that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Tectonic to complete the merger is further subject to the satisfaction or waiver by Tectonic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matters related to organization, organizational documents, authority, vote required and financial advisors of AVROBIO in the Merger Agreement must be true and correct on the date of the Merger Agreement and true and correct on the closing date of the merger with the same force and effect as if made on the date on which the merger is to be completed or, if such representations and warranties address matters as of a particular date, then as of that particular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capitalization matters of AVROBIO in the Merger Agreement must be true and correct in all respects on the date of the Merger Agreement and true and correct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remaining representations and warranties of AVROBIO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material adverse effect on AVROBIO (without giving effect to any references therein to materiality qualifications);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shall have performed or complied in all material respects all agreement and covenants required to be performed or complied with by it under the Merger Agreement at or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“Tectonic Material Adverse Effect” that is continuing;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bidi w:val="0"/>
        <w:jc w:val="left"/>
        <w:rPr/>
      </w:pPr>
      <w:r>
        <w:rPr/>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AVROBIO’s net cash shall be no less than $50.0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common stock will be listed on Nasdaq as of immediately prior to the closing, provided, that this condition will not be available to Tectonic if Tectonic has refused or unreasonably delayed, withheld or conditioned its consent to actions by AVROBIO to maintain or regain, as applicable, the listing of AVROBIO common stock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shall have performed or complied in all material respects all agreement and covenants required to be performed or complied with by it under the Merger Agreement at or prior to the effective time; and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shall have received certain customary documentation and certifications from AVROBIO. </w:t>
            </w:r>
          </w:p>
        </w:tc>
      </w:tr>
    </w:tbl>
    <w:p>
      <w:pPr>
        <w:pStyle w:val="TextBody"/>
        <w:bidi w:val="0"/>
        <w:spacing w:before="240" w:after="0"/>
        <w:jc w:val="left"/>
        <w:rPr/>
      </w:pPr>
      <w:r>
        <w:rPr/>
        <w:t>“</w:t>
      </w:r>
      <w:r>
        <w:rPr>
          <w:rFonts w:ascii="Times New Roman" w:hAnsi="Times New Roman"/>
          <w:sz w:val="20"/>
        </w:rPr>
        <w:t xml:space="preserve">AVROBIO Material Adverse Effect” means any effect, change, event, circumstance or development, considered together with all other effects, changes, events, circumstances or developments that have occurred prior to the date of determination of the occurrence of the AVROBIO Material Adverse Effect, has or would reasonably be expected to have a material adverse effect on the business, financial condition, assets, liabilities or results of operations of AVROBIO or any of its subsidiaries, taken as a whole; provided, however, that effects, changes, events, circumstances or developments arising or resulting from the following shall not be taken into account in determining whether there has been an AVROBIO Material Adverse Effect: (a) the announcement of the Merger Agreement or the pendency of the transactions contemplated therein, (b) any change in the stock price or trading volume of AVROBIO common stock (it being understood, however, that any effect, change, event, circumstance or development causing or contributing to any change in stock price or trading volume of AVROBIO common stock may be taken into account in determining whether an AVROBIO Material Adverse Effect has occurred, unless such effects, changes, events, circumstances or developments are otherwise excepted from this definition), (c) the taking of any action, or failure to take any action, by AVROBIO that is required to comply with the terms of this Merger Agreement, (d) any natural disaster, calamity or epidemics, pandemics (including COVID-19 and any precautionary or emergency measures, recommendations, protocols or orders taken or issued by any person in response to COVID-19) or other force majeure events, or any act or threat or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AVROBIO or any of its subsidiaries operates (other than to the extent contemplated by the succeeding clause (g)), (g) any government shutdown or slowdown, (h) the sale or winding down of the AVROBIO’s business or operations as the exist prior to the closing, and the sale, license or other disposition of the AVROBIO pre-closing assets in compliance with the terms of the Merger Agreement and applicable law, or (i) any change in the cash position of AVROBIO and its subsidiaries which results from the operations in the ordinary course of business; except, in each case with respect to clauses (d), (e) and (f), to the extent materially and disproportionately affecting AVROBIO and any of its subsidiaries, taken as a whole, relative to other similarly situated companies in the industries in which AVROBIO or any of its subsidiaries operates. </w:t>
      </w:r>
    </w:p>
    <w:p>
      <w:pPr>
        <w:pStyle w:val="TextBody"/>
        <w:bidi w:val="0"/>
        <w:spacing w:before="240" w:after="0"/>
        <w:jc w:val="left"/>
        <w:rPr/>
      </w:pPr>
      <w:r>
        <w:rPr/>
        <w:t>“</w:t>
      </w:r>
      <w:r>
        <w:rPr>
          <w:rFonts w:ascii="Times New Roman" w:hAnsi="Times New Roman"/>
          <w:sz w:val="20"/>
        </w:rPr>
        <w:t xml:space="preserve">Tectonic Material Adverse Effect” means any effect, change, event, circumstance or development, considered together with all other effects, changes, events, circumstances or developments that have occurred prior to the date of determination of the occurrence of the Tectonic Material Adverse Effect, has or would reasonably be expected to have a material adverse effect on the business, financial condition, assets, liabilities or results of operations of Tectonic or any of its subsidiaries, taken as a whole; provided, however, that effects, changes, events, circumstances or developments arising or resulting from the following shall not be taken into account in determining whether there has been a Tectonic Material Adverse Effect: (a) the announcement of the Merger Agreement or the pendency of the transactions contemplated therein, (b) the taking of any action, or failure to take any action, by Tectonic that is required to comply with the terms of this Merger Agreement, (c) any natural disaster, calamity or epidemics, pandemics (including COVID-19 and any precautionary or emergency measures, recommendations, protocols or orders taken or issued by any person in response to COVID-19) or other force majeure events, or any act or threat or terrorism or war, any armed hostilities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terrorist activities (including any escalation or general worsening of any of the foregoing) anywhere in the world, or any governmental or other response or reaction to any of the foregoing, (d) any change in GAAP or applicable law or the interpretation thereof, (e) any change in the cash position of Tectonic and its subsidiaries which results from the operations in the ordinary course of business, or (f) general economic or political conditions or conditions generally affecting the industries in which Tectonic and its subsidiaries operate; except in each case with respect to clauses (c), (d) and (f), to the extent disproportionately affecting Tectonic and its subsidiaries, taken as a whole, relative to other similarly situated companies in the industries in which Tectonic and its subsidiaries operate. </w:t>
      </w:r>
    </w:p>
    <w:p>
      <w:pPr>
        <w:pStyle w:val="TextBody"/>
        <w:bidi w:val="0"/>
        <w:spacing w:before="360" w:after="0"/>
        <w:jc w:val="left"/>
        <w:rPr>
          <w:rFonts w:ascii="Times New Roman" w:hAnsi="Times New Roman"/>
          <w:b/>
          <w:sz w:val="20"/>
        </w:rPr>
      </w:pPr>
      <w:bookmarkStart w:id="83" w:name="toc770053_80"/>
      <w:bookmarkEnd w:id="83"/>
      <w:r>
        <w:rPr>
          <w:rFonts w:ascii="Times New Roman" w:hAnsi="Times New Roman"/>
          <w:b/>
          <w:sz w:val="20"/>
        </w:rPr>
        <w:t xml:space="preserve">Termination and Termination Fees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effective time, whether before or after the required stockholder approvals to complete the merger have been obtained, as set forth below: </w:t>
      </w:r>
    </w:p>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275"/>
        <w:gridCol w:w="44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AVROBIO and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AVROBIO or Tectonic, if the merger has not been consummated by October 31, 2024; provided, however, that this right to terminate the Merger Agreement will not be available to any party whose action or failure to act has been a principal cause of the failure of the merger to occur on or before October 31, 2024 and such action or failure to act constitutes a breach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(c)</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AVROBIO or Tectonic, if a court of competent jurisdiction or governmental entity has issued a final and non-appealable order, decree or ruling or taken any other action that permanently restrains, enjoins or otherwise prohibits the merger or any of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AVROBIO, if the Tectonic stockholder approval has not been obtained within four business days of the registration statement on Form S-4, of which this proxy statement/prospectus is a part, becoming effective; provided that this right to terminate the Merger Agreement will not be available to AVROBIO once Tectonic obtains approval by irrevocable written consent from the Tectonic stockholders representing no less than 88.0% of the voting power of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(e)</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AVROBIO or Tectonic, if the special meeting has been held and completed and AVROBIO stockholders have taken a final vote on the Proposal Nos. 1 and 2, and such proposals have not been approved by the AVROBIO stockholders at the AVROBIO special meeting (or any adjournment or postponement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(f)</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Tectonic, at any time prior to obtaining the approval by AVROBIO stockholders of the Proposals set forth herein to be considered at the special meeting, if any of the following circumstances shall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fails to include in this proxy statement/prospectus the AVROBIO Board’s recommendation that AVROBIO stockholders vote to approve the Proposals set forth herein to be considered at the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or any committee thereof, makes a AVROBIO Board adverse recommendation change or approves, endorses or recommends any Acquisition Proposal;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110"/>
        <w:gridCol w:w="60"/>
        <w:gridCol w:w="6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willfully and materially breaches its non-solicitation obligations;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(g)</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Tectonic, if AVROBIO or Merger Sub has breached any of its representations, warranties, covenants or agreements contained in the Merger Agreement or if any representation or warranty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AVROBIO has become inaccurate, in either case such that the conditions to the closing would not be satisfied as of time of such breach or inaccuracy; provided that Tectonic is not then in material breach of any representation, warranty covenant or agreement under the Merger Agreement; provided, further, if such breach or inaccuracy of any representation, warranty, covenant or agreement is curable, then the Merger Agreement will not terminate pursuant to this paragraph as a result of a particular breach or inaccuracy until the earlier of (i) the expiration of a 30-day period after delivery of written notice of such breach or inaccuracy from Tectonic to AVROBIO or Merger Sub and Tectonic’s intention to terminate pursuant to this paragraph and (ii) AVROBIO or Merger Sub (as applicable) ceasing to exercise commercially reasonable efforts to cure such breach following delivery of a written notice from Tectonic to AVROBIO or Merger Sub of such breach or inaccuracy and its intention to terminate pursuant to this paragraph, and its enumeration of all of the specific commercially reasonable efforts that it believes ought to be taken to cure such breach (it being understood that the Merger Agreement will not terminate pursuant to this paragraph as a result of such particular breach or inaccuracy if such breach by AVROBIO or Merger Sub is cured prior to such termination becoming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(h)</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AVROBIO, if Tectonic has breached any of its representations, warranties, covenants or agreements contained in the Merger Agreement or if any representation or warranty of Tectonic has become inaccurate, in either case such that the conditions to the closing would not be satisfied as of time of such breach or inaccuracy; provided that AVROBIO is not then in material breach of any representation, warranty covenant or agreement under the Merger Agreement; provided, further, if such breach or inaccuracy of any representation, warranty, covenant or agreement is curable, then the Merger Agreement will not terminate pursuant to this paragraph as a result of a particular breach or inaccuracy until the earlier (i) of the expiration of a 30-day period after delivery of written notice of such breach or inaccuracy from AVROBIO to Tectonic and AVROBIO’s intention to terminate pursuant to this paragraph or (ii) Tectonic ceasing to exercise commercially reasonable efforts to cure such breach following delivery of a written notice from AVROBIO to Tectonic of such breach or inaccuracy and its intention to terminate pursuant to this paragraph, and its enumeration of all of the specific commercially reasonable efforts that it believes ought to be taken to cure such breach (it being understood that the Merger Agreement will not terminate pursuant to this paragraph as a result of such particular breach or inaccuracy if such breach by Tectonic is cured prior to such termination becoming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AVROBIO (at any time prior to obtaining the AVROBIO stockholder approval), upon the AVROBIO Board authorizing AVROBIO to enter into a definitive agreement that contemplates or otherwise relates to an Acquisition Transaction that constitutes a superior offer, subject to certain conditions;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(j)</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AVROBIO, at any time prior to obtaining the Tectonic stockholder approval, if any of the following circumstances shall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 or any committee thereof, makes a Tectonic Board adverse recommendation change or approves, endorses or recommends any Acquisition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willfully and materially breaches its non-solicitation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the Merger Agreement will give the other party written notice of such termination, specifying the provisions hereof pursuant to which such termination is made and the basis for termination described in reasonable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Termination Fees Payable by AVROBIO </w:t>
      </w:r>
    </w:p>
    <w:p>
      <w:pPr>
        <w:pStyle w:val="TextBody"/>
        <w:bidi w:val="0"/>
        <w:spacing w:before="120" w:after="0"/>
        <w:jc w:val="left"/>
        <w:rPr>
          <w:rFonts w:ascii="Times New Roman" w:hAnsi="Times New Roman"/>
          <w:sz w:val="20"/>
        </w:rPr>
      </w:pPr>
      <w:r>
        <w:rPr>
          <w:rFonts w:ascii="Times New Roman" w:hAnsi="Times New Roman"/>
          <w:sz w:val="20"/>
        </w:rPr>
        <w:t xml:space="preserve">AVROBIO must pay Tectonic a termination fee of $2.7125 million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the Merger Agreement is terminated by AVROBIO or Tectonic pursuant to provision (e) above or by Tectonic pursuant to (g) above, (ii) at any time after the date of the Merger Agreement and prior to the special meeting, an Acquisition Proposal with respect to AVROBIO will have been publicly announced, disclosed or otherwise communicated to the AVROBIO Board (and will not have been withdrawn), and (iii) within 12 months after the date of such termination, AVROBIO enters into a definitive agreement with respect to any Acquisition Transaction or consummates any Acquisition Transaction (in each event, with all references to 20% in the definition of Acquisition Transaction being treated as references to 50% for these purposes) (for the avoidance of doubt, a liquidation or dissolution of AVROBIO will in no event be deemed to constitute an Acquisition Transaction for purposes of this clause);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Tectonic or AVROBIO pursuant to (b) above (when at the time the Merger Agreement is terminated, Tectonic had the right to terminate the Merger Agreement pursuant to (f) above);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Tectonic pursuant to (f) above;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pursuant to (i)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must also reimburse Tectonic for expenses incurred by Tectonic in connection with the Merger Agreement and the transactions contemplated thereby, up to a maximum of $650,000, if Tectonic terminates the Merger Agreement pursuant to (e)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Tectonic </w:t>
      </w:r>
    </w:p>
    <w:p>
      <w:pPr>
        <w:pStyle w:val="TextBody"/>
        <w:bidi w:val="0"/>
        <w:spacing w:before="120" w:after="0"/>
        <w:jc w:val="left"/>
        <w:rPr>
          <w:rFonts w:ascii="Times New Roman" w:hAnsi="Times New Roman"/>
          <w:sz w:val="20"/>
        </w:rPr>
      </w:pPr>
      <w:r>
        <w:rPr>
          <w:rFonts w:ascii="Times New Roman" w:hAnsi="Times New Roman"/>
          <w:sz w:val="20"/>
        </w:rPr>
        <w:t xml:space="preserve">Tectonic must pay AVROBIO a termination fee of $4.9 million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the Merger Agreement is terminated by AVROBIO pursuant to provision (h) above, (ii) at any timeafter the date of the Merger Agreement and prior to the receipt of the required Tectonic stockholdervote, an Acquisition Proposal with respect to Tectonic will have been publicly announced, disclosed orotherwise communicated to the Tectonic Board (and will not have been withdrawn), and (iii) within 12months after the date of such termination, Tectonic enters into a definitive agreement with respect toany Acquisition Transaction or consummates any Acquisition Transaction (in each event with allreferences to 20% in the definition of Acquisition Transaction being treated as references to 50% forthese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or Tectonic pursuant to (b) above (when at the time the Merger Agreement is terminated, AVROBIO had the right to terminate the Merger Agreement pursuant to (j) above);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pursuant to (d) above;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pursuant to (j) above. </w:t>
            </w:r>
          </w:p>
        </w:tc>
      </w:tr>
    </w:tbl>
    <w:p>
      <w:pPr>
        <w:pStyle w:val="TextBody"/>
        <w:bidi w:val="0"/>
        <w:spacing w:before="360" w:after="0"/>
        <w:jc w:val="left"/>
        <w:rPr>
          <w:rFonts w:ascii="Times New Roman" w:hAnsi="Times New Roman"/>
          <w:b/>
          <w:sz w:val="20"/>
        </w:rPr>
      </w:pPr>
      <w:bookmarkStart w:id="84" w:name="toc770053_81"/>
      <w:bookmarkEnd w:id="84"/>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not be amended except by an instrument in writing signed on behalf of each of Tectonic, Merger Sub and AVROBIO. Such amendment requires the approval of the respective boards of directors of Tectonic, Merger Sub and AVROBIO at any time, except that after the Merger Agreement has been adopted and approved by the Tectonic stockholders or AVROBIO stockholders, no amendment which by law requires further approval by the Tectonic stockholders or AVROBIO stockholders, as the case may be, may be made without such further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The waiver must be expressly set forth in a written instrument duly executed and delivered on behalf of such party, which will only be valid in the specific instance in which it is given. No failure or delay on the part of any party with respect to the exercise of any power, right, privilege or remedy under the Merger Agreement will operate as a waiver of such power, right, privilege or remedy. Furthermore, no single or partial exercise of any such power, right, privilege or remedy will preclude any other or further exercise thereof or of any other power, right, privilege or remedy. </w:t>
      </w:r>
    </w:p>
    <w:p>
      <w:pPr>
        <w:pStyle w:val="TextBody"/>
        <w:bidi w:val="0"/>
        <w:spacing w:before="360" w:after="0"/>
        <w:jc w:val="left"/>
        <w:rPr>
          <w:rFonts w:ascii="Times New Roman" w:hAnsi="Times New Roman"/>
          <w:b/>
          <w:sz w:val="20"/>
        </w:rPr>
      </w:pPr>
      <w:bookmarkStart w:id="85" w:name="toc770053_82"/>
      <w:bookmarkEnd w:id="85"/>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in the section titled “—</w:t>
      </w:r>
      <w:r>
        <w:rPr>
          <w:rFonts w:ascii="Times New Roman" w:hAnsi="Times New Roman"/>
          <w:i/>
          <w:sz w:val="20"/>
        </w:rPr>
        <w:t>Termination and Termination Fees</w:t>
      </w:r>
      <w:r>
        <w:rPr>
          <w:rFonts w:ascii="Times New Roman" w:hAnsi="Times New Roman"/>
          <w:sz w:val="20"/>
        </w:rPr>
        <w:t xml:space="preserve">” beginning on page 259 of this proxy statement/prospectus, and except that Tectonic and AVROBIO will share equally in any fees and expenses incurred in relation to the Nasdaq fees associated with the continued listing of AVROBIO’s securities on Nasdaq and the initial listing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6" w:name="toc770053_83"/>
      <w:bookmarkEnd w:id="86"/>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87" w:name="toc770053_84"/>
      <w:bookmarkEnd w:id="87"/>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In order to induce AVROBIO to enter into the Merger Agreement, certain Tectonic stockholders are parties to support agreements with Tectonic pursuant to which, among other things, each such stockholder, solely in his, her or its capacity as a Tectonic stockholder, has agreed to vote all of such stockholder’s shares of Tectonic capital stock in favor of (i) the adoption of the Merger Agreement, (ii) the approval of the merger and related transactions contemplated by the Merger Agreement, (iii) the approval of an amendment to Tectonic’s certificate of incorporation to increase its authorized stock, (iv) to the extent such person is entitled to vote or exercise a right to consent with respect to such matter, effecting the preferred stock conversion immediately prior to conversion of the Company SAFEs, which Company SAFEs conversion shall occur immediately prior to the private placement financings, (v) waiving any preemptive right, right of participation, right of maintenance, anti-dilution right or any similar right as may otherwise be provided to such stockholder under Tectonic’s certificate of incorporation or bylaws in connection with the merger and related transactions contemplated by the Merger Agreement, and (vi) against any acquisition proposal from a third party. </w:t>
      </w:r>
    </w:p>
    <w:p>
      <w:pPr>
        <w:pStyle w:val="TextBody"/>
        <w:bidi w:val="0"/>
        <w:spacing w:before="240" w:after="0"/>
        <w:jc w:val="left"/>
        <w:rPr>
          <w:rFonts w:ascii="Times New Roman" w:hAnsi="Times New Roman"/>
          <w:sz w:val="20"/>
        </w:rPr>
      </w:pPr>
      <w:r>
        <w:rPr>
          <w:rFonts w:ascii="Times New Roman" w:hAnsi="Times New Roman"/>
          <w:sz w:val="20"/>
        </w:rPr>
        <w:t xml:space="preserve">These Tectonic stockholders have also granted Tectonic an irrevocable proxy to vote their respective shares of Tectonic capital stock in accordance with the support agreements. These Tectonic stockholders have also agreed not to solicit any Acquisition Proposals or Acquisition Inquiries, and agreed to waive any appraisal or dissenters’ rights relating to the merger.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30, 2024, the Tectonic stockholders that are party to a support agreement with Tectonic owned approximately 88.0% of the voting power of Tectonic., and in any event no later than four business days thereafter, Following the effectiveness of the registration statement on Form S-4 of which this proxy statement/prospectus is a part and pursuant to the Merger Agreement, Tectonic stockholders holding a sufficient number of shares of Tectonic capital stock to adopt the Merger Agreement and approve the merger and related transactions will execute a written consent providing for such adoption and approval. Therefore, holders of a sufficient number of shares of Tectonic capital stock required to adopt the Merger Agreement and approve the merger and related transactions are contractually obligated to adopt the Merger Agreement are expected to adopt the Merger Agreement via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Under these support agreements, subject to certain exceptions, such stockholders have also agreed not to sell or transfer their shares of Tectonic capital stock and securities convertible into shares of Tectonic capital stock held by them, or any voting rights with respect thereto, until the earliest to occur of the termination of the Merger Agreement, the completion of the merger, and the termination of the support agreement, subject to certain exceptions. To the extent that any such sale or transfer is permitted pursuant to the exceptions included in the support agreement, each person to which any shares of Tectonic capital stock or securities convertible into shares of Tectonic capital stock are so sold or transferred must agree in writing to be bound by the terms and provisions of the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order to induce Tectonic to enter into the Merger Agreement, certain AVROBIO stockholders are parties to support agreements with AVROBIO pursuant to which, among other things, each such stockholder, solely in his, her or its capacity as a AVROBIO stockholder, has agreed to vote all of such stockholder’s shares of AVROBIO capital stock in favor of (i) the Nasdaq Stock Issuance Proposal, (ii) the Reverse Stock Split Proposal, (iii) the Officer Exculpation Proposal Incentive Plan Proposal, (iv) the ESPP Proposal, (v) against any competing Acquisition Proposal and (vi) in favor of an adjournment of the meeting of the AVROBIO stockholders, if necessary, to solicit additional proxies if there are not sufficient votes in favor of the approval matters. </w:t>
      </w:r>
    </w:p>
    <w:p>
      <w:pPr>
        <w:pStyle w:val="TextBody"/>
        <w:bidi w:val="0"/>
        <w:spacing w:before="240" w:after="0"/>
        <w:jc w:val="left"/>
        <w:rPr>
          <w:rFonts w:ascii="Times New Roman" w:hAnsi="Times New Roman"/>
          <w:sz w:val="20"/>
        </w:rPr>
      </w:pPr>
      <w:r>
        <w:rPr>
          <w:rFonts w:ascii="Times New Roman" w:hAnsi="Times New Roman"/>
          <w:sz w:val="20"/>
        </w:rPr>
        <w:t xml:space="preserve">These AVROBIO stockholders have also granted AVROBIO an irrevocable proxy to vote their respective shares of AVROBIO capital stock in accordance with the support agreements. These AVROBIO stockholders have also agreed not to solicit any Acquisition Proposals or Acquisition Inquiries, and agreed to waive any appraisal or dissenters’ rights relating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January 30, 2024, the AVROBIO stockholders that are party to support agreements with AVROBIO owned approximately 10.8% of the outstanding shares of AVROBIO capital stock. These stockholders include executive officers and directors of AVROBIO, as well as certain other stockholders owning a significant portion of the outstanding shares of AVROBIO capital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these support agreements, subject to certain exceptions, such stockholders have also agreed not to sell or transfer their shares of AVROBIO capital stock and securities convertible into shares of AVROBIO capital stock held by them, or any voting rights with respect thereto, until the earliest to occur of the termination of the Merger Agreement, the completion of the merger, and the termination of the support agreement, subject to certain exceptions. To the extent that any such sale or transfer is permitted pursuant to the exceptions included in the support agreement, each person to which any shares of AVROBIO capital stock or securities convertible into shares of AVROBIO capital stock are so sold or transferred must agree in writing to be bound by the terms and provisions of the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both the support agreements signed by AVROBIO stockholders and the support agreements signed by Tectonic stockholders, the support obligations of such stockholders are released as of the earlier of (a) such date and time as the Merger Agreement shall have been terminated pursuant to the terms thereof or (b)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support agreements do not purport to be complete and are qualified in their entirety by the full text of the forms of support agreements, which are attached hereto as </w:t>
      </w:r>
      <w:r>
        <w:rPr>
          <w:rFonts w:ascii="Times New Roman" w:hAnsi="Times New Roman"/>
          <w:sz w:val="20"/>
          <w:u w:val="single"/>
        </w:rPr>
        <w:t>Annex C</w:t>
      </w:r>
      <w:r>
        <w:rPr>
          <w:rFonts w:ascii="Times New Roman" w:hAnsi="Times New Roman"/>
          <w:sz w:val="20"/>
        </w:rPr>
        <w:t xml:space="preserve"> and </w:t>
      </w:r>
      <w:r>
        <w:rPr>
          <w:rFonts w:ascii="Times New Roman" w:hAnsi="Times New Roman"/>
          <w:sz w:val="20"/>
          <w:u w:val="single"/>
        </w:rPr>
        <w:t>Annex D</w:t>
      </w:r>
      <w:r>
        <w:rPr>
          <w:rFonts w:ascii="Times New Roman" w:hAnsi="Times New Roman"/>
          <w:sz w:val="20"/>
        </w:rPr>
        <w:t xml:space="preserve">, respectively. </w:t>
      </w:r>
    </w:p>
    <w:p>
      <w:pPr>
        <w:pStyle w:val="TextBody"/>
        <w:bidi w:val="0"/>
        <w:spacing w:before="360" w:after="0"/>
        <w:jc w:val="left"/>
        <w:rPr>
          <w:rFonts w:ascii="Times New Roman" w:hAnsi="Times New Roman"/>
          <w:b/>
          <w:sz w:val="20"/>
        </w:rPr>
      </w:pPr>
      <w:bookmarkStart w:id="88" w:name="toc770053_85"/>
      <w:bookmarkEnd w:id="88"/>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Tectonic’s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AVROBIO’s common stock or any securities convertible into or exercisable or exchangeable for AVROBIO common stock, currently or thereafter owned, until 180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Tectonic stockholders who have executed lock-up agreements as of January 30, 2024 owned, in the aggregate, approximately 88.0% of the outstanding voting power of Tectonic’s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Certain of AVROBIO’s directors have entered into lock-up agreements, pursuant to which such stockholders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AVROBIO’s common stock or any securities convertible into or exercisable or exchangeable for AVROBIO common stock, currently or thereafter owned, until 180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AVROBIO stockholders who have executed lock-up agreements as of January 30, 2024 owned, in the aggregate, approximately 10.8% of the shares of AVROBIO common stock as of January 30, 2024.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hereto as </w:t>
      </w:r>
      <w:r>
        <w:rPr>
          <w:rFonts w:ascii="Times New Roman" w:hAnsi="Times New Roman"/>
          <w:sz w:val="20"/>
          <w:u w:val="single"/>
        </w:rPr>
        <w:t>Annex E</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89" w:name="toc770053_86"/>
      <w:bookmarkEnd w:id="89"/>
      <w:r>
        <w:rPr>
          <w:rFonts w:ascii="Times New Roman" w:hAnsi="Times New Roman"/>
          <w:b/>
          <w:sz w:val="20"/>
        </w:rPr>
        <w:t xml:space="preserve">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execution and delivery of the Merger Agreement, certain purchasers, including certain existing investors of Tectonic, entered into the Subscription Agreement with Tectonic, pursuant to which such investors have agreed to purchase Tectonic common stock, representing an aggregate commitment of $96.6 million, in the private financings, for an aggregate purchase price among the transactions contemplated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Subscription Agreement and the Company SAFEs of approximately $130.7 million. Under the Subscription Agreement, Tectonic agreed to sell an aggregate of 7,790,889 of shares of Tectonic common stock at a purchase price per share equal to $12.39908.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or any other condition to the merger, there can be no assurance that AVROBIO and Tectonic will ultimately determine, in their sole discretion, not to waive such condition.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Agreement contains customary representations and warranties of Tectonic and also contain customary representations and warranties of the purchasers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Tectonic common stock pursuant to the Subscription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representations and warranties in the Subscription Agreement being true and correct in all respects as of the effective date of the Subscription Agreement and true and correct in all material respects as of the closing date for the private financings,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having performed and complied in all material respects with all covenants, agreements, obligations and conditions required to be performed or complied with by it;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the chief executive officer of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(other than the condition regarding the private financings) and the closing of the merger being set to occur substantially concurrently with the closings of the private financings;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customary certificate by the secretary of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corporate and other proceedings in connection with the transactions contemplated at the closings of the private financings and all documents incident thereto being reasonably satisfactory in form and substance to each purchaser;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and the closing of the merger being set to occur substantially concurrently with the closings of the private financings.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Tectonic’s obligation to sell shares of its common stock to each purchaser pursuant to the Subscription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the purchasers being true and correct as of the effective date of the securities purchase agreement and true and correct in all material respects as of the closing date of the private financings,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and complied with all covenants, agreements, obligations and conditions required to be performed or complied with by each purchaser;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and the closing of the merger being set to occur substantially concurrently with the closings of the private financings.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consummation of the transactions contemplated thereby, the Subscription Agreement may be changed, waived, amended or modified only by a written instrument executed by Tectonic, the purchasers committed to purchase at least a majority of the shares sold in the private financing and the purchasers who are not existing stockholders in Tectonic, committed to purchase at least a majority of the shares sold in the private financing to such new purchasers. The Subscription Agreement may be terminated upon the earlier to occur of (i) such date and time that the Merger Agreement is terminated in accordance with its terms, (ii) upon the mutual written agreement of Tectonic, the purchasers committed to purchase at least a majority of the shares sold in the private financing and the purchasers who are not existing stockholders in Tectonic committed to purchase at least a majority of the shares sold in the private financing to such new purchasers and (iii) if the closing has not occurred on or before October 31, 2024, other than as a result of a willful breach of a purchaser’s obligations under the Subscription Agreement. </w:t>
      </w:r>
    </w:p>
    <w:p>
      <w:pPr>
        <w:pStyle w:val="TextBody"/>
        <w:bidi w:val="0"/>
        <w:spacing w:before="360" w:after="0"/>
        <w:jc w:val="left"/>
        <w:rPr>
          <w:rFonts w:ascii="Times New Roman" w:hAnsi="Times New Roman"/>
          <w:b/>
          <w:sz w:val="20"/>
        </w:rPr>
      </w:pPr>
      <w:bookmarkStart w:id="90" w:name="toc770053_87"/>
      <w:bookmarkEnd w:id="90"/>
      <w:r>
        <w:rPr>
          <w:rFonts w:ascii="Times New Roman" w:hAnsi="Times New Roman"/>
          <w:b/>
          <w:sz w:val="20"/>
        </w:rPr>
        <w:t xml:space="preserve">CVR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CVRs will be governed by the terms of the CVR Agreement, which will be entered into at or prior to the effective time by AVROBIO and a rights agent to be designated by AVROBIO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Merger Agreement, AVROBIO intends to declare a dividend to its common stockholders of record the right to receive one non-transferable CVR for each outstanding share of AVROBIO common stock held by such stockholder as of such date, each representing the non-transferable contractual right to receive certain contingent payments if any, received by AVROBIO upon the occurrence of certain events within agreed time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Characteristics of the CVRs; Restrictions on Transfer </w:t>
      </w:r>
    </w:p>
    <w:p>
      <w:pPr>
        <w:pStyle w:val="TextBody"/>
        <w:bidi w:val="0"/>
        <w:spacing w:before="120" w:after="0"/>
        <w:jc w:val="left"/>
        <w:rPr>
          <w:rFonts w:ascii="Times New Roman" w:hAnsi="Times New Roman"/>
          <w:sz w:val="20"/>
        </w:rPr>
      </w:pPr>
      <w:r>
        <w:rPr>
          <w:rFonts w:ascii="Times New Roman" w:hAnsi="Times New Roman"/>
          <w:sz w:val="20"/>
        </w:rPr>
        <w:t xml:space="preserve">The CVRs may not be sold, assigned, transferred, pledged, encumbered or otherwise transferred or disposed of, in whole or in part, other than pursuant to any of the following permitted transfers: (i) upon death of a holder thereof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to the extent allowable by DTC; or (v) as the CVRs may be abandoned in accordance with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CVRs will not be evidenced by a certificate or any other instrument. The CVRs will not have any voting or dividend rights, and interest will not accrue on any amounts payable in respect of the CVRs to any holder thereof. The CVRs will not represent any equity or ownership interest in AVROBIO in any constituent company to the merger. The rights agent will maintain an up-to-date register for the purpose of registering the CVRs and permitted transfers thereof. AVROBIO’s obligation to make the CVR payment, if any becomes due, is neither secured nor guaranteed by AVROBIO or any of its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CVR Payments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CVR Agreement, each CVR holder is entitled to certain rights to receive a pro rata portion of 80% of the net proceeds, if any, received by AVROBIO as a result of an AVROBIO disposition (including a license) after the effective date and prior to the 18-month anniversary of the closing, received within the 10-year CVR Term following the closing; provided that no contingent payment will be payable to any holder of the CVRs until such time as the then-outstanding and undistributed proceeds exceeds $350,000 in the aggregate. Any such payments will be net of the following permitted deductions (in each case as calculated in accordance with GAAP in a manner consistent with AVROBIO’s accounting practices and the most recently filed annual audited financial statements with the SEC):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applicable tax imposed on the gross proceeds;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reasonable and documented out-of-pocket costs and expenses following the closing incurred by AVROBIO or its affiliates in respect of its performance of the CVR Agreement, including any costs related to the prosecution, maintenance or enforcement by AVROBIO or any of its subsidiaries of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reasonable and documented out-of-pocket costs and expenses incurred or accrued by AVROBIO or its affiliates in respect of the negotiation, entry into and closing of any AVROBIO disposition of any AVROBIO pre-closing asset;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losses actually incurred, and actually paid or actually payable, or reasonably expected to be incurred and subsequently actually paid by AVROBIO or its affiliates arising out of any third-party claims relating to or in connection with any AVROBIO disposition of any AVROBIO pre-closing assets and, without duplication, including indemnification obligations of AVROBIO or any of its affiliates set forth in a definitive written agreement with respect to a AVROBIO disposition;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proceeds in consideration for a AVROBIO disposition pursuant to a definitive written agreement included in the final determination of AVROBIO’s net cash in accordance with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CVR Term, no CVR holders will be entitled to any payments under the CVR Agreement (except to the extent that any payments were earned prior to the end of the CVR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Obligations of AVROBIO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No later than 45 days following the end of each calendar quarter of following the closing, AVROBIO will deliver to the rights agent, or in some cases, to the rights agent or as the rights agent directs, an amount equal to 80% of the net proceeds for the applicable payment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of the CVR Agreement </w:t>
      </w:r>
    </w:p>
    <w:p>
      <w:pPr>
        <w:pStyle w:val="TextBody"/>
        <w:bidi w:val="0"/>
        <w:spacing w:before="120" w:after="0"/>
        <w:jc w:val="left"/>
        <w:rPr>
          <w:rFonts w:ascii="Times New Roman" w:hAnsi="Times New Roman"/>
          <w:sz w:val="20"/>
        </w:rPr>
      </w:pPr>
      <w:r>
        <w:rPr>
          <w:rFonts w:ascii="Times New Roman" w:hAnsi="Times New Roman"/>
          <w:sz w:val="20"/>
        </w:rPr>
        <w:t xml:space="preserve">AVROBIO may, at any time and from time to time, enter into one or more amendments to the CVR Agreement for any of the following purposes, without the consent of any of the holders of CVRs: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appointment of another person as a successor rights agent and the assumption by any successor rights agent of the covenants and obligations of the rights agent pursuant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AVROBIO and the assumption of any such successor of the covenants of AVROBIO pursuant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AVROBIO such further covenants, restrictions, conditions or provisions as AVROBIO and the right agent will consider to be for the protection and benefit of the holders of CVRs, provided that such provisions do not adversely affect the interests of the holders of CVRs;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110"/>
        <w:gridCol w:w="60"/>
        <w:gridCol w:w="9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inconsistency, provided such provisions do not adversely effect interests of the holders of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CVRs are not subject to registration under the Securities Act or the Exchange Act and the rules and regulations made thereunder, or any applicable state securities or “blue sky”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AVROBIO is not required to produce a prospectus or an admission document in order to comply with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cancel CVRs (i) in the event that any holder of CVRs has abandoned its rights to such CVRs, (ii) in order to effect the Intended Tax Treatment (as defined in the CVR Agreement, or (iii) following a transfer of such CVRs to AVROBIO or its affiliates;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AVROBIO complies with applicable law;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adding, eliminating or changing any provisions, provided that, in each case, such additions, eliminations or changes do not adversely affect the interests of the holders of CVRs.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will (or will cause the rights agent to) provide notice in general terms of the substance of any amendment to the CVR Agreement to the holders of the CVRs promptly after execution by AVROBIO and the rights agent, if applicable, of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The CVR Agreement will terminate and be of no force or effect, the parties will have no liability thereunder, and the CVRs will expire without any consideration or compensation therefore, upon the expiration of the CVR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the CVR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also provides, among other things,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duties, responsibilities, rights and immunities of the rights agent, and procedures for the resignation or removal of the rights agent and appointment of a successor;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to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prohibition on AVROBIO granting any lien, security, interest, pledge or similar interest in any AVROBIO pre-closing assets or net proceeds;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laws of the State of Delaware, exclusive jurisdiction over the parties by the Chancery Court of the State of Delaware, County of New Castle, or, if under applicable law exclusive jurisdiction is vested in the Federal courts, the U.S. District Court for the District of Delaware (and appellate courts thereof), and waiver of trial by jury.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the full text of the form of CVR Agreement, which is attached hereto as </w:t>
      </w:r>
      <w:r>
        <w:rPr>
          <w:rFonts w:ascii="Times New Roman" w:hAnsi="Times New Roman"/>
          <w:sz w:val="20"/>
          <w:u w:val="single"/>
        </w:rPr>
        <w:t>Annex F</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of the CVRs to Holders of AVROBIO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relating to the issuance of the CVRs and payments (if any) thereon to AVROBIO stockholders pursuant to the CVR Agreement, but does not purport to be a complete analysis of all potential tax effects. This section applies only to persons that hold their AVROBIO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in individual retirement accounts or other tax-deferred accounts;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AVROBIO voting shares or five percent or more of the total value of all classes of shares of AVROBIO;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AVROBIO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AVROBIO common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AVROBIO as part of a straddle, constructive sale, hedging, conversion or other integrated or similar transaction;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AVROBIO common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AVROBIO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AVROBIO common stock, the tax treatment of such partnership and any person treated as a partner of such partnership will generally depend on the status and activities of the partner and the activities of the partnership. If you are a partner of a partnership or other pass-through entity holding AVROBIO common stock, you should consult your tax advisors regarding the tax consequences of the issuance of the CVRs and distributions of AVROBIO common stock pursuant to the CVRs.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tax consequences of the CVRs under state, local and foreign tax laws. Furthermore, the following discussion does not address any tax consequences of transactions effectuated before, after or at the same time as the issuance of the CVRs, whether or not they are in connection with the issuance of the CVRs, including, without limitation, the merger and the reverse stock split, except as specifically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The CVRs generally may not be transferred or assigned except for certain permitted transfers; accordingly, this discussion assumes the CVRs are not transferable or assignable and does not address any consequences of transferring, assigning or otherwise disposing of the CVRs or any interest therein. No ruling from the IRS,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opinion from counsel, has been or will be requested in connection with the issuance of the CVRs. AVROBIO stockholders should be aware that the IRS could adopt a position contrary to that set forth in this discussion and which could be sustained by a court.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CONSEQUENCES OF THE ISSUANCE OF THE CVRS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Tax Treatment of the CVRs and the Proposed Reverse Stock Split </w:t>
      </w:r>
    </w:p>
    <w:p>
      <w:pPr>
        <w:pStyle w:val="TextBody"/>
        <w:bidi w:val="0"/>
        <w:spacing w:before="120" w:after="0"/>
        <w:jc w:val="left"/>
        <w:rPr>
          <w:rFonts w:ascii="Times New Roman" w:hAnsi="Times New Roman"/>
          <w:sz w:val="20"/>
        </w:rPr>
      </w:pPr>
      <w:r>
        <w:rPr>
          <w:rFonts w:ascii="Times New Roman" w:hAnsi="Times New Roman"/>
          <w:sz w:val="20"/>
        </w:rPr>
        <w:t>Although the matter is not free from doubt, AVROBIO intends to treat the issuance of the CVRs (together with any payments on the CVRs) and the AVROBIO reverse stock split as separate transactions for U.S. federal income tax purposes, and the following discussion (except as discussed below under “—</w:t>
      </w:r>
      <w:r>
        <w:rPr>
          <w:rFonts w:ascii="Times New Roman" w:hAnsi="Times New Roman"/>
          <w:i/>
          <w:sz w:val="20"/>
        </w:rPr>
        <w:t>Alternative Treatment of the Receipt of CVRs and the AVROBIO Reverse Stock Split as a Single Recapitalization”)</w:t>
      </w:r>
      <w:r>
        <w:rPr>
          <w:rFonts w:ascii="Times New Roman" w:hAnsi="Times New Roman"/>
          <w:sz w:val="20"/>
        </w:rPr>
        <w:t xml:space="preserve"> assumes this treatment will be respected. The IRS could successfully challenge this position, however. AVROBIO urges you to consult your tax advisor with respect to whether the issuance of the CVRs (and any payments on the CVRs), on the one hand, and the proposed reverse stock split, on the other, constitute separate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CVRs by AVROBIO U.S. 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a “U.S. Holder” is a beneficial owner of AVROBIO common stock that is for U.S. federal income tax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“U.S. persons” (within the meaning of Section 7701(a)(30) of the Code) have the authority to control all substantial decisions of the trust or (2) it has a valid election in place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substantial uncertainty as to the tax treatment of CVRs. Specifically, there is no authority addressing whether contingent value rights with characteristics similar to the CVRs should be treated as a current distribution of property with respect to the corporation’s stock, a distribution of equity, a “debt instrument” or an “open transaction,” or in some other manner for U.S. federal income tax purposes. For these reasons, Goodwin and Cooley, the tax counsels for AVROBIO and Tectonic, respectively, cannot express an opinion on the U.S. federal income tax treatment of the issuance of the CVRs or receipt of payments (if any) pursuant to the CVRs. Accordingly, holders are urged to consult with their tax advisors regarding this issue. </w:t>
      </w:r>
    </w:p>
    <w:p>
      <w:pPr>
        <w:pStyle w:val="TextBody"/>
        <w:bidi w:val="0"/>
        <w:spacing w:before="240" w:after="0"/>
        <w:jc w:val="left"/>
        <w:rPr>
          <w:rFonts w:ascii="Times New Roman" w:hAnsi="Times New Roman"/>
          <w:sz w:val="20"/>
        </w:rPr>
      </w:pPr>
      <w:r>
        <w:rPr>
          <w:rFonts w:ascii="Times New Roman" w:hAnsi="Times New Roman"/>
          <w:sz w:val="20"/>
        </w:rPr>
        <w:t xml:space="preserve">However, based on the specific characteristics of the CVRs, AVROBIO intends to take the position that the fair market value of the CVRs cannot be reasonably ascertained on the date of the issuance of the CVRs (the “CVR Distribution Date”), and, accordingly, the issuance of the CVRs constitutes an “open transaction” for U.S. federal income tax purposes. Accordingly, the combined company does not intend to report the issuance of the CVRs as a current distribution of property with respect to its stock and instead intends to report each future cash payment (if any) on the CVRs as a distribution by the combined company for U.S. federal income tax purposes, with each such payment being reported as a dividend to the extent of the combined company’s current and accumulated earnings and profits in the year in which such payment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AVROBIO’s intended reporting position is correct, a U.S. Holder would generally not recognize income in respect of the CVRs on the CVR Distribution Date and would take no tax basis in the CVRs. Any future cash payments would constitute a dividend to the extent of the combined company’s current and accumulated earnings and profits (as determined for U.S. federal income tax purposes) in the taxable year of such payment, then as a non-taxable return of capital to the extent of such holder’s basis in its AVROBIO common stock, if any, and finally as capital gain from the sale or exchange of AVROBIO common stock. Dividends received by individual U.S. Holders are generally eligible for reduced rates of taxation applicable to long-term capital gains, provided certain requirements are met. </w:t>
      </w:r>
    </w:p>
    <w:p>
      <w:pPr>
        <w:pStyle w:val="TextBody"/>
        <w:bidi w:val="0"/>
        <w:spacing w:before="240" w:after="0"/>
        <w:jc w:val="left"/>
        <w:rPr>
          <w:rFonts w:ascii="Times New Roman" w:hAnsi="Times New Roman"/>
          <w:sz w:val="20"/>
        </w:rPr>
      </w:pPr>
      <w:r>
        <w:rPr>
          <w:rFonts w:ascii="Times New Roman" w:hAnsi="Times New Roman"/>
          <w:sz w:val="20"/>
        </w:rPr>
        <w:t xml:space="preserve">However, the IRS could instead assert that the issuance of the CVRs should be treated as a “closed transaction.” Under “closed transaction” treatment, a U.S. Holder would be treated as receiving a distribution equal to the fair market value (determined on the CVR Distribution Date) of the CVRs issued to such U.S. Holder on the CVR Distribution Date. The amount of this distribution generally would be treated first as a taxable dividend to the extent of the U.S. Holder’s pro rata share of AVROBIO’s current and accumulated earnings and profits (as determined for U.S. federal income tax purposes), then as a non-taxable return of capital to the extent of the U.S. Holder’s basis in its AVROBIO common stock, and finally as capital gain from the sale or exchange of AVROBIO common stock. A U.S. Holder’s tax basis in the CVRs received would equal the fair market value of the CVRs on the CVR Distribution Date and the holding period of the CVRs received would begin on the day following the CVR Distribution Date. Although not free from doubt, a future cash payment under a CVR would likely be treated as a non-taxable return of a U.S. Holder’s adjusted tax basis in the CVR to the extent thereof, although the timing of the recovery of a U.S. Holder’s tax basis is unclear. A payment in excess of such amount may be treated as a payment with respect to a sale of a capital asset, ordinary income or a dividend. Additionally, it is possible that a portion of future cash payments would constitute imputed interest and taxed as such. A U.S. Holder might recognize loss, which might be a capital loss and could be a long-term capital loss, upon the expiration of the CVR to the extent cash payments ultimately received pursuant to such CVR were less than the U.S. Holder’s adjusted tax basis in the CVRs, but whether and when such a loss would be recognized is unclear.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although AVROBIO believes unlikely, that the issuance of the CVRs could be treated as one or more “debt instruments” or as a distribution of equity. </w:t>
      </w:r>
    </w:p>
    <w:p>
      <w:pPr>
        <w:pStyle w:val="TextBody"/>
        <w:bidi w:val="0"/>
        <w:spacing w:before="240" w:after="0"/>
        <w:jc w:val="left"/>
        <w:rPr>
          <w:rFonts w:ascii="Times New Roman" w:hAnsi="Times New Roman"/>
          <w:sz w:val="20"/>
        </w:rPr>
      </w:pPr>
      <w:r>
        <w:rPr>
          <w:rFonts w:ascii="Times New Roman" w:hAnsi="Times New Roman"/>
          <w:sz w:val="20"/>
        </w:rPr>
        <w:t xml:space="preserve">U.S. Holders are urged to consult their tax advisors with respect to the proper characterization of the CVRs and the tax consequences thereof (including any future cash payments made under the CVRs).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CVRs by AVROBIO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means a beneficial owner of AVROBIO common stock that is neither a U.S. Holder nor a partnership (or other pass-through entity)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there is substantial uncertainty as to the tax treatment of CVRs and payments made thereunder. AVROBIO intends to take the position that any future cash payments on the CVRs are distributions with respect to AVROBIO common stock and that such distributions constitute dividends to the extent payable out of the combined company’s current and accumulated earnings and profits (as determined under U.S. federal income tax principles) in the taxable year of such future cash payment. Assuming such position is correct, amounts not treated as dividends for U.S. federal income tax purposes would constitute a return of capital and first be applied against and reduce a Non-U.S. Holder’s adjusted tax basis in its common stock, but not below zero, and any excess would be treated as capital gain with respect to such Non-U.S. Holder’s AVROBIO common stock. However, this intended position is subject to substantial uncertainty, and, accordingly, Non-U.S. Holders are urged to consult their tax advisors with respect to the proper characterization of the CVRs and the tax consequences thereof (including any future cash payments made under the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light of AVROBIO’s intended reporting position, it is expected that Non-U.S. Holders would generally be subject to U.S. federal withholding tax at a rate of 30% on any future cash payments on the CVRs. Such withholding may be reduced or eliminated if the Non-U.S. Holder properly certifies qualification for a lower withholding rate under an applicable tax treaty or an exemption from withholding as a result of dividends on the AVROBIO common stock being effectively connected with the Non-U.S. Holder’s conduct of a trade or business within the United States (and, if required by an applicable tax treaty, the Non-U.S. Holder maintains a permanent establishment in the United States to which such dividends are attributable). A Non-U.S. Holder that is a corporation also could be subject to a branch profits tax at a rate of 30% (or such lower rate specified by an applicable tax treaty) on income attributable to the CVRs.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does not discuss all of the tax considerations that may be applicable to a Non-U.S. Holder of CVRs. Non-U.S. Holders are urged to consult their own tax advisors to determine the U.S. federal, state, local and non-U.S. income and other tax considerations that may be relevant to them in light of their particular circumstances. Non-U.S. Holders should consult their tax advisors regarding the applicability of information reporting and backup withholding and/or withholding under the Foreign Account Tax Compliance Act with respect to the CVRs and any future cash payments under the CVRs, particularly in light of the uncertainty under U.S. federal income tax law relating to the tax treatment of the CVRs. </w:t>
      </w:r>
    </w:p>
    <w:p>
      <w:pPr>
        <w:pStyle w:val="TextBody"/>
        <w:bidi w:val="0"/>
        <w:spacing w:before="360" w:after="0"/>
        <w:jc w:val="left"/>
        <w:rPr>
          <w:rFonts w:ascii="Times New Roman" w:hAnsi="Times New Roman"/>
          <w:i/>
          <w:sz w:val="20"/>
        </w:rPr>
      </w:pPr>
      <w:r>
        <w:rPr>
          <w:rFonts w:ascii="Times New Roman" w:hAnsi="Times New Roman"/>
          <w:i/>
          <w:sz w:val="20"/>
        </w:rPr>
        <w:t xml:space="preserve">Alternative Treatment of the Receipt of CVRs and the AVROBIO Reverse Stock Split as a Single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AVROBIO’s position that the issuance of CVRs and the AVROBIO reverse stock split are appropriately treated as separate transactions, it is possible that the IRS or a court could determine that the issuance of the CVRs (and/or any payments thereon) and the AVROBIO reverse stock split constitute a single “recapitalization” for U.S. federal income tax purposes with the CVRs constituting taxable “boot” received in such recapitalization exchange. In such case, the tax consequences of the CVRs and the AVROBIO reverse stock split would differ from those described above and would depend in part on many of the same considerations described above. </w:t>
      </w:r>
    </w:p>
    <w:p>
      <w:pPr>
        <w:pStyle w:val="TextBody"/>
        <w:bidi w:val="0"/>
        <w:spacing w:before="240" w:after="0"/>
        <w:jc w:val="left"/>
        <w:rPr>
          <w:rFonts w:ascii="Times New Roman" w:hAnsi="Times New Roman"/>
          <w:b/>
          <w:sz w:val="20"/>
        </w:rPr>
      </w:pPr>
      <w:r>
        <w:rPr>
          <w:rFonts w:ascii="Times New Roman" w:hAnsi="Times New Roman"/>
          <w:b/>
          <w:sz w:val="20"/>
        </w:rPr>
        <w:t xml:space="preserve">PLEASE CONSULT YOUR TAX ADVISOR WITH RESPECT TO THE PROPER CHARACTERIZATION OF THE ISSUANCE OF THE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1" w:name="toc770053_88"/>
      <w:bookmarkEnd w:id="91"/>
      <w:r>
        <w:rPr>
          <w:rFonts w:ascii="Times New Roman" w:hAnsi="Times New Roman"/>
          <w:b/>
          <w:sz w:val="20"/>
        </w:rPr>
        <w:t xml:space="preserve">AVROBIO DIRECTORS, OFFICERS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as of March 15, 2024, concerning AVROBIO’s directors and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9"/>
        <w:gridCol w:w="120"/>
        <w:gridCol w:w="6955"/>
        <w:gridCol w:w="120"/>
        <w:gridCol w:w="79"/>
        <w:gridCol w:w="346"/>
        <w:gridCol w:w="76"/>
      </w:tblGrid>
      <w:tr>
        <w:trPr/>
        <w:tc>
          <w:tcPr>
            <w:tcW w:w="2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50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9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Positions Held with AVROBIO</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Gail Farfel, Ph.D.</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60</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Paige, Ph.D.</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71</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Philip J. Vickers, Ph.D.</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64</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Ian Clark</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63</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Annalisa Jenkins, M.B.B.S., F.R.C.P.</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58</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Bruce Booth, D.Phil.</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50</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63</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President, Interim Chief Executive Officer, Chief Financial Officer and Treasurer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51</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Avruch</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Chief Legal Officer and Secretary</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63</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 Ph.D.</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Chief Technology Officer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45</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Essra Ridha, M.D., MRCP, FFPM</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Chief Medical Officer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41</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Gail M. Farfel, Ph.D.</w:t>
      </w:r>
      <w:r>
        <w:rPr>
          <w:rFonts w:ascii="Times New Roman" w:hAnsi="Times New Roman"/>
          <w:sz w:val="20"/>
        </w:rPr>
        <w:t xml:space="preserve"> has served as a member of the AVROBIO Board since October 2020. Dr. Farfel served as the chief executive officer of ProMIS Neurosciences, Inc., a biopharmaceutical company, from September 2022 to December 2023. From June 2015 to September 2022, Dr. Farfel was executive vice president and chief development officer of Zogenix Inc., a biopharmaceutical company. Previously, Dr. Farfel was chief clinical and regulatory officer of Marinus Pharmaceuticals (Nasdaq: MRNS), establishing and overseeing clinical, medical and regulatory strategies for adult and pediatric seizure disorders, including a pediatric epileptic orphan disease. She also previously served as vice president, therapeutic area head for neuroscience clinical development and medical affairs at Novartis Pharmaceuticals Corporation, where she oversaw a portfolio of products for multiple sclerosis, Alzheimer’s disease and Parkinson’s disease. Dr. Farfel serves on the board of directors of Durect Corporation (Nasdaq: DRRX). She previously served on the board of directors of Zogenix International Ltd., a wholly owned subsidiary of Zogenix, Inc. (Nasdaq: ZGNX). Dr. Farfel holds a Ph.D. in neuropsychopharmacology from the University of Chicago, where she received the Ginsburg Prize for Dissertation Excellence and is a director on the Medical and Biological Sciences Alumni Board. She also holds a B.S in biochemistry from the University of Virginia. AVROBIO believes that Dr. Farfel is qualified to serve on the AVROBIO Board because of her scientific, executive, and industry experience in the field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Christopher Paige, Ph.D.</w:t>
      </w:r>
      <w:r>
        <w:rPr>
          <w:rFonts w:ascii="Times New Roman" w:hAnsi="Times New Roman"/>
          <w:sz w:val="20"/>
        </w:rPr>
        <w:t xml:space="preserve"> has served as a member of the AVROBIO Board since January 2016. Dr. Paige is a professor in the departments of medical biophysics and immunology at the University of Toronto and has served in that role since 1987. He also holds the position of Emeritus Senior Scientist at UHN after having served as a senior scientist at UHN from 1987 to 2021. From 1997 to October 2016, he served as the vice president, research of UHN.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also has experience serving on the board of directors of privately held companies. Dr. Paige earned a B.S. in biology at the University of Notre Dame in 1974 and a Ph.D. in immunology at the Sloan-Kettering Division of Cornell University Graduate School of Medical Sciences in 1979. AVROBIO believes Dr. Paige is qualified to serve on the AVROBIO Board because of his scientific and industry experience in the field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Philip J. Vickers, Ph.D.</w:t>
      </w:r>
      <w:r>
        <w:rPr>
          <w:rFonts w:ascii="Times New Roman" w:hAnsi="Times New Roman"/>
          <w:sz w:val="20"/>
        </w:rPr>
        <w:t xml:space="preserve"> has served as a member of the AVROBIO Board since January 2019. Dr. Vickers is president and chief executive officer of Solu Therapeutics, a biotechnology company, and has served in this role since September 2023. Dr. Vickers was the chief executive officer of Faze Medicines, a biotechnology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January 2021 to November 2022. From November 2017 until December 2020, Dr. Vickers served as the president and chief executive officer and a member of the board of directors of Northern Biologics Inc., a biotechnology company. From June 2013 until June 2017, Dr. Vickers served as global head of research and development and a member of the executive committee of Shire plc, a biotechnology company focused on the development of therapies for the treatment of rare and specialty conditions. From October 2010 to September 2013, Dr. Vickers served as the senior vice president, head of research and development, human genetic therapies at Shire. Prior to Shire, Dr. Vickers held positions of increasing responsibility in research and development at Merck &amp; Co., Inc., Pfizer Inc., Boehringer-Ingelheim International GmbH and Resolvyx Pharmaceuticals, Inc. Dr. Vickers previously served on the board of directors of Revance Therapeutics, Inc. (Nasdaq: RVNC), a biotechnology company, from February 2015 until May 2023. Dr. Vickers also serves as a scientific advisor to the PTEN Research Foundation. Dr. Vickers obtained his Ph.D. in biochemistry from the University of Toronto, which was followed by postdoctoral research in mechanisms of multidrug resistance in breast cancer at the National Cancer Institute in Bethesda, Maryland. AVROBIO believes that Dr. Vickers is qualified to serve on the AVROBIO Board because of his scientific, executive, and industry experience in the field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Ian Clark</w:t>
      </w:r>
      <w:r>
        <w:rPr>
          <w:rFonts w:ascii="Times New Roman" w:hAnsi="Times New Roman"/>
          <w:sz w:val="20"/>
        </w:rPr>
        <w:t xml:space="preserve"> has served as a member of the AVROBIO Board since January 2018. From 2010 to 2016, Mr. Clark served as the chief executive officer and head of North American commercial operations and was a member of the board of directors for Genentech, a member of the Roche Group.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held various positions of increasing responsibility at Novartis, Sanofi, Ivax and Searle, working in the USA, UK, Canada, Eastern Europe and France. Mr. Clark currently serves on the board of directors of Corvus Pharmaceuticals, Inc. (Nasdaq: CRVS), Takeda Pharmaceutical Company Limited (NYSE: TAK), Olema Pharmaceuticals, Inc. (Nasdaq: OLMA), where he serves as chairman of the board of directors, Kyverna Therapeutics, Inc. (Nasdaq: KYTX), where he serves as chairman of the board of directors, and Guardant Health, Inc. (Nasdaq: GH), where he also serves as the lead independent director. Mr. Clark serves as an advisor to KKR. Mr. Clark previously served on the board of directors of Agios Pharmaceuticals, Forty Seven, Inc., Shire plc, Kite Pharma, and TerraVia (formerly Solazyme). He also previously served on the board of directors of the Biotechnology Industry Organization (BIO), as a member of the economic advisory council of the Federal Reserve Bank of San Francisco, as an operating partner of Blackstone Life Sciences, a private investment firm focusing on the life sciences sector and an operating unit within The Blackstone Group L.P., and as a member of the strategic priorities board of BioFulcrum, an initiative within the Gladstone Institutes. Mr. Clark received a B.S. and honorary doctorate in biological sciences from Southampton University in the United Kingdom. AVROBIO believes Mr. Clark is qualified to serve on the AVROBIO Board because of his industry experience in the field in which AVROBIO operates and his executive experience with companies in AVROBIO’s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Annalisa Jenkins, M.B.B.S., F.R.C.P. </w:t>
      </w:r>
      <w:r>
        <w:rPr>
          <w:rFonts w:ascii="Times New Roman" w:hAnsi="Times New Roman"/>
          <w:sz w:val="20"/>
        </w:rPr>
        <w:t xml:space="preserve">has served as a member of the AVROBIO Board since April 2018. From November 2017 until April 2019, Dr. Jenkins served as the chief executive officer of PlaqueTec Ltd., a biotechnology company focusing on coronary artery disease treatment and prevention. Previously, Dr. Jenkins served as the president and chief executive officer and a member of the board of directors of Dimension Therapeutics, Inc., a biotechnology company focused on rare and metabolic diseases associated with the liver, from September 2014 until its sale to Ultragenyx Pharmaceutical Inc.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 Company, a biopharmaceutical company, where, from July 2009 to June 2011, she was a senior vice president and head of global medical affairs. Dr. Jenkins currently serves on the board of Genomics England, a UK government entity dedicated to advancing the 100,000 Genomes Project. Dr. Jenkins also serves on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of Affimed N.V. (Nasdaq: AFMD), Compass Pathways (Nasdaq: CMPS), Mereo Biopharma Group plc (Nasdaq: MREO), Skye Bioscience, Inc. (Nasdaq: SKYE) and a number of privately held biotechnology and life science companies, and serves as a trustee to a number of non-profit organizations. Dr. Jenkins previously served on the board of numerous biotechnology and life science companies, including AgeX Therapeutics, Inc. (NYSE American: AGE), Silence Therapeutics, Ardelyx, Inc., Oncimmune Holdings plc (LSE: ONC), OncoSec Medical Incorporated, and Sensyne Health plc., and she served as a committee member of the science board to the FDA, which advised leadership on complex scientific and technical issues.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AVROBIO believes Dr. Jenkins is qualified to serve on the AVROBIO Board based on her industry experience in the field in which AVROBIO operates and her executive experience with companies in AVROBIO’s industry. </w:t>
      </w:r>
    </w:p>
    <w:p>
      <w:pPr>
        <w:pStyle w:val="TextBody"/>
        <w:bidi w:val="0"/>
        <w:spacing w:before="240" w:after="0"/>
        <w:jc w:val="left"/>
        <w:rPr>
          <w:rFonts w:ascii="Times New Roman" w:hAnsi="Times New Roman"/>
          <w:sz w:val="20"/>
        </w:rPr>
      </w:pPr>
      <w:r>
        <w:rPr>
          <w:rFonts w:ascii="Times New Roman" w:hAnsi="Times New Roman"/>
          <w:b/>
          <w:i/>
          <w:sz w:val="20"/>
        </w:rPr>
        <w:t>Bruce Booth, D.Phil.</w:t>
      </w:r>
      <w:r>
        <w:rPr>
          <w:rFonts w:ascii="Times New Roman" w:hAnsi="Times New Roman"/>
          <w:sz w:val="20"/>
        </w:rPr>
        <w:t xml:space="preserve"> has served as the Chairperson of the AVROBIO Board since February 2016. Dr. Booth joined Atlas Venture in 2005, and currently serves as general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research and development productivity, corporate strategy and business development issues across the biopharmaceutical sector. Dr. Booth is chairman of the board of directors and co-founder of Kymera Therapeutics, Inc. (Nasdaq: KYMR) and chairman of the board of directors of Vigil Neuroscience (Nasdaq: VIGL), which are biotechnology companies. He also serves on the board of several privately held companies. From February 2018 until July 2020, Dr. Booth served as chairperson of the board of directors of Unum Therapeutics Inc. (Nasdaq: UMRX), now called Cogent Biosciences (Nasdaq: COGT); from February 2017 until December 2018, Dr. Booth served as independent chairperson of the board of directors of miRagen Therapeutics, Inc. (Nasdaq: MGEN), now called Viridian Therapeutics, Inc (Nasdaq: VRDN); from August 2006 until June 2018, Dr. Booth served on the board of directors of Zafgen, Inc. (Nasdaq: ZFGN), now called Larimar Therapeutics, Inc. (Nasdaq: LRMR); and from February 2016 until September 2023, Dr. Booth served on the board of directors of Magenta Therapeutics, Inc. (Nasdaq: MGTA), now called Dianthus Therapeutics, Inc. (Nasdaq: DNTH). As a British Marshall Scholar, Dr. Booth holds a D.Phil. in molecular immunology from Oxford University’s Nuffield Department of Medicine and a B.S. in biochemistry, summa cum laude, from Pennsylvania State University. AVROBIO believes Dr. Booth’s extensive leadership, executive, managerial and business experience with life sciences companies, including experience in the formation, development and business strategy of multiple start-up companies in the life sciences sector, qualifies him to serve on the AVROBIO Board. </w:t>
      </w:r>
    </w:p>
    <w:p>
      <w:pPr>
        <w:pStyle w:val="TextBody"/>
        <w:bidi w:val="0"/>
        <w:spacing w:before="240" w:after="0"/>
        <w:jc w:val="left"/>
        <w:rPr>
          <w:rFonts w:ascii="Times New Roman" w:hAnsi="Times New Roman"/>
          <w:sz w:val="20"/>
        </w:rPr>
      </w:pPr>
      <w:r>
        <w:rPr>
          <w:rFonts w:ascii="Times New Roman" w:hAnsi="Times New Roman"/>
          <w:b/>
          <w:i/>
          <w:sz w:val="20"/>
        </w:rPr>
        <w:t>Phillip B. Donenberg</w:t>
      </w:r>
      <w:r>
        <w:rPr>
          <w:rFonts w:ascii="Times New Roman" w:hAnsi="Times New Roman"/>
          <w:sz w:val="20"/>
        </w:rPr>
        <w:t xml:space="preserve"> has served as a member of the AVROBIO Board and Audit Committee chair since June 2018. Mr. Donenberg served as senior vice 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(Nasdaq: ASRT),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(Nasdaq: TSHA), a gene therapy company, and also has experience serving on the boards of directors of privately held companies. Mr. Donenberg holds a B.S. in accountancy from the University of Illinois Champaign-Urbana College of Business and is a Certified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Accountant. AVROBIO believes Mr. Donenberg is qualified to serve on the AVROBIO Board because of his financial expertise and his experience as an executive of companies in the industry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Erik Ostrowski</w:t>
      </w:r>
      <w:r>
        <w:rPr>
          <w:rFonts w:ascii="Times New Roman" w:hAnsi="Times New Roman"/>
          <w:sz w:val="20"/>
        </w:rPr>
        <w:t xml:space="preserve"> has been AVROBIO’s Chief Financial Officer and Treasurer since January 2019 and has also served as AVROBIO’s President and Interim Chief Executive Officer since May 1, 2023. From June 2014 to December 2018, Mr. Ostrowski served as the chief financial officer of Summit Therapeutics plc., a biotechnology company. Prior to that, he served as vice president of finance at Organogenesis Inc., a biotechnology company, from July 2010 to June 2014, and previously worked in investment banking, most recently as a director with Leerink Partners LLC. Mr. Ostrowski began his career as an accountant with Coopers &amp; Lybrand (now PricewaterhouseCoopers). He received a B.S. in accounting and economics from Babson College and a M.B.A. from the University of Chicago Booth School of Business. </w:t>
      </w:r>
    </w:p>
    <w:p>
      <w:pPr>
        <w:pStyle w:val="TextBody"/>
        <w:bidi w:val="0"/>
        <w:spacing w:before="240" w:after="0"/>
        <w:jc w:val="left"/>
        <w:rPr>
          <w:rFonts w:ascii="Times New Roman" w:hAnsi="Times New Roman"/>
          <w:sz w:val="20"/>
        </w:rPr>
      </w:pPr>
      <w:r>
        <w:rPr>
          <w:rFonts w:ascii="Times New Roman" w:hAnsi="Times New Roman"/>
          <w:b/>
          <w:i/>
          <w:sz w:val="20"/>
        </w:rPr>
        <w:t>Steven Avruch</w:t>
      </w:r>
      <w:r>
        <w:rPr>
          <w:rFonts w:ascii="Times New Roman" w:hAnsi="Times New Roman"/>
          <w:sz w:val="20"/>
        </w:rPr>
        <w:t xml:space="preserve"> has been AVROBIO’s Chief Legal Officer and Secretary since March 2020 and previously served as AVROBIO’s Vice President, General Counsel and Secretary from January 2019 to March 2020. Prior to joining AVROBIO, from May 2018 to December 2018, Mr. Avruch was an independent legal consultant to biotechnology and other companies. Prior to that, Mr. Avruch served at Biogen Inc., a biotechnology company, as chief corporation counsel and assistant secretary from January 2015 to December 2017, and as associate general counsel from March 2013 to December 2014. Mr. Avruch graduated with an A.B. in Russian Studies from Dartmouth College, and later earned his J.D. from Boston College Law School. </w:t>
      </w:r>
    </w:p>
    <w:p>
      <w:pPr>
        <w:pStyle w:val="TextBody"/>
        <w:bidi w:val="0"/>
        <w:spacing w:before="240" w:after="0"/>
        <w:jc w:val="left"/>
        <w:rPr>
          <w:rFonts w:ascii="Times New Roman" w:hAnsi="Times New Roman"/>
          <w:sz w:val="20"/>
        </w:rPr>
      </w:pPr>
      <w:r>
        <w:rPr>
          <w:rFonts w:ascii="Times New Roman" w:hAnsi="Times New Roman"/>
          <w:b/>
          <w:i/>
          <w:sz w:val="20"/>
        </w:rPr>
        <w:t>Azadeh Golipour, Ph.D.</w:t>
      </w:r>
      <w:r>
        <w:rPr>
          <w:rFonts w:ascii="Times New Roman" w:hAnsi="Times New Roman"/>
          <w:sz w:val="20"/>
        </w:rPr>
        <w:t xml:space="preserve"> has been AVROBIO’s Chief Technology Officer since January 2022. Prior to that she was SVP, Portfolio Planning and Program Management from October 2021 to January 2022. From July 2016 through October 2021 Dr. Golipour held positions of increasing responsibility at AVROBIO, including: SVP, CMC Strategy &amp; Manufacturing; VP, Manufacturing Operations; Senior Director, Manufacturing Operations; and Director, Manufacturing Operations. Dr. Golipour received a Ph.D. in molecular genetics from University of Toronto (Canada) and has published multiple articles, including two first-author articles in the journal Cell, Stem Cell and one article in the journal Nature. Dr. Golipour’s articles on reprogramming stem cells have been cited more than 1,000 times. </w:t>
      </w:r>
    </w:p>
    <w:p>
      <w:pPr>
        <w:pStyle w:val="TextBody"/>
        <w:bidi w:val="0"/>
        <w:spacing w:before="240" w:after="0"/>
        <w:jc w:val="left"/>
        <w:rPr>
          <w:rFonts w:ascii="Times New Roman" w:hAnsi="Times New Roman"/>
          <w:sz w:val="20"/>
        </w:rPr>
      </w:pPr>
      <w:r>
        <w:rPr>
          <w:rFonts w:ascii="Times New Roman" w:hAnsi="Times New Roman"/>
          <w:b/>
          <w:i/>
          <w:sz w:val="20"/>
        </w:rPr>
        <w:t>Essra Ridha, M.D., M.R.C.P., F.F.P.M.</w:t>
      </w:r>
      <w:r>
        <w:rPr>
          <w:rFonts w:ascii="Times New Roman" w:hAnsi="Times New Roman"/>
          <w:sz w:val="20"/>
        </w:rPr>
        <w:t xml:space="preserve"> has been AVROBIO’s Chief Medical Officer since October 2021, and from April 2021 to July 2021, she was AVROBIO’s Vice President, Clinical Development. Prior to joining AVROBIO, from June 2019 to February 2021, Dr. Ridha was senior medical director at Sangamo Therapeutics, a biotechnology company, and before that, from March 2016 to December 2018, she served as clinical development director at GlaxoSmithKline, a pharmaceutical company. From June 2014 to March 2016, Dr. Ridha worked as a medical expert at Bristol Myers Squibb Pharmaceuticals advising on late-stage clinical development, medical affairs, real-world evidence and health economics and outcomes research in cardiovascular medicine. Dr. Ridha is a member of the Royal College of Physicians of London, as well as a Fellow of the Faculty of Pharmaceutical Medicine. She was an expert panel member at the World Health Organization Expert Advisory Committee to develop Global Standards for the Governance and Oversight of Human Genome Editing. She earned her medical degrees from the Royal Free &amp; University College London Medical School and earned her Bachelor of Science Neuroscience with Basic Medical Sciences, with honors, from University College London.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or among any of AVROBIO’s directors or executive officers. The principal occupation and employment during the past five years of each of AVROBIO’s directors and executive officers was carried on, in each case except as specifically identified above, with a corporation or organization that is not a parent, subsidiary or other affiliate of AVROBIO. Other than as described in this proxy statement/prospectus, there is no arrangement or understanding between any of AVROBIO’s directors or executive officers and any other person or persons pursuant to which he or she was or is to be selected as a director or an executive officer,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no material legal proceedings to which any of AVROBIO’s executive officers is a party adverse to AVROBIO or AVROBIO’s subsidiaries or in which any such person has a material interest adverse to AVROBIO or AVROBIO’s subsidiaries. </w:t>
      </w:r>
    </w:p>
    <w:p>
      <w:pPr>
        <w:pStyle w:val="TextBody"/>
        <w:bidi w:val="0"/>
        <w:spacing w:before="360" w:after="0"/>
        <w:jc w:val="left"/>
        <w:rPr>
          <w:rFonts w:ascii="Times New Roman" w:hAnsi="Times New Roman"/>
          <w:b/>
          <w:sz w:val="20"/>
        </w:rPr>
      </w:pPr>
      <w:bookmarkStart w:id="92" w:name="toc770053_89"/>
      <w:bookmarkEnd w:id="92"/>
      <w:r>
        <w:rPr>
          <w:rFonts w:ascii="Times New Roman" w:hAnsi="Times New Roman"/>
          <w:b/>
          <w:sz w:val="20"/>
        </w:rPr>
        <w:t xml:space="preserve">Number and Terms of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consists of seven members. In accordance with the terms of AVROBIO’s charter and bylaws, the AVROBIO Board is divided into three classes, Class I, Class II and Class III, with members of each class serving staggered three-year terms. Upon the expiration of the term of a class of directors, directors in that class will be eligible to be elected for a new three-year term at the annual meeting of stockholders in the year in which their term expires. The directors are divided among the three classes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Gail Farfel, Ph.D., Christopher Paige, Ph.D. and Philip Vickers, Ph.D., and their terms will expire at AVROBIO’s annual meeting of stockholders to be held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Ian Clark and Annalisa Jenkins, M.B.B.S., F.R.C.P., and their terms will expire at AVROBIO’s annual meeting of stockholders to be held in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Bruce Booth, D.Phil. and Phillip Donenberg, and their terms will expire at the annual meeting of stockholders to be held in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expects that any additional directorships resulting from an increase in the number of directors will be distributed among the three classes so that, as nearly as possible, each class will consist of one-third of the directors. The division of the AVROBIO Board into three classes with staggered three-year terms may delay or prevent a change of AVROBIO’s management or a change in control. </w:t>
      </w:r>
    </w:p>
    <w:p>
      <w:pPr>
        <w:pStyle w:val="TextBody"/>
        <w:bidi w:val="0"/>
        <w:spacing w:before="360" w:after="0"/>
        <w:jc w:val="left"/>
        <w:rPr>
          <w:rFonts w:ascii="Times New Roman" w:hAnsi="Times New Roman"/>
          <w:b/>
          <w:sz w:val="20"/>
        </w:rPr>
      </w:pPr>
      <w:bookmarkStart w:id="93" w:name="toc770053_90"/>
      <w:bookmarkEnd w:id="93"/>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has established an Audit Committee, a Compensation Committee, a Nominating and Corporate Governance Committee and a Science &amp; Technology Committee. Each of the Audit Committee, Compensation Committee and Nominating and Corporate Governance Committee operates under a charter that satisfies the applicable standards of the SEC and Nasdaq, and the Science &amp; Technology Committee, while not subject to specific SEC or Nasdaq rules, also operates under a charter. Each such committee reviews its respective charter at least annually. A current copy of the charter for each of the Audit Committee, Compensation Committee, Nominating and Corporate Governance Committee, and Science &amp; Technology Committee is posted on the Investors &amp; Media – Corporate Governance section of AVROBIO’s website, www.avrobio.com. The AVROBIO Board may from time to time establish other special or standing committees to facilitate the management of AVROBIO or to discharge specific duties delegated by the full AVROBIO Board. Members will serve on these committees until their resignation or until otherwise determined by the AVROBIO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Phillip Donenberg, Annalisa Jenkins and Christopher Paige serve on the AVROBIO Audit Committee, which is chaired by Mr. Donenberg. The AVROBIO Board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The AVROBIO Board has designated Mr. Donenberg as an “audit committee financial expert,” as defined under the applicable rules of the SEC. The Audit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approving the compensation of, and assessing the independence of AVROBIO’s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pre-approving auditing and permissible non-audit services, and the terms of such services, to be provided by AVROBIO’s independent registered public accounting firm;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overall audit plan with AVROBIO’s independent registered public accounting firm and members of management responsible for preparing AVROBIO’s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AVROBIO’s independent registered public accounting firm AVROBIO’s annual and quarterly financial statements and related disclosures as well as critical accounting policies and practices used by AVROBIO;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coordinating the oversight and reviewing the adequacy of AVROBIO’s internal control over financial reporting;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and procedures for the receipt and retention of accounting-related complaints and concerns;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based upon the Audit Committee’s review and discussions with management and AVROBIO’s independent registered public accounting firm whether AVROBIO’s audited financial statements shall be included in AVROBIO’s Annual Report on Form 10-K;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integrity of AVROBIO’s financial statements and AVROBIO’s compliance with legal and regulatory requirements as they relate to AVROBIO’s financial statements and accounting matters;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Audit Committee report required by SEC rules to be included in AVROBIO’s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all related person transactions for potential conflict of interest situations and approving all such transactions; and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quarterly earnings releases.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Ian Clark, Bruce Booth and Philip Vickers serve on the AVROBIO Compensation Committee, which is chaired by Mr. Clark. The AVROBIO Board has determined that each member of the AVROBIO Compensation Committee is “independent” as defined in the applicable Nasdaq rules. The AVROBIO Compensation Committee’s responsibilities include:</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approving corporate goals and objectives relevant to the compensation of AVROBIO’s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of AVROBIO’s Chief Executive Officer in light of such corporate goals and objectives, and based on such evaluation, reviewing and approving the proposed compensation for AVROBIO’s Chief Executive Officer, including (i) the cash compensation of AVROBIO’s Chief Executive Officer, (ii) grants and awards to AVROBIO’s Chief Executive Officer under equity-based plans, (iii) amendments to or extensions of AVROBIO’s Chief Executive Officer’s employment agreement or other similar arrangements, (iv) any severance or change in control arrangement, (v) any supplemental or retirement benefits, and (vi) any other compensation matters as may be directed by the AVROBIO Compensation Committee or the AVROBIO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annually evaluating the performance of, or reviewing AVROBIO’s Chief Executive Officer’s assessment of, AVROBIO’s other executive officers in light of the corporate goals and objectives relevant to their compensation;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cash compensation of AVROBIO’s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periodically reviewing any policies and programs concerning perquisite benefits and non-cash or other benefits for AVROBIO’s executive officers;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AVROBIO’s overall management compensation, philosophy, and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AVROBIO’s overall compensation policies and practices, and assessing whether any risks arising from such policies and practices are reasonably likely to have a material adverse effect on AVROBIO;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bidi w:val="0"/>
        <w:jc w:val="left"/>
        <w:rPr/>
      </w:pPr>
      <w:r>
        <w:rPr/>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administering AVROBIO’s compensation and similar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assessing potential and current compensation advisors in accordance with the independence standards identified in the applicable Nasdaq rules;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AVROBIO’s policies and procedures for the grant of equity-based awards;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AVROBIO Board the compensation of AVROBIO’s directors;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AVROBIO’s Compensation Committee report if and when required by SEC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the AVROBIO Board corporate succession plans for AVROBIO’s Chief Executive Officer and AVROBIO’s other key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annually with management AVROBIO’s “Compensation Discussion and Analysis,” if and when required, to be included in AVROBIO’s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the AVROBIO Board management proposals to AVROBIO stockholders as well as proposals received from AVROBIO stockholders that relate to executive compensation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retention or termination of any consulting firm or outside advisor to assist in the evaluation of compensation matters; and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retaining and approving the compensation of any compensation advisors.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Annalisa Jenkins, Phillip Donenberg and Christopher Paige serve on the Nominating and Corporate Governance Committee, which is chaired by Dr. Jenkins. The AVROBIO Board has determined that each member of the Nominating and Corporate Governance Committee is “independent” as defined in the applicable Nasdaq rules. The Nominating and Corporate Governance Committee’s responsibilities include: </w:t>
      </w:r>
    </w:p>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AVROBIO Board criteria for board and committee membership;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identifying and evaluating board of director candidates, including nominees recommended by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size and composition of the AVROBIO Board to ensure that it is composed of members containing the appropriate skills and expertise to advise AVROBIO;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AVROBIO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AVROBIO Board the persons to be nominated for election as directors and to each of the AVROBIO Board’s committees;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AVROBIO Board a set of corporate governance guidelines; and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AVROBIO Board. </w:t>
            </w:r>
          </w:p>
        </w:tc>
      </w:tr>
    </w:tbl>
    <w:p>
      <w:pPr>
        <w:pStyle w:val="TextBody"/>
        <w:bidi w:val="0"/>
        <w:spacing w:before="240" w:after="0"/>
        <w:jc w:val="left"/>
        <w:rPr>
          <w:rFonts w:ascii="Times New Roman" w:hAnsi="Times New Roman"/>
          <w:sz w:val="20"/>
        </w:rPr>
      </w:pPr>
      <w:r>
        <w:rPr>
          <w:rFonts w:ascii="Times New Roman" w:hAnsi="Times New Roman"/>
          <w:sz w:val="20"/>
        </w:rPr>
        <w:t>The Nominating and Corporate Governance Committee considers candidates for board of director membership suggested by its members and AVROBIO’s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AVROBIO Board. Any stockholder who wishes to recommend a candidate for consideration by the committee as a nominee for director should follow the procedures described beginning on page 478 of this proxy statement/prospectus under the heading “</w:t>
      </w:r>
      <w:r>
        <w:rPr>
          <w:rFonts w:ascii="Times New Roman" w:hAnsi="Times New Roman"/>
          <w:i/>
          <w:sz w:val="20"/>
        </w:rPr>
        <w:t>Stockholder Proposals</w:t>
      </w:r>
      <w:r>
        <w:rPr>
          <w:rFonts w:ascii="Times New Roman" w:hAnsi="Times New Roman"/>
          <w:sz w:val="20"/>
        </w:rPr>
        <w:t>.” The Nominating and Corporate Governance Committee will also consider whether to nominate any person proposed by a stockholder in accordance with the provisions of AVROBIO’s bylaws relating to stockholder nominations as described beginning on page 478 of this proxy statement/prospectus under the heading “</w:t>
      </w:r>
      <w:r>
        <w:rPr>
          <w:rFonts w:ascii="Times New Roman" w:hAnsi="Times New Roman"/>
          <w:i/>
          <w:sz w:val="20"/>
        </w:rPr>
        <w:t>Stockholder Proposals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Identifying and Evaluating Director Nominees.</w:t>
      </w:r>
      <w:r>
        <w:rPr>
          <w:rFonts w:ascii="Times New Roman" w:hAnsi="Times New Roman"/>
          <w:sz w:val="20"/>
        </w:rPr>
        <w:t xml:space="preserve"> The AVROBIO Board is responsible for filling vacancies on the AVROBIO Board and for nominating candidates for election by AVROBIO’s stockholders each year in the class of directors whose term expires at the relevant annual meeting. The AVROBIO Board delegates the selection and nomination process to the Nominating and Corporate Governance Committee, with the expectation that other members of the AVROBIO Board, and of management, will be requested to take part in the process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AVROBIO Board. Based on the results of the evaluation process, the Nominating and Corporate Governance Committee recommends candidates for the AVROBIO Board’s approval to fill a vacancy or as director nominees for election to the AVROBIO Board by AVROBIO’s stockholders each year in the class of directors whose term expires at the relevant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Science &amp; Technology Committee </w:t>
      </w:r>
    </w:p>
    <w:p>
      <w:pPr>
        <w:pStyle w:val="TextBody"/>
        <w:bidi w:val="0"/>
        <w:spacing w:before="120" w:after="0"/>
        <w:jc w:val="left"/>
        <w:rPr>
          <w:rFonts w:ascii="Times New Roman" w:hAnsi="Times New Roman"/>
          <w:sz w:val="20"/>
        </w:rPr>
      </w:pPr>
      <w:r>
        <w:rPr>
          <w:rFonts w:ascii="Times New Roman" w:hAnsi="Times New Roman"/>
          <w:sz w:val="20"/>
        </w:rPr>
        <w:t xml:space="preserve">Philip Vickers, Bruce Booth, Gail Farfel, Annalisa Jenkins and Christopher Paige serve on the Science &amp; Technology Committee, which is chaired by Dr. Vickers. The Science &amp; Technology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advising the AVROBIO Board on AVROBIO’s research and development programs and progress in achieving research and development goals and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the AVROBIO Board on the scientific and research and development aspects of licensing, collaboration and acquisition transactions that require approval by the AVROBIO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management’s exercise of its responsibility to assess and manage risks associated with AVROBIO’s research and development activities, clinical development and intellectual property;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any recommendations to the AVROBIO Board that the Science &amp; Technology Committee deems appropriate on any areas within its responsibility, including where action or improvement is needed. </w:t>
            </w:r>
          </w:p>
        </w:tc>
      </w:tr>
    </w:tbl>
    <w:p>
      <w:pPr>
        <w:pStyle w:val="TextBody"/>
        <w:bidi w:val="0"/>
        <w:spacing w:before="360" w:after="0"/>
        <w:jc w:val="left"/>
        <w:rPr>
          <w:rFonts w:ascii="Times New Roman" w:hAnsi="Times New Roman"/>
          <w:b/>
          <w:sz w:val="20"/>
        </w:rPr>
      </w:pPr>
      <w:bookmarkStart w:id="94" w:name="toc770053_91"/>
      <w:bookmarkEnd w:id="94"/>
      <w:r>
        <w:rPr>
          <w:rFonts w:ascii="Times New Roman" w:hAnsi="Times New Roman"/>
          <w:b/>
          <w:sz w:val="20"/>
        </w:rPr>
        <w:t xml:space="preserve">Board and Committee Evaluations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oversees and establishes a periodic board and committee evaluation process. Generally, the AVROBIO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typically on an annual basis, and may determine to use an independent third party evaluation process from time to time in the future. For example, in 2020 AVROBIO engaged an independent third-party consultant to interview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members on board performance and then provided feedback to the Nominating and Corporate Governance Committee for review and consideration. </w:t>
      </w:r>
    </w:p>
    <w:p>
      <w:pPr>
        <w:pStyle w:val="TextBody"/>
        <w:bidi w:val="0"/>
        <w:spacing w:before="360" w:after="0"/>
        <w:jc w:val="left"/>
        <w:rPr>
          <w:rFonts w:ascii="Times New Roman" w:hAnsi="Times New Roman"/>
          <w:b/>
          <w:sz w:val="20"/>
        </w:rPr>
      </w:pPr>
      <w:bookmarkStart w:id="95" w:name="toc770053_92"/>
      <w:bookmarkEnd w:id="95"/>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AVROBIO has adopted a written code of business conduct and ethics that applies to AVROBIO’s directors, officers and employees, including AVROBIO’s principal executive officer, principal financial officer, principal accounting officer or controller, or persons performing similar functions. A current copy of the code is posted on the Investors &amp; Media – Corporate Governance section of AVROBIO’s website, which is located at www.avrobio.com. If AVROBIO makes any substantive amendments to, or grants any waivers from, the code of business conduct and ethics for any officer or director, AVROBIO will disclose the nature of such amendment or waiver on AVROBIO’s website or in a Current Report on Form 8-K. </w:t>
      </w:r>
    </w:p>
    <w:p>
      <w:pPr>
        <w:pStyle w:val="TextBody"/>
        <w:bidi w:val="0"/>
        <w:spacing w:before="360" w:after="0"/>
        <w:jc w:val="left"/>
        <w:rPr>
          <w:rFonts w:ascii="Times New Roman" w:hAnsi="Times New Roman"/>
          <w:b/>
          <w:sz w:val="20"/>
        </w:rPr>
      </w:pPr>
      <w:bookmarkStart w:id="96" w:name="toc770053_93"/>
      <w:bookmarkEnd w:id="96"/>
      <w:r>
        <w:rPr>
          <w:rFonts w:ascii="Times New Roman" w:hAnsi="Times New Roman"/>
          <w:b/>
          <w:sz w:val="20"/>
        </w:rPr>
        <w:t xml:space="preserve">Board Leadership Structure and Board’s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Currently, the role of Chairperson of the AVROBIO Board is separated from the role of Chief Executive Officer. AVROBIO believes that separating these positions allows AVROBIO’s Chief Executive Officer to focus on the day-to-day business, while allowing the Chairperson of the AVROBIO Board to lead the AVROBIO Board in its fundamental role of providing advice to, and independent oversight, of management. The AVROBIO Board recognizes the time, effort, and energy that the Chief Executive Officer is required to devote to his position in the current business environment, as well as the commitment required by as AVROBIO’s Chairperson, particularly as the AVROBIO Board’s oversight responsibilities continue to grow. While AVROBIO’s bylaws and corporate governance guidelines do not require that AVROBIO’s Chairperson and Chief Executive Officer positions be separate, the AVROBIO Board believes that having separate positions is the appropriate leadership structure for AVROBIO at this time and demonstrates commitment to good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Risk is inherent to every business, and how well a business manages risk can ultimately determine its success. AVROBIO faces a number of risks, including risks relating to AVROBIO’s financial condition, operations, strategic direction, and intellectual property. Management is responsible for the day-to-day management of risks AVROBIO faces, while the AVROBIO Board, as a whole and through its committees, has responsibility for the oversight of risk management. In its risk oversight role, the AVROBIO Board has the responsibility to satisfy itself that the risk management processes designed and implemented by management are adequate and functioning as designed. </w:t>
      </w:r>
    </w:p>
    <w:p>
      <w:pPr>
        <w:pStyle w:val="TextBody"/>
        <w:bidi w:val="0"/>
        <w:spacing w:before="240" w:after="0"/>
        <w:jc w:val="left"/>
        <w:rPr>
          <w:rFonts w:ascii="Times New Roman" w:hAnsi="Times New Roman"/>
          <w:sz w:val="20"/>
        </w:rPr>
      </w:pPr>
      <w:r>
        <w:rPr>
          <w:rFonts w:ascii="Times New Roman" w:hAnsi="Times New Roman"/>
          <w:sz w:val="20"/>
        </w:rPr>
        <w:t xml:space="preserve">Generally, the role of the AVROBIO Board in overseeing the management of AVROBIO’s risks is conducted primarily through committees of the AVROBIO Board, as disclosed in the descriptions of each of the committees above and in the charters of each of the committees. However, at least annually management provides to the full board an overview of potential risks to AVROBIO, which is then updated and presented to the Audit Committee on a periodic (currently quarterly) basis. The full AVROBIO Board (or the appropriate board committee in the case of risks that are under the purview of a particular committee) discusses with management AVROBIO’s major risk exposures, their potential impact on AVROBIO, and the steps AVROBIO takes to manage them. When a board committee is responsible for evaluating and overseeing the management of a particular risk or risks, the chairperson of the relevant committee reports on the discussion to the full AVROBIO Board during the committee reports portion of the next board meeting. This enables the AVROBIO Board and its committees to coordinate the risk oversight role, particularly with respect to risk interrelationships. </w:t>
      </w:r>
    </w:p>
    <w:p>
      <w:pPr>
        <w:pStyle w:val="TextBody"/>
        <w:bidi w:val="0"/>
        <w:spacing w:before="360" w:after="0"/>
        <w:jc w:val="left"/>
        <w:rPr>
          <w:rFonts w:ascii="Times New Roman" w:hAnsi="Times New Roman"/>
          <w:b/>
          <w:sz w:val="20"/>
        </w:rPr>
      </w:pPr>
      <w:bookmarkStart w:id="97" w:name="toc770053_94"/>
      <w:bookmarkEnd w:id="97"/>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The Nasdaq listing requirements require each listed company to have, or explain why it does not have, at least two “Diverse” (as defined in Nasdaq Rule 5605(f)) directors on the board, including at least one Diverse director who self-identifies as female and one Diverse director who self-identifies as part of an underrepresented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minority or LGBTQ+. However, smaller reporting companies, such as AVROBIO, may satisfy this requirement by having two female directors. The current composition of the AVROBIO Board is in compliance with the Nasdaq diversity requirement. The table below provides certain highlights of the composition of the AVROBIO Board members based on their voluntary self-identified demographic characteristics. The categories “Female,” “LGBTQ+,” and “Two or More Races or Ethnicities” as used in the below table have the definitions as provided in Nasdaq Rule 5605(f). </w:t>
      </w:r>
    </w:p>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5420"/>
        <w:gridCol w:w="120"/>
        <w:gridCol w:w="99"/>
        <w:gridCol w:w="431"/>
        <w:gridCol w:w="60"/>
        <w:gridCol w:w="120"/>
        <w:gridCol w:w="141"/>
        <w:gridCol w:w="614"/>
        <w:gridCol w:w="60"/>
        <w:gridCol w:w="120"/>
        <w:gridCol w:w="231"/>
        <w:gridCol w:w="1004"/>
        <w:gridCol w:w="60"/>
        <w:gridCol w:w="120"/>
        <w:gridCol w:w="231"/>
        <w:gridCol w:w="1004"/>
        <w:gridCol w:w="75"/>
      </w:tblGrid>
      <w:tr>
        <w:trPr/>
        <w:tc>
          <w:tcPr>
            <w:tcW w:w="5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35" w:type="dxa"/>
            <w:gridSpan w:val="16"/>
            <w:tcBorders/>
            <w:vAlign w:val="center"/>
          </w:tcPr>
          <w:p>
            <w:pPr>
              <w:pStyle w:val="TableContents"/>
              <w:bidi w:val="0"/>
              <w:spacing w:before="0" w:after="283"/>
              <w:jc w:val="center"/>
              <w:rPr>
                <w:b/>
              </w:rPr>
            </w:pPr>
            <w:r>
              <w:rPr>
                <w:b/>
              </w:rPr>
              <w:t>Board Diversity Matrix (As of March 15, 2024)</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Board Size:</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43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 Directors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283"/>
              <w:jc w:val="left"/>
              <w:rPr>
                <w:b/>
              </w:rPr>
            </w:pPr>
            <w:r>
              <w:rPr>
                <w:b/>
              </w:rPr>
              <w:t>Gender:</w:t>
            </w:r>
          </w:p>
        </w:tc>
        <w:tc>
          <w:tcPr>
            <w:tcW w:w="12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b/>
              </w:rPr>
            </w:pPr>
            <w:r>
              <w:rPr>
                <w:b/>
              </w:rPr>
              <w:t>Male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rPr>
            </w:pPr>
            <w:r>
              <w:rPr>
                <w:b/>
              </w:rPr>
              <w:t>Female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Non-Binary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Gender</w:t>
              <w:br/>
              <w:t>Undisclosed</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directors based on gender identity</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Number of directors who identify in any of the categories below:</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Alaskan Native or American Indian</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Native Hawaiian or Pacific Islander</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Two or More Races or Ethnicities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Undisclosed</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98" w:name="toc770053_95"/>
      <w:bookmarkEnd w:id="98"/>
      <w:r>
        <w:rPr>
          <w:rFonts w:ascii="Times New Roman" w:hAnsi="Times New Roman"/>
          <w:b/>
          <w:sz w:val="20"/>
        </w:rPr>
        <w:t xml:space="preserve">Communication with the Directors of AVROBIO </w:t>
      </w:r>
    </w:p>
    <w:p>
      <w:pPr>
        <w:pStyle w:val="TextBody"/>
        <w:bidi w:val="0"/>
        <w:spacing w:before="120" w:after="0"/>
        <w:jc w:val="left"/>
        <w:rPr>
          <w:rFonts w:ascii="Times New Roman" w:hAnsi="Times New Roman"/>
          <w:sz w:val="20"/>
        </w:rPr>
      </w:pPr>
      <w:r>
        <w:rPr>
          <w:rFonts w:ascii="Times New Roman" w:hAnsi="Times New Roman"/>
          <w:sz w:val="20"/>
        </w:rPr>
        <w:t xml:space="preserve">Any interested party with concerns about AVROBIO may report such concerns to the AVROBIO Board or the chairperson of the AVROBIO Board or Nominating and Corporate Governance Committee, by submitting a written communication to the attention of such director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AVROBIO, Inc. </w:t>
      </w:r>
    </w:p>
    <w:p>
      <w:pPr>
        <w:pStyle w:val="TextBody"/>
        <w:bidi w:val="0"/>
        <w:spacing w:before="0" w:after="0"/>
        <w:jc w:val="center"/>
        <w:rPr>
          <w:rFonts w:ascii="Times New Roman" w:hAnsi="Times New Roman"/>
          <w:sz w:val="20"/>
        </w:rPr>
      </w:pPr>
      <w:r>
        <w:rPr>
          <w:rFonts w:ascii="Times New Roman" w:hAnsi="Times New Roman"/>
          <w:sz w:val="20"/>
        </w:rPr>
        <w:t xml:space="preserve">One Broadway, 14th Floor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02142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24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AVROBIO tends to receive repetitive or duplicative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AVROBIO’s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which is (866) 569-1843.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9" w:name="toc770053_96"/>
      <w:bookmarkEnd w:id="99"/>
      <w:r>
        <w:rPr>
          <w:rFonts w:ascii="Times New Roman" w:hAnsi="Times New Roman"/>
          <w:b/>
          <w:sz w:val="20"/>
        </w:rPr>
        <w:t xml:space="preserve">AVROBIO EXECUTIVE COMPENSATION </w:t>
      </w:r>
    </w:p>
    <w:p>
      <w:pPr>
        <w:pStyle w:val="TextBody"/>
        <w:bidi w:val="0"/>
        <w:spacing w:before="240" w:after="0"/>
        <w:jc w:val="left"/>
        <w:rPr>
          <w:rFonts w:ascii="Times New Roman" w:hAnsi="Times New Roman"/>
          <w:b/>
          <w:sz w:val="20"/>
        </w:rPr>
      </w:pPr>
      <w:bookmarkStart w:id="100" w:name="toc770053_97"/>
      <w:bookmarkEnd w:id="100"/>
      <w:r>
        <w:rPr>
          <w:rFonts w:ascii="Times New Roman" w:hAnsi="Times New Roman"/>
          <w:b/>
          <w:sz w:val="20"/>
        </w:rPr>
        <w:t xml:space="preserve">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AVROBIO has opted to comply with the executive compensation disclosure rules applicable to “smaller reporting companies,” as such term is defined in the rules promulgated under the Securities Act. This section provides an overview of the compensation awarded to, earned by, or paid to AVROBIO’s principal executive officer and AVROBIO’s next two most highly compensated executive officers in respect of their service to AVROBIO for the fiscal year ended December 31, 2023 and up to two additional individuals for whom disclosure would have been provided but for the fact that the individual was not serving as an executive officer as of December 31, 2023 (the “AVROBIO 2023 named executive officers”). The AVROBIO 2023 named executive officers are: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Erik Ostrowski, President, Interim Chief Executive Officer, Chief Financial Officer and Treasurer;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Geoff MacKay, former Chief Executive Officer and President;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110"/>
        <w:gridCol w:w="60"/>
        <w:gridCol w:w="4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Azadeh Golipour, Chief Technology Officer; and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Essra Ridha, Chief Medical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AVROBIO’s executive compensation program is based on a pay for performance philosophy. Compensation for AVROBIO’s executive officers is composed primarily of the following main components: base salary; bonus; and equity incentives in the form of options. AVROBIO’s executive officers, like all full-time employees, are eligible to participate in AVROBIO’s health and welfare benefit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or paid to each of AVROBIO’s named executive officers for services rendered to AVROBIO in all capacities during the fiscal year ended December 31, 2023. The following table also presents information regarding the compensation awarded to, and earned by, and paid to each such individual during the fiscal year ended December 31, 2022, to the extent such individual was a named executive officer for such year. </w:t>
      </w:r>
    </w:p>
    <w:p>
      <w:pPr>
        <w:pStyle w:val="TextBody"/>
        <w:bidi w:val="0"/>
        <w:spacing w:before="0" w:after="0"/>
        <w:jc w:val="left"/>
        <w:rPr/>
      </w:pPr>
      <w:r>
        <w:rPr/>
        <w:t> </w:t>
      </w:r>
    </w:p>
    <w:tbl>
      <w:tblPr>
        <w:tblW w:w="10795" w:type="dxa"/>
        <w:jc w:val="left"/>
        <w:tblInd w:w="0" w:type="dxa"/>
        <w:tblLayout w:type="fixed"/>
        <w:tblCellMar>
          <w:top w:w="0" w:type="dxa"/>
          <w:left w:w="0" w:type="dxa"/>
          <w:bottom w:w="0" w:type="dxa"/>
          <w:right w:w="0" w:type="dxa"/>
        </w:tblCellMar>
      </w:tblPr>
      <w:tblGrid>
        <w:gridCol w:w="1445"/>
        <w:gridCol w:w="60"/>
        <w:gridCol w:w="60"/>
        <w:gridCol w:w="500"/>
        <w:gridCol w:w="60"/>
        <w:gridCol w:w="60"/>
        <w:gridCol w:w="60"/>
        <w:gridCol w:w="800"/>
        <w:gridCol w:w="60"/>
        <w:gridCol w:w="60"/>
        <w:gridCol w:w="60"/>
        <w:gridCol w:w="800"/>
        <w:gridCol w:w="215"/>
        <w:gridCol w:w="60"/>
        <w:gridCol w:w="60"/>
        <w:gridCol w:w="800"/>
        <w:gridCol w:w="60"/>
        <w:gridCol w:w="60"/>
        <w:gridCol w:w="60"/>
        <w:gridCol w:w="800"/>
        <w:gridCol w:w="60"/>
        <w:gridCol w:w="60"/>
        <w:gridCol w:w="103"/>
        <w:gridCol w:w="1387"/>
        <w:gridCol w:w="60"/>
        <w:gridCol w:w="60"/>
        <w:gridCol w:w="98"/>
        <w:gridCol w:w="1317"/>
        <w:gridCol w:w="335"/>
        <w:gridCol w:w="60"/>
        <w:gridCol w:w="60"/>
        <w:gridCol w:w="98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Salary</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Bonus</w:t>
            </w:r>
            <w:r>
              <w:rPr/>
              <w:br/>
            </w:r>
            <w:r>
              <w:rPr>
                <w:b/>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br/>
              <w:t>Incentive Plan</w:t>
              <w:br/>
              <w:t>Compensation</w:t>
            </w:r>
            <w:r>
              <w:rPr/>
              <w:br/>
            </w:r>
            <w:r>
              <w:rPr>
                <w:b/>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504,400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732,179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339,878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14,435</w:t>
            </w:r>
          </w:p>
        </w:tc>
        <w:tc>
          <w:tcPr>
            <w:tcW w:w="33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1,590,892</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Interim Chief Executive Officer, Chief Financial Officer and Treasurer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404,806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174,800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13,487</w:t>
            </w:r>
          </w:p>
        </w:tc>
        <w:tc>
          <w:tcPr>
            <w:tcW w:w="33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1,352,093</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Geoff MacKay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203,284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508,127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9,636</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726,767</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Former President and Chief Executive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431,000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710,700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303,050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12,542</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2,037,292</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526,498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252,373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37,302</w:t>
            </w:r>
          </w:p>
        </w:tc>
        <w:tc>
          <w:tcPr>
            <w:tcW w:w="33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1,266,173</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Technology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141,000</w:t>
            </w:r>
          </w:p>
        </w:tc>
        <w:tc>
          <w:tcPr>
            <w:tcW w:w="215"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302,231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124,688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109,519</w:t>
            </w:r>
          </w:p>
        </w:tc>
        <w:tc>
          <w:tcPr>
            <w:tcW w:w="335"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1,030,438</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Essra Ridha(10)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498,020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589,493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221,953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33,448</w:t>
            </w:r>
          </w:p>
        </w:tc>
        <w:tc>
          <w:tcPr>
            <w:tcW w:w="335"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1,342,914</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the 2022 amounts reflect discretionary retention bonuses granted in January 2022 and paid in two equal installments in June 2022 and December 2022. In addition, the 2023 amounts reflect a discretionary retention bonus granted to Mr. Ostrowski, Dr. Golipour and Dr. Ridha in June, 2023 in the amount of $582,179, $426,498, and $489,493, respectively, and paid in January 2024. Further, for Mr. Ostrowski, Dr. Golipour and Dr. Ridha, the 2023 amounts reflect a transaction bonus granted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Mr. Ostrowski, Dr. Golipour and Dr. Ridha in the amount of $150,000, $100,000, and $100,000, respectively.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the RSUs granted in 2023 in accordance with Financial Accounting Standards Board’s Accounting Standards Codification Topic 718, or ASC 718. Such grant date fair value does not take into account any estimated forfeitures. See Note 9 of “Notes to Consolidated Financial Statements” in AVROBIO’s Annual Report on Form 10-K filed with the SEC on March 14, 2024 for a discussion of assumptions made by AVROBIO in determining the aggregate grant date fair value of AVROBIO’s RSUs. These amounts do not correspond to the actual value that may be received by the 2023 AVROBIO named executive officers upon vesting and settlement of the shares of RSUs or any sale of the shares.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stock options granted in 2023 and 2022 in accordance with FASB ASC 718. Such grant date fair value does not take into account any estimated forfeitures related to service-vesting conditions. See Note 9 of “Notes to Consolidated Financial Statements” in AVROBIO’s Annual Report on Form 10-K filed with the SEC on March 14, 2024 for a discussion of assumptions made by AVROBIO in determining the aggregate grant date fair value of AVROBIO’s stock options. These amounts do not correspond to the actual value that may be recognized by the 2023 AVROBIO named executive officers upon vesting of applicable awards. Additionally, the 2023 amount for Mr. MacKay includes the incremental fair value related to the extension of the post-termination exercise period of certain stock options (determined as of such extension date in accordance with FASB ASC Topic 718).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bonuses paid with respect to performance during the 2023 fiscal year pursuant to the Senior Executive Cash Incentive Bonus Plan. Such annual bonuses were based on achievement of AVROBIO’s goals related to achievement of clinical program objectives and milestones, regulatory objectives, and manufacturing development objectives.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401(k) contributions and life insurance premiums paid by AVROBIO on behalf of Mr. Ostrowski.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(6)</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401(k) contributions and life insurance premiums paid by AVROBIO on behalf of Mr. MacKay.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(7)</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life insurance premiums and relocation benefits paid by AVROBIO on behalf of Dr. Golipour. </w:t>
            </w:r>
          </w:p>
        </w:tc>
      </w:tr>
    </w:tbl>
    <w:tbl>
      <w:tblPr>
        <w:tblW w:w="9445" w:type="dxa"/>
        <w:jc w:val="left"/>
        <w:tblInd w:w="0" w:type="dxa"/>
        <w:tblLayout w:type="fixed"/>
        <w:tblCellMar>
          <w:top w:w="0" w:type="dxa"/>
          <w:left w:w="0" w:type="dxa"/>
          <w:bottom w:w="0" w:type="dxa"/>
          <w:right w:w="0" w:type="dxa"/>
        </w:tblCellMar>
      </w:tblPr>
      <w:tblGrid>
        <w:gridCol w:w="305"/>
        <w:gridCol w:w="9140"/>
      </w:tblGrid>
      <w:tr>
        <w:trPr/>
        <w:tc>
          <w:tcPr>
            <w:tcW w:w="305" w:type="dxa"/>
            <w:tcBorders/>
            <w:vAlign w:val="center"/>
          </w:tcPr>
          <w:p>
            <w:pPr>
              <w:pStyle w:val="TableContents"/>
              <w:bidi w:val="0"/>
              <w:spacing w:before="0" w:after="283"/>
              <w:jc w:val="left"/>
              <w:rPr/>
            </w:pPr>
            <w:r>
              <w:rPr/>
              <w:t>(8)</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includes a $10,000 lump sum payment, paid in accordance with Dr. Golipour’s employment agreement.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life insurance premiums, $90,571 in relocation benefits paid by AVROBIO on behalf of Dr. Golipour pursuant to her employment agreement, and a tax gross-up on such relocation benefits.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(10)</w:t>
            </w:r>
          </w:p>
        </w:tc>
        <w:tc>
          <w:tcPr>
            <w:tcW w:w="98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the Salary, Bonus, and All Other Compensation columns were originally denominated in GBP when paid to Dr. Ridha and have been converted to USD using the average exchange rate for 2023 (1 GBP = 1.2439 USD). </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pPr>
            <w:r>
              <w:rPr/>
              <w:t>(11)</w:t>
            </w:r>
          </w:p>
        </w:tc>
        <w:tc>
          <w:tcPr>
            <w:tcW w:w="97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benefits allowance and pension contributions paid by AVROBIO on behalf of Dr. Ridha.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and AVROBIO Compensation Committee review compensation annually for all employees, including AVROBIO’s executives. In setting executive base salaries and bonuses and granting equity incentive awards, AVROBIO considers compensation for comparable positions in the market, the historical compensation levels of AVROBIO’s executives, individual performance as compared to AVROBIO’s expectations and objectives, AVROBIO’s desire to motivate AVROBIO’s employees to achieve short- and long-term results that are in the best interests of AVROBIO stockholders, and a long-term commitment to AVROBIO. AVROBIO targets a generally competitive position, based on independent third-party benchmark analytics to inform the mix of compensation of base salary, bonus or long-term incentives. </w:t>
      </w:r>
    </w:p>
    <w:p>
      <w:pPr>
        <w:pStyle w:val="TextBody"/>
        <w:bidi w:val="0"/>
        <w:spacing w:before="240" w:after="0"/>
        <w:jc w:val="left"/>
        <w:rPr>
          <w:rFonts w:ascii="Times New Roman" w:hAnsi="Times New Roman"/>
          <w:sz w:val="20"/>
        </w:rPr>
      </w:pPr>
      <w:r>
        <w:rPr>
          <w:rFonts w:ascii="Times New Roman" w:hAnsi="Times New Roman"/>
          <w:sz w:val="20"/>
        </w:rPr>
        <w:t xml:space="preserve">The AVROBIO Compensation Committee reviews and approves the compensation to be paid to AVROBIO’s Chief Executive Officer and AVROBIO’s other executive officers. The AVROBIO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Committee typically reviews and discusses management’s proposed compensation with the chief executive officer for all executives other than the chief executive officer. Based on those discussions and its discretion, taking into account the factors noted above, the AVROBIO Compensation Committee then approves the compensation of AVROBIO’s Chief Executive Officer and other executive officers without the chief executive officer or other members of management present. Frederic W. Cook &amp; Co., Inc. (“FW Cook”), advised the AVROBIO Board and the AVROBIO Compensation Committee on certain compensation matters and decisions during fiscal year 2023. FW Cook served at the discretion of the AVROBIO Compensation Committee and did not provide any other services to AVROBIO during fiscal year 2023 other than those for which they were engaged by the AVROBIO Compensation Committee. The AVROBIO Compensation Committee requires that its compensation consultants be independent of AVROBIO management and performs an annual assessment of the compensation consultants’ independence to determine whether the consultants are independent. The AVROBIO Compensation Committee has determined that FW Cook is independent and that its respective work has not raised any conflicts of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AVROBIO uses base salaries to recognize the experience, skills, knowledge and responsibilities required of all AVROBIO’s employees, including AVROBIO 2023 named executive officers. Base salaries for AVROBIO’s named executive officers are reviewed annually by the AVROBIO Compensation Committee, typically in connection with AVROBIO’s annual performance review process, and adjusted from time to time, based on the recommendation of the AVROBIO Compensation Committee, to realign salaries with market levels after taking into account individual responsibilities, performance and experience. AVROBIO increased Mr. Ostrowski’s base salary to $535,000 from $473,800, effective July 1, 2023. None of the AVROBIO 2023 named executive officers are currently party to an employment agreement or other agreement or arrangement that provides for automatic or scheduled increases in base salary. During 2023 the annual base salaries for each of Mr. Ostrowski, Mr. MacKay, Dr. Golipour, and Dr. Ridha were $535,000, $603,000, $450,000, and $498,020,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Annual Bonus </w:t>
      </w:r>
    </w:p>
    <w:p>
      <w:pPr>
        <w:pStyle w:val="TextBody"/>
        <w:bidi w:val="0"/>
        <w:spacing w:before="120" w:after="0"/>
        <w:jc w:val="left"/>
        <w:rPr>
          <w:rFonts w:ascii="Times New Roman" w:hAnsi="Times New Roman"/>
          <w:sz w:val="20"/>
        </w:rPr>
      </w:pPr>
      <w:r>
        <w:rPr>
          <w:rFonts w:ascii="Times New Roman" w:hAnsi="Times New Roman"/>
          <w:sz w:val="20"/>
        </w:rPr>
        <w:t xml:space="preserve">AVROBIO currently has a Senior Executive Cash Incentive Bonus Plan, which is intended to reward AVROBIO’s executive officers, including AVROBIO’s named executive officers, for meeting objective and/or subjective performance goals for a fiscal year. From time to time, the AVROBIO Board or AVROBIO Compensation Committee may approve annual bonuses for AVROBIO’s executive officers, including AVROBIO’s named executive officers, based on individual performance, company performance or as otherwise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Performance goals for each new fiscal year are reviewed by the AVROBIO Compensation Committee and then reviewed and approved by the AVROBIO Board. The AVROBIO Compensation Committee thereafter reviews and determines AVROBIO’s performance and level of attainment of such goals following the completion of the applicable fiscal year. For 2023, the AVROBIO Compensation Committee reviewed and drafted 2023 goals based on achievement of clinical program objectives and milestones, regulatory objectives, manufacturing development objectives and business development and financing objectives. Following the Board’s decision in July 2023 to halt development of AVROBIO’s clinical programs and pursue potential strategic alternatives, the Board opted to forgo annual bonuses based on earlier corporate objectives with respect to fiscal 2023, taking into account previously awarded retention and transaction bonuses for each of the remaining named executive officers with respect to such year. Accordingly, no annual bonus was paid to the named executive officers based on performance objectives in 2023. </w:t>
      </w:r>
    </w:p>
    <w:p>
      <w:pPr>
        <w:pStyle w:val="TextBody"/>
        <w:bidi w:val="0"/>
        <w:spacing w:before="360" w:after="0"/>
        <w:jc w:val="left"/>
        <w:rPr>
          <w:rFonts w:ascii="Times New Roman" w:hAnsi="Times New Roman"/>
          <w:i/>
          <w:sz w:val="20"/>
        </w:rPr>
      </w:pPr>
      <w:r>
        <w:rPr>
          <w:rFonts w:ascii="Times New Roman" w:hAnsi="Times New Roman"/>
          <w:i/>
          <w:sz w:val="20"/>
        </w:rPr>
        <w:t xml:space="preserve">Retention Bonuses </w:t>
      </w:r>
    </w:p>
    <w:p>
      <w:pPr>
        <w:pStyle w:val="TextBody"/>
        <w:bidi w:val="0"/>
        <w:spacing w:before="120" w:after="0"/>
        <w:jc w:val="left"/>
        <w:rPr>
          <w:rFonts w:ascii="Times New Roman" w:hAnsi="Times New Roman"/>
          <w:sz w:val="20"/>
        </w:rPr>
      </w:pPr>
      <w:r>
        <w:rPr>
          <w:rFonts w:ascii="Times New Roman" w:hAnsi="Times New Roman"/>
          <w:sz w:val="20"/>
        </w:rPr>
        <w:t xml:space="preserve">On January 4, 2022, the AVROBIO Compensation Committee approved one-time cash retention payments to all employees remaining with AVROBIO following AVROBIO’s workforce reduction, including AVROBIO’s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executive officers. Each retention bonus was payable in two equal installments in June 2022 and December 2022, provided that the employee had not resigned or provided notice of intention to resign and AVROBIO had not terminated such employee’s employment for cause or provided notice of intent to terminate such employee’s employment for cause. The aggregate retention bonuses granted to each of Mr. Ostrowski, Mr. MacKay and Dr. Golipour were $299,000, $431,000 and $131,000,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June 9, 2023, the AVROBIO Compensation Committee approved cash retention bonuses for each of Mr. Ostrowski, Dr. Golipour and Dr. Ridha. The Retention Bonuses were payable to each of Mr. Ostrowski, Dr. Golipour and Dr. Ridha, subject to each executive continuing to be employed by AVROBIO as of December 31, 2023. The amount of the retention bonuses payable to each of Mr. Ostrowski, Dr. Golipour and Dr. Ridha equaled (i) 125% of each executive’s base salary for calendar year 2023 as in effect on June 9, 2023 (except that, in the case of Mr. Ostrowski, such calculation was based on his base salary in effect as of July 1, 2023), plus (ii) 125% of each executive’s target 2023 annual bonus as in effect on June 9, 2023 (except that, in the case of Mr. Ostrowski, such calculation was based on his target 2023 annual bonus in effect for the six month period commencing July 1, 2023), in each case pro-rated for the period of time from June 9, 2023 to December 31, 2023. The retention bonus for each of Mr. Ostrowski, Dr. Golipour and Dr. Ridha is reported in the Bonus column in the 2023 Summary Compensation Table, above.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Bonuses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sale of AVROBIO’s cystinosis program, each of Mr. Ostrowski, Dr. Golipour and Dr. Ridha received a transaction bonus in the amount of $150,000, $100,000, and $100,000, respectively, which was payable in three installments in July, August, and September 2023, subject to the executive’s continued employment on the date of each payment.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Although AVROBIO does not have a formal policy with respect to the grant of equity incentive awards to AVROBIO’s executive officers, or any formal equity ownership guidelines applicable to them, AVROBIO believes that equity grants provide AVROBIO’s executives with a strong link to AVROBIO’s long-term performance, create an ownership culture and help to align the interests of AVROBIO’s executives and AVROBIO stockholders. In addition, AVROBIO believes that equity grants with a time-based vesting feature promote executive retention because this feature incentivizes AVROBIO’s executive officers to remain in AVROBIO’s employment during the vesting period. Accordingly, the AVROBIO Board periodically reviews the equity incentive compensation of AVROBIO’s named executive officers and from time to time may grant equity incentive awards to them in the form of stock options or RSUs. </w:t>
      </w:r>
    </w:p>
    <w:p>
      <w:pPr>
        <w:pStyle w:val="TextBody"/>
        <w:bidi w:val="0"/>
        <w:spacing w:before="240" w:after="0"/>
        <w:jc w:val="left"/>
        <w:rPr>
          <w:rFonts w:ascii="Times New Roman" w:hAnsi="Times New Roman"/>
          <w:sz w:val="20"/>
        </w:rPr>
      </w:pPr>
      <w:r>
        <w:rPr>
          <w:rFonts w:ascii="Times New Roman" w:hAnsi="Times New Roman"/>
          <w:sz w:val="20"/>
        </w:rPr>
        <w:t xml:space="preserve">AVROBIO typically grants stock option awards to each of AVROBIO’s executives in connection with their start of employment. Such stock option awards are typically granted on the first trading day of the month after the employees’ start date. AVROBIO sets the option exercise price and grant date fair value based on the value of AVROBIO common stock on the date of grant. For grants in connection with initial employment, vesting begins on the initial date of employment. </w:t>
      </w:r>
    </w:p>
    <w:p>
      <w:pPr>
        <w:pStyle w:val="TextBody"/>
        <w:bidi w:val="0"/>
        <w:spacing w:before="360" w:after="0"/>
        <w:jc w:val="left"/>
        <w:rPr>
          <w:rFonts w:ascii="Times New Roman" w:hAnsi="Times New Roman"/>
          <w:i/>
          <w:sz w:val="20"/>
        </w:rPr>
      </w:pPr>
      <w:r>
        <w:rPr>
          <w:rFonts w:ascii="Times New Roman" w:hAnsi="Times New Roman"/>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AVROBIO maintains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the AVROBIO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Outstanding Equity Awards at 2023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outstanding equity awards held by the AVROBIO 2023 named executive officers as of December 31, 2023. All equity awards set forth in the table below were granted under either AVROBIO’s Amended and Restated 2015 Stock Option and Grant Plan (the “2015 Plan”) or AVROBIO’s 2018 Stock Option and Incentive Plan, as amended (the “2018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9"/>
        <w:gridCol w:w="120"/>
        <w:gridCol w:w="88"/>
        <w:gridCol w:w="1177"/>
        <w:gridCol w:w="60"/>
        <w:gridCol w:w="120"/>
        <w:gridCol w:w="100"/>
        <w:gridCol w:w="1345"/>
        <w:gridCol w:w="419"/>
        <w:gridCol w:w="60"/>
        <w:gridCol w:w="84"/>
        <w:gridCol w:w="791"/>
        <w:gridCol w:w="60"/>
        <w:gridCol w:w="120"/>
        <w:gridCol w:w="60"/>
        <w:gridCol w:w="1083"/>
        <w:gridCol w:w="60"/>
        <w:gridCol w:w="120"/>
        <w:gridCol w:w="78"/>
        <w:gridCol w:w="1052"/>
        <w:gridCol w:w="419"/>
        <w:gridCol w:w="60"/>
        <w:gridCol w:w="100"/>
        <w:gridCol w:w="1345"/>
        <w:gridCol w:w="75"/>
      </w:tblGrid>
      <w:tr>
        <w:trPr/>
        <w:tc>
          <w:tcPr>
            <w:tcW w:w="1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6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20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w:t>
              <w:br/>
              <w:t>Stock that</w:t>
              <w:br/>
              <w:t>Have Not</w:t>
              <w:br/>
              <w:t>Vested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 Value</w:t>
              <w:br/>
              <w:t>of Shares or</w:t>
              <w:br/>
              <w:t>Units that</w:t>
              <w:br/>
              <w:t>Have Not</w:t>
              <w:br/>
              <w:t>Vested ($)(1)</w:t>
            </w:r>
          </w:p>
        </w:tc>
        <w:tc>
          <w:tcPr>
            <w:tcW w:w="75" w:type="dxa"/>
            <w:tcBorders/>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1/1/2029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94,594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6,306</w:t>
            </w:r>
          </w:p>
        </w:tc>
        <w:tc>
          <w:tcPr>
            <w:tcW w:w="41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21.44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3/3/2030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84,363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34,737</w:t>
            </w:r>
          </w:p>
        </w:tc>
        <w:tc>
          <w:tcPr>
            <w:tcW w:w="419"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16.02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2/3/2031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62,500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62,500</w:t>
            </w:r>
          </w:p>
        </w:tc>
        <w:tc>
          <w:tcPr>
            <w:tcW w:w="419"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6/9/2031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144,375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170,625</w:t>
            </w:r>
          </w:p>
        </w:tc>
        <w:tc>
          <w:tcPr>
            <w:tcW w:w="419"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2/1/2032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110,500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110,500</w:t>
            </w:r>
          </w:p>
        </w:tc>
        <w:tc>
          <w:tcPr>
            <w:tcW w:w="419"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12/7/2032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160,333</w:t>
            </w:r>
          </w:p>
        </w:tc>
        <w:tc>
          <w:tcPr>
            <w:tcW w:w="419"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218,053</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70,000</w:t>
            </w:r>
          </w:p>
        </w:tc>
        <w:tc>
          <w:tcPr>
            <w:tcW w:w="419"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95,200</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Geoff MacKay</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213,938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4/30/2024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10/24/2026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6/12/2027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5,908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3/15/2028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2/24/2029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29,531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1,969</w:t>
            </w:r>
          </w:p>
        </w:tc>
        <w:tc>
          <w:tcPr>
            <w:tcW w:w="419"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20.98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3/1/2030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18,229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6,771</w:t>
            </w:r>
          </w:p>
        </w:tc>
        <w:tc>
          <w:tcPr>
            <w:tcW w:w="419"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14.57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1/3/2031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32,583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13,417</w:t>
            </w:r>
          </w:p>
        </w:tc>
        <w:tc>
          <w:tcPr>
            <w:tcW w:w="419"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16.02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2/3/2031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105,416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124,584</w:t>
            </w:r>
          </w:p>
        </w:tc>
        <w:tc>
          <w:tcPr>
            <w:tcW w:w="419"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2/1/2032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82,500</w:t>
            </w:r>
          </w:p>
        </w:tc>
        <w:tc>
          <w:tcPr>
            <w:tcW w:w="419"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12/7/3032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18,172</w:t>
            </w:r>
          </w:p>
        </w:tc>
        <w:tc>
          <w:tcPr>
            <w:tcW w:w="419" w:type="dxa"/>
            <w:tcBorders/>
            <w:shd w:fill="CCEEFF" w:val="clear"/>
            <w:vAlign w:val="center"/>
          </w:tcPr>
          <w:p>
            <w:pPr>
              <w:pStyle w:val="TableContents"/>
              <w:bidi w:val="0"/>
              <w:spacing w:before="0" w:after="283"/>
              <w:jc w:val="left"/>
              <w:rPr/>
            </w:pPr>
            <w:r>
              <w:rPr/>
              <w:t>(11)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24,714</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149,333</w:t>
            </w:r>
          </w:p>
        </w:tc>
        <w:tc>
          <w:tcPr>
            <w:tcW w:w="419" w:type="dxa"/>
            <w:tcBorders/>
            <w:shd w:fill="CCEEFF" w:val="clear"/>
            <w:vAlign w:val="center"/>
          </w:tcPr>
          <w:p>
            <w:pPr>
              <w:pStyle w:val="TableContents"/>
              <w:bidi w:val="0"/>
              <w:spacing w:before="0" w:after="283"/>
              <w:jc w:val="left"/>
              <w:rPr/>
            </w:pPr>
            <w:r>
              <w:rPr/>
              <w:t>(12)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203,093</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Essra Ridha</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55,000</w:t>
            </w:r>
          </w:p>
        </w:tc>
        <w:tc>
          <w:tcPr>
            <w:tcW w:w="419" w:type="dxa"/>
            <w:tcBorders/>
            <w:vAlign w:val="center"/>
          </w:tcPr>
          <w:p>
            <w:pPr>
              <w:pStyle w:val="TableContents"/>
              <w:bidi w:val="0"/>
              <w:spacing w:before="0" w:after="283"/>
              <w:jc w:val="left"/>
              <w:rPr/>
            </w:pPr>
            <w:r>
              <w:rPr/>
              <w:t>(13)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10/31/2023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71,042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83,958</w:t>
            </w:r>
          </w:p>
        </w:tc>
        <w:tc>
          <w:tcPr>
            <w:tcW w:w="419" w:type="dxa"/>
            <w:tcBorders/>
            <w:vAlign w:val="center"/>
          </w:tcPr>
          <w:p>
            <w:pPr>
              <w:pStyle w:val="TableContents"/>
              <w:bidi w:val="0"/>
              <w:spacing w:before="0" w:after="283"/>
              <w:jc w:val="left"/>
              <w:rPr/>
            </w:pPr>
            <w:r>
              <w:rPr/>
              <w:t>(14)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2/1/2032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91,500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91,500</w:t>
            </w:r>
          </w:p>
        </w:tc>
        <w:tc>
          <w:tcPr>
            <w:tcW w:w="419" w:type="dxa"/>
            <w:tcBorders/>
            <w:vAlign w:val="center"/>
          </w:tcPr>
          <w:p>
            <w:pPr>
              <w:pStyle w:val="TableContents"/>
              <w:bidi w:val="0"/>
              <w:spacing w:before="0" w:after="283"/>
              <w:jc w:val="left"/>
              <w:rPr/>
            </w:pPr>
            <w:r>
              <w:rPr/>
              <w:t>(15)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0.79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12/7/2032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131,333</w:t>
            </w:r>
          </w:p>
        </w:tc>
        <w:tc>
          <w:tcPr>
            <w:tcW w:w="419" w:type="dxa"/>
            <w:tcBorders/>
            <w:vAlign w:val="center"/>
          </w:tcPr>
          <w:p>
            <w:pPr>
              <w:pStyle w:val="TableContents"/>
              <w:bidi w:val="0"/>
              <w:spacing w:before="0" w:after="283"/>
              <w:jc w:val="left"/>
              <w:rPr/>
            </w:pPr>
            <w:r>
              <w:rPr/>
              <w:t>(16)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178,613</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is based on the fair market value of AVROBIO common stock as of December 29, 2023, the last trading day of 2023, which was $1.36 per share.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25% of the shares vested on March 4, 2021 and the remainder vest in equal monthly installments until the option is fully vested on March 4,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25% of the shares vested on February 4, 2022 and the remainder vest in equal monthly installments until the option is fully vested on February 4, 2025,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(4)</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50% of the shares vested on June 10, 2023 and the remainder will vest on June 10,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25% of the shares vested on February 2, 2023 and the remainder vest in equal monthly installments until the option is fully vested on February 2, 2026, subject to the continued employment of the executive officer through each such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(6)</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50% of the shares vested on December 8, 2023 and the remainder vest in equal monthly installments until the option is fully vested on December 8,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(7)</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160,333 shares, which vests in four equal annual installments commencing on the first anniversary of February 1, 2023,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(8)</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70,000 shares, which vests in four equal annual installments commencing on the first anniversary of July 1, 2023,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(9)</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March 2, 2021 and the remainder vest in equal monthly installments until the option is fully vested on March 2,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(10)</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January 4, 2022 and the remainder vest in equal monthly installments until the option is fully vested on January 4, 2025,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pPr>
            <w:r>
              <w:rPr/>
              <w:t>(11)</w:t>
            </w:r>
          </w:p>
        </w:tc>
        <w:tc>
          <w:tcPr>
            <w:tcW w:w="98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36,344 shares, which vests as follows: 50% of the shares vested on June 10, 2023 and the remaining 50% vest on June 10,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(12)</w:t>
            </w:r>
          </w:p>
        </w:tc>
        <w:tc>
          <w:tcPr>
            <w:tcW w:w="9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149,333 shares, which vests in four equal annual installments commencing on the first anniversary of February 1, 2023,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(13)</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October 19, 2023 and the remainder vest in equal monthly installments until the option is fully vested on October 19, 2026,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(14)</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February 2, 2024 and the remainder vest in equal monthly installments until the option is fully vested on February 2, 2027,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(15)</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50% of the shares will vest on December 8, 2024 and the remainder will vest in 12 equal monthly installments until the option is fully vested on December 8, 2025,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(16)</w:t>
            </w:r>
          </w:p>
        </w:tc>
        <w:tc>
          <w:tcPr>
            <w:tcW w:w="9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131,333 shares, which vests in four equal annual installments commencing on the first anniversary of February 1, 2023, subject to the continued employment of the executive officer through each such vesting date.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with AVROBIO’s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AVROBIO entered into employment agreements with each of Erik Ostrowski, Geoff MacKay, Azadeh Golipour and Essra Ridha which set forth the initial terms and conditions of each executive’s employment with AVROBIO, including base salary, target annual bonus opportunity and standard employee benefit plan participation. These employment agreements provide for “at will” employment. The material terms of the employment agreements with the AVROBIO 2023 named executive officers are described below. The terms “change of control,” “cause” and “good reason” referred to below are defined in the applicable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Erik Ostrowski </w:t>
      </w:r>
    </w:p>
    <w:p>
      <w:pPr>
        <w:pStyle w:val="TextBody"/>
        <w:bidi w:val="0"/>
        <w:spacing w:before="120" w:after="0"/>
        <w:jc w:val="left"/>
        <w:rPr>
          <w:rFonts w:ascii="Times New Roman" w:hAnsi="Times New Roman"/>
          <w:sz w:val="20"/>
        </w:rPr>
      </w:pPr>
      <w:r>
        <w:rPr>
          <w:rFonts w:ascii="Times New Roman" w:hAnsi="Times New Roman"/>
          <w:sz w:val="20"/>
        </w:rPr>
        <w:t xml:space="preserve">On December 17, 2018, AVROBIO entered into an employment agreement with Erik Ostrowski for the position of Chief Financial Officer. Under the terms of the employment agreement, Mr. Ostrowski is entitled to receive an annual base salary of $412,000, subject to annual review by the AVROBIO Board or AVROBIO Compensation Committee. In addition, Mr. Ostrowski is eligible to receive cash incentive compensation as determined by the AVROBIO Board or AVROBIO Compensation Committee from time to time, with an initial target annual bonus of 40% of his annual base salary. Mr. Ostrowski also received a signing bonus in the form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one-time cash bonus of $170,000 and (ii) an RSU for 2,300 shares of AVROBIO common stock (“the Signing Bonus Award”). In addition, pursuant to the terms of the employment agreement, Mr. Ostrowski was granted an option to purchase 186,000 shares of AVROBIO common stock (the “New Hire Award”). Each of the Signing Bonus Award and the New Hire Award will vest over four years, with 25% of the shares vesting on the one-year anniversary of Mr. Ostrowski’s start date and the remaining shares vesting in thirty-six equal monthly installments thereafter, subject to Mr. Ostrowski’s continued service to AVROBIO through the applicable vesting date. Mr. Ostrowski also entered into an Employee Confidentiality, Assignment and Noncompetition Agreement with AVROBIO, the terms of which are incorporated into his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Mr. Ostrowski’s employment agreement provides that, in the event that his employment is terminated by AVROBIO without “cause” or by Mr. Ostrowski with “good reason” (as each term is defined in his employment agreement),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in equal installments over nine months in accordance with AVROBIO’s normal payroll cycle,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nine months, and (iii) acceleration of vesting of all stock options and other stock based awards held by Mr. Ostrowski that would have vested if 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in the event of a “change in control” (as defined in his employment agreement) all time-based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Ostrowski’s employment is terminated by AVROBIO without “cause” or by Mr. Ostrowski for “good reason,” in each case, within three months prior to or 18 months after a “change in control,” subject to the execution and effectiveness of a separation agreement and release, he will be entitled to receive (i) a lump sum amount equal to 100% of the sum of his current base salary (or his base salary in effect immediately prior to the change in control if higher) plus his target bonus for that year, less any amount paid to Mr. Ostrowski in the same calendar year under the Employee Confidentiality, Assignment and Noncompetition Agreement,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12 months, and (iii) full acceleration of vesting of all time-based stock options and other time-based stock-based awards held by Mr. Ostrowski.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Geoff MacKay </w:t>
      </w:r>
    </w:p>
    <w:p>
      <w:pPr>
        <w:pStyle w:val="TextBody"/>
        <w:bidi w:val="0"/>
        <w:spacing w:before="120" w:after="0"/>
        <w:jc w:val="left"/>
        <w:rPr>
          <w:rFonts w:ascii="Times New Roman" w:hAnsi="Times New Roman"/>
          <w:sz w:val="20"/>
        </w:rPr>
      </w:pPr>
      <w:r>
        <w:rPr>
          <w:rFonts w:ascii="Times New Roman" w:hAnsi="Times New Roman"/>
          <w:sz w:val="20"/>
        </w:rPr>
        <w:t xml:space="preserve">Prior to his resignation effective on May 1, 2023, Geoff MacKay, AVROBIO’s former President and Chief Executive Officer, was party to an employment agreement with AVROBIO. Effective upon the closing of AVROBIO’s IPO in June 2018, AVROBIO entered into an amended employment agreement with Mr. MacKay. Under the terms of the employment agreement, Mr. MacKay was entitled to receive an annual base salary of $500,000, subject to annual review by or AVROBIO Compensation Committee. In addition, Mr. MacKay was eligible to receive cash incentive compensation as determined by the AVROBIO Board or AVROBIO Compensation Committee from time to time, with an initial target annual bonus of 50% of his annual base salary. Mr. MacKay also previously entered into a Confidentiality and IP Assignment Agreement with AVROBIO, the terms of which were incorporated into his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Mr. MacKay’s employment agreement provided that, in the event that his employment is terminated by AVROBIO without “cause” or by Mr. MacKay with “good reason” (as each term is defined in his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subject to the execution and effectiveness of a separation agreement and release, he would have been entitled to receive (i) an amount equal to 100% of his base salary, provided that Mr. MacKay hadn’t breached any of the confidentiality, noncompetition or cooperation provisions set forth in, or incorporated into, the new employment agreement, payable in equal installments over 12 months in accordance with AVROBIO’s normal payroll cycle, and (ii) if Mr. MacKay was participating in AVROBIO’s group health plan and elects COBRA health continuation, a monthly cash payment equal to the monthly employer contribution that AVROBIO would have made to provide health insurance to Mr. MacKay had he remained employed with AVROBIO for up to 12 months, and (iii) acceleration of vesting of all stock options and other stock based awards held by Mr. MacKay that would have vested if he had remained employed by AVROBIO for an additional 12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in the event of a “change in control” (as defined in his employment agreement) all time-based stock options and other stock-based awards granted to Mr. MacKay at least 12 months prior to the effective date of the employment agreement would have accelerated and become fully exercisable or non-forfeitable immediately prior to the change in control. In addition, in the event that Mr. MacKay’s employment was terminated by AVROBIO without “cause” or by Mr. MacKay for “good reason,” in each case, within three months prior to or 18 months after a “change in control,” subject to the execution and effectiveness of a separation agreement and release, he would have been entitled to receive (i) a lump sum amount equal to 150% of the sum of his current base salary (or his base salary in effect immediately prior to the change in control if higher) plus his target bonus for that year, (ii) if Mr. MacKay was participating in AVROBIO’s group health plan and elects COBRA health continuation, a monthly cash payment equal to the monthly employer contribution that AVROBIO would have made to provide health insurance to Mr. MacKay had he remained employed with AVROBIO for up to 18 months, and (iii) full acceleration of vesting of all time-based stock options and other time-based stock-based awards held by Mr. MacKay.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Azadeh Golipour </w:t>
      </w:r>
    </w:p>
    <w:p>
      <w:pPr>
        <w:pStyle w:val="TextBody"/>
        <w:bidi w:val="0"/>
        <w:spacing w:before="120" w:after="0"/>
        <w:jc w:val="left"/>
        <w:rPr>
          <w:rFonts w:ascii="Times New Roman" w:hAnsi="Times New Roman"/>
          <w:sz w:val="20"/>
        </w:rPr>
      </w:pPr>
      <w:r>
        <w:rPr>
          <w:rFonts w:ascii="Times New Roman" w:hAnsi="Times New Roman"/>
          <w:sz w:val="20"/>
        </w:rPr>
        <w:t xml:space="preserve">Azadeh Golipour was previously employed by AVROBIO pursuant to an offer letter dated December 22, 2021. On January 26, 2022, AVROBIO entered into an employment agreement with Dr. Golipour which sets forth the terms of her employment as AVROBIO’s Chief Technology Officer and supersedes her previous offer letter in the entirety. Under the terms of the employment agreement, Dr. Golipour is entitled to receive an annual base salary of $342,000, subject to annual review by the AVROBIO Board or AVROBIO Compensation Committee. In addition, Dr. Golipour is eligible to receive cash incentive compensation as determined by the AVROBIO Board or AVROBIO Compensation Committee from time to time, with an initial target annual bonus of 35% of her annual base salary. In addition, Dr. Golipour is eligible to receive a reimbursement of relocation costs associated with relocating from Toronto, Ontario to Cambridge, Massachusetts (and tax gross-up on such reimbursements) and additional $10,000 lump sum payment. Until Dr. Golipour is no longer treated as a Canadian tax resident, Dr. Golipour is also eligible to receive a $25,000 annual travel allowance, a $5,000 per month housing allowance for 2022, up to $2,500 per year for tax advice and preparation, and tax gross-up on such payments and benefits. Dr. Golipour also entered into an Employee Confidentiality, Assignment and Noncompetition Agreement with AVROBIO, dated January 24, 2022. </w:t>
      </w:r>
    </w:p>
    <w:p>
      <w:pPr>
        <w:pStyle w:val="TextBody"/>
        <w:bidi w:val="0"/>
        <w:spacing w:before="240" w:after="0"/>
        <w:jc w:val="left"/>
        <w:rPr>
          <w:rFonts w:ascii="Times New Roman" w:hAnsi="Times New Roman"/>
          <w:sz w:val="20"/>
        </w:rPr>
      </w:pPr>
      <w:r>
        <w:rPr>
          <w:rFonts w:ascii="Times New Roman" w:hAnsi="Times New Roman"/>
          <w:sz w:val="20"/>
        </w:rPr>
        <w:t xml:space="preserve">Dr. Golipour’s employment agreement provides that, in the event that her employment is terminated by AVROBIO without “cause” or by Dr. Golipour with “good reason” (as each term is defined in her employment agreement), subject to the execution and effectiveness of a separation agreement and release, she will be entitled to receive (i) an amount equal to 75% of her base salary less any garden leave pay paid to Dr. Golipour in the same calendar year under the Employee Confidentiality, Assignment and Noncompetition Agreement, provided that Dr. Golipour has not breached any of the confidentiality, noncompetition or cooperation provisions set forth in, or incorporated into, the employment agreement, payable in equal installments over nine months in accordance with AVROBIO’s normal payroll cycle, (ii) if Dr. Golipour was participating in AVROBIO’s group health plan and elects COBRA health continuation, a monthly cash payment equal to the monthly employer contribution that AVROBIO would have made to provide health insurance to Dr. Golipour had she remained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employed with AVROBIO for up to nine months, and (iii) acceleration of vesting of all stock options and other stock based awards held by Dr. Golipour that would have vested if she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Dr. Golipour’s employment is terminated by AVROBIO without “cause” or by Dr. Golipour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less any amount paid to Dr. Golipour in the same calendar year under the Employee Confidentiality, Assignment and Noncompetition Agreement, (ii) if Dr. Golipour was participating in AVROBIO’s group health plan and elects COBRA health continuation, a monthly cash payment equal to the monthly employer contribution that AVROBIO would have made to provide health insurance to Dr. Golipour had she remained employed with AVROBIO for up to 12 months, and (iii) full acceleration of vesting of all time-based stock options and other time-based stock-based awards held by Dr. Golipour.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Essra Ridha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AVROBIO entered into an employment agreement with Essra Ridha for the position of Chief Medical Officer. Under the terms of the employment agreement, Dr. Ridha is entitled to receive an annual base salary of £310,000. In addition, Dr. Ridha is eligible to receive cash incentive compensation as determined by the AVROBIO Board or AVROBIO Compensation Committee from time to time, with an initial target annual bonus of 40% of her annual base salary. Dr. Ridha also received a signing bonus in the form of a one-time signing bonus of £52,000 and was eligible to receive a one-time discretionary bonus of £60,000 based on the successful completion within the first six (6) months of her employment of key objectives defined by the Chief Executive Officer. In addition, pursuant to the terms of the employment agreement, Dr. Ridha was granted an option to purchase 120,000 shares of AVROBIO’s common stock, which will vest over four years, with 25% of the shares vesting on the one-year anniversary of Dr. Ridha start date and the remaining shares vesting in thirty-six equal monthly installments thereafter, subject to Dr. Ridha’s continued service to AVROBIO through the applicable vesting date. Dr. Ridha is subject to confidentiality, non-solicitation and noncompetition provisions provided in her employment agreement with AVROBIO. </w:t>
      </w:r>
    </w:p>
    <w:p>
      <w:pPr>
        <w:pStyle w:val="TextBody"/>
        <w:bidi w:val="0"/>
        <w:spacing w:before="240" w:after="0"/>
        <w:jc w:val="left"/>
        <w:rPr>
          <w:rFonts w:ascii="Times New Roman" w:hAnsi="Times New Roman"/>
          <w:sz w:val="20"/>
        </w:rPr>
      </w:pPr>
      <w:r>
        <w:rPr>
          <w:rFonts w:ascii="Times New Roman" w:hAnsi="Times New Roman"/>
          <w:sz w:val="20"/>
        </w:rPr>
        <w:t xml:space="preserve">Dr. Ridha’s employment agreement provides that, in the event that her employment is terminated by AVROBIO without “cause” or by Dr. Ridha with “good reason” (as each term is defined in her employment agreement), subject to the execution and effectiveness of a separation agreement and release, she will be entitled to receive (i) an amount equal to 75% of her base salary, (ii) nine (9) months of benefits allowance, which would include medical, dental, vision, and leisure travel insurance benefits, and (iii) acceleration of vesting of all stock options and other stock based awards held by Dr. Ridha that would have vested if she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Dr. Ridha’s employment is terminated by AVROBIO without “cause” or by Dr. Ridha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(ii) 12 months of benefits allowance, which would include medical, dental, vision, and leisure travel insurance benefits, and (iii) full acceleration of vesting of all time-based stock options and other time-based stock-based awards held by Dr. Ridha.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AVROBIO believes that although a portion of the compensation provided to its executive officers and other employees is performance-based, its executive compensation program does not encourage excessive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unnecessary risk taking. AVROBIO’s compensation programs are designed to encourage its executive officers and other employees to remain focused on both short-term and long-term strategic goals, in particular in connection with its pay-for-performance compensation philosophy. As a result, AVROBIO does not believe that AVROBIO’s compensation programs are reasonably likely to have a material adverse effect on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1" w:name="toc770053_98"/>
      <w:bookmarkEnd w:id="101"/>
      <w:r>
        <w:rPr>
          <w:rFonts w:ascii="Times New Roman" w:hAnsi="Times New Roman"/>
          <w:b/>
          <w:sz w:val="20"/>
        </w:rPr>
        <w:t xml:space="preserve">AVROBIO DIRECTOR COMPENSATION </w:t>
      </w:r>
    </w:p>
    <w:p>
      <w:pPr>
        <w:pStyle w:val="TextBody"/>
        <w:bidi w:val="0"/>
        <w:spacing w:before="240" w:after="0"/>
        <w:jc w:val="left"/>
        <w:rPr>
          <w:rFonts w:ascii="Times New Roman" w:hAnsi="Times New Roman"/>
          <w:sz w:val="20"/>
        </w:rPr>
      </w:pPr>
      <w:r>
        <w:rPr>
          <w:rFonts w:ascii="Times New Roman" w:hAnsi="Times New Roman"/>
          <w:sz w:val="20"/>
        </w:rPr>
        <w:t>The following table presents the total compensation for each person who served as a non-employee member of the AVROBIO Board and received compensation for such service during the fiscal year ended December 31, 2023. Other than as set forth in the table and described more fully below, AVROBIO did not pay any compensation, make any equity awards or non-equity awards to, or pay any other compensation to any of the non-employee members of the AVROBIO Board in 2023. AVROBIO reimburses non-employee members of the AVROBIO Board for reasonable travel expenses. Mr. MacKay, AVROBIO’s former President and Chief Executive Officer, did not receive any compensation for his service as a member of the AVROBIO Board in 2023. Mr. MacKay’s compensation for service as an employee for fiscal year 2023 is presented in the section titled “—</w:t>
      </w:r>
      <w:r>
        <w:rPr>
          <w:rFonts w:ascii="Times New Roman" w:hAnsi="Times New Roman"/>
          <w:i/>
          <w:sz w:val="20"/>
        </w:rPr>
        <w:t>Executive Compensation—2023 Summary Compensation Table</w:t>
      </w:r>
      <w:r>
        <w:rPr>
          <w:rFonts w:ascii="Times New Roman" w:hAnsi="Times New Roman"/>
          <w:sz w:val="20"/>
        </w:rPr>
        <w:t xml:space="preserve">” beginning on page 284 of this proxy statement/prospectus. </w:t>
      </w:r>
    </w:p>
    <w:p>
      <w:pPr>
        <w:pStyle w:val="TextBody"/>
        <w:bidi w:val="0"/>
        <w:spacing w:before="0" w:after="0"/>
        <w:jc w:val="left"/>
        <w:rPr/>
      </w:pPr>
      <w:r>
        <w:rPr/>
        <w:t> </w:t>
      </w:r>
    </w:p>
    <w:tbl>
      <w:tblPr>
        <w:tblW w:w="8930" w:type="dxa"/>
        <w:jc w:val="left"/>
        <w:tblInd w:w="0" w:type="dxa"/>
        <w:tblLayout w:type="fixed"/>
        <w:tblCellMar>
          <w:top w:w="0" w:type="dxa"/>
          <w:left w:w="0" w:type="dxa"/>
          <w:bottom w:w="0" w:type="dxa"/>
          <w:right w:w="0" w:type="dxa"/>
        </w:tblCellMar>
      </w:tblPr>
      <w:tblGrid>
        <w:gridCol w:w="3215"/>
        <w:gridCol w:w="120"/>
        <w:gridCol w:w="175"/>
        <w:gridCol w:w="1990"/>
        <w:gridCol w:w="60"/>
        <w:gridCol w:w="120"/>
        <w:gridCol w:w="171"/>
        <w:gridCol w:w="1949"/>
        <w:gridCol w:w="60"/>
        <w:gridCol w:w="120"/>
        <w:gridCol w:w="70"/>
        <w:gridCol w:w="805"/>
        <w:gridCol w:w="75"/>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w:t>
              <w:br/>
              <w:t>PAID IN CASH</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Bruce Booth, D.Phil.(2)</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85,000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right"/>
              <w:rPr/>
            </w:pPr>
            <w:r>
              <w:rPr/>
              <w:t>13,968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98,968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Ian Clark(3)</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49" w:type="dxa"/>
            <w:tcBorders/>
            <w:vAlign w:val="center"/>
          </w:tcPr>
          <w:p>
            <w:pPr>
              <w:pStyle w:val="TableContents"/>
              <w:bidi w:val="0"/>
              <w:spacing w:before="0" w:after="283"/>
              <w:jc w:val="right"/>
              <w:rPr/>
            </w:pPr>
            <w:r>
              <w:rPr/>
              <w:t>13,968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63,968</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Donenberg(4)</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59,000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right"/>
              <w:rPr/>
            </w:pPr>
            <w:r>
              <w:rPr/>
              <w:t>13,968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72,968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Farfel(5)</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47,500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49" w:type="dxa"/>
            <w:tcBorders/>
            <w:vAlign w:val="center"/>
          </w:tcPr>
          <w:p>
            <w:pPr>
              <w:pStyle w:val="TableContents"/>
              <w:bidi w:val="0"/>
              <w:spacing w:before="0" w:after="283"/>
              <w:jc w:val="right"/>
              <w:rPr/>
            </w:pPr>
            <w:r>
              <w:rPr/>
              <w:t>13,968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61,468</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Annalisa Jenkins, M.B.B.S., F.R.C.P.(6)</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63,000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right"/>
              <w:rPr/>
            </w:pPr>
            <w:r>
              <w:rPr/>
              <w:t>13,968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76,968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Paige, Ph.D.(7)</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59,000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49" w:type="dxa"/>
            <w:tcBorders/>
            <w:vAlign w:val="center"/>
          </w:tcPr>
          <w:p>
            <w:pPr>
              <w:pStyle w:val="TableContents"/>
              <w:bidi w:val="0"/>
              <w:spacing w:before="0" w:after="283"/>
              <w:jc w:val="right"/>
              <w:rPr/>
            </w:pPr>
            <w:r>
              <w:rPr/>
              <w:t>13,968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72,968</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Philip Vickers, Ph.D.(8)</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right"/>
              <w:rPr/>
            </w:pPr>
            <w:r>
              <w:rPr/>
              <w:t>13,968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73,968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option awards granted or modified in 2023 in accordance with FASB ASC 718. Such grant date fair value does not take into account any estimated forfeitures related to service-vesting conditions. See Note 9 of “Notes to Consolidated Financial Statements” in AVROBIO’s Annual Report on Form 10-K filed with the SEC on March 14, 2024 for a discussion of assumptions made by AVROBIO in determining the aggregate grant date fair value of AVROBIO’s option awards. These amounts do not correspond to the actual value that may be recognized by the director upon vesting of applicable awards.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Booth held options to purchase a total of 93,712 shares of AVROBIO common stock, of which 76,069 shares were vested as of such date.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Mr. Clark held options to purchase an aggregate of 172,734 shares of AVROBIO common stock, of which 155,091 shares were vested as of such date.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Mr. Donenberg held options to purchase an aggregate of 112,455 shares of AVROBIO common stock, of which 94,812 shares were vested as of such date.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(5)</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Farfel held options to purchase an aggregate of 98,037 shares of AVROBIO common stock, of which 80,394 shares were vested as of such date.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Jenkins held options to purchase an aggregate of 133,223 shares of AVROBIO common stock, of which 115,580 shares were vested as of such date.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(7)</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Paige held options to purchase an aggregate of 93,712 shares of AVROBIO common stock, of which 76,069 shares were vested as of such date.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(8)</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Vickers held options to purchase an aggregate of 112,455 shares of AVROBIO common stock, of which 94,812 shares were vested as of such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has adopted a non-employee director compensation policy that is designed to enable AVROBIO to attract and retain, on a long-term basis, highly qualified non-employee directors. Pursuant to AVROBIO’s director compensation policy, each director who is not an employee will be paid cash compensation as set forth below: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4175"/>
        <w:gridCol w:w="120"/>
        <w:gridCol w:w="147"/>
        <w:gridCol w:w="1673"/>
        <w:gridCol w:w="60"/>
        <w:gridCol w:w="120"/>
        <w:gridCol w:w="147"/>
        <w:gridCol w:w="1673"/>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CHAIRPERSON</w:t>
              <w:br/>
              <w:t>MEMBER</w:t>
              <w:br/>
              <w:t>ANNUAL FEE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CHAIRPERSON</w:t>
              <w:br/>
              <w:t>ANNUAL FEE</w:t>
              <w:br/>
              <w:t>($)</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72,500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Committee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8,000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Science and Technology Committee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AVROBIO’s director compensation policy, each non-employee director first elected or appointed to serve on the AVROBIO Board is granted an option award for a number of shares of AVROBIO common stock equivalent to 0.08% of the total number of common stock shares outstanding on the date of grant, which vests in 36 equal monthly installments over a three-year period, subject to the director’s continued service through such vesting dates. In addition, on the date of each annual meeting of AVROBIO stockholders, each continuing non-employee director is now granted an option award for a number of shares of AVROBIO common stock equivalent to 0.04% of the total number of common stock shares outstanding on the date of grant, which vests in full upon the earlier to occur of the first anniversary of the date of grant or the date of AVROBIO’s following annual meeting of stockholders, subject to continued service as a director through such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and AVROBIO Compensation Committee, in consultation with AVROBIO’s compensation consultant, will continue to review non-employee director compensation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AVROBIO Board approved a special one-time cash payment of $20,000 for each of Bruce Booth, Ian Clark, Phillip Donenberg, Gail Farfel and Philip Vickers in their capacity as members of the Transaction Committee. This payment will be paid to each such member of the Transaction Committee immediately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2" w:name="toc770053_99"/>
      <w:bookmarkEnd w:id="102"/>
      <w:r>
        <w:rPr>
          <w:rFonts w:ascii="Times New Roman" w:hAnsi="Times New Roman"/>
          <w:b/>
          <w:sz w:val="20"/>
        </w:rPr>
        <w:t xml:space="preserve">AVROBIO 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of December 31, 2023 regarding shares of AVROBIO common stock that may be issued under AVROBIO’s equity compensation plans, consisting of AVROBIO’s 2018 Plan, AVROBIO’s 2015 Plan, AVROBIO’s 2019 Inducement Plan, AVROBIO’s 2020 Inducement Plan, and AVROBIO’s 2018 ESPP.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22"/>
        <w:gridCol w:w="60"/>
        <w:gridCol w:w="129"/>
        <w:gridCol w:w="2111"/>
        <w:gridCol w:w="291"/>
        <w:gridCol w:w="60"/>
        <w:gridCol w:w="231"/>
        <w:gridCol w:w="1694"/>
        <w:gridCol w:w="60"/>
        <w:gridCol w:w="60"/>
        <w:gridCol w:w="97"/>
        <w:gridCol w:w="1783"/>
        <w:gridCol w:w="307"/>
      </w:tblGrid>
      <w:tr>
        <w:trPr/>
        <w:tc>
          <w:tcPr>
            <w:tcW w:w="3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32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to be Issued</w:t>
              <w:br/>
              <w:t>Upon Exercise</w:t>
              <w:br/>
              <w:t>of Outstanding</w:t>
              <w:br/>
              <w:t>Options and RSUs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w:t>
              <w:br/>
              <w:t>of Outstanding</w:t>
              <w:br/>
              <w:t>Options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Remaining</w:t>
              <w:br/>
              <w:t>Available for</w:t>
              <w:br/>
              <w:t>Future Issuance</w:t>
              <w:br/>
              <w:t>Under Equity</w:t>
              <w:br/>
              <w:t>Compensation</w:t>
              <w:br/>
              <w:t>Plans (Excluding</w:t>
              <w:br/>
              <w:t>Securities</w:t>
              <w:br/>
              <w:t>Reflected in the</w:t>
              <w:br/>
              <w:t>First Column) (#)</w:t>
            </w:r>
          </w:p>
        </w:tc>
        <w:tc>
          <w:tcPr>
            <w:tcW w:w="307" w:type="dxa"/>
            <w:tcBorders/>
            <w:vAlign w:val="center"/>
          </w:tcPr>
          <w:p>
            <w:pPr>
              <w:pStyle w:val="TableContents"/>
              <w:bidi w:val="0"/>
              <w:spacing w:before="0" w:after="283"/>
              <w:jc w:val="left"/>
              <w:rPr/>
            </w:pPr>
            <w:r>
              <w:rPr/>
              <w:t> </w:t>
            </w:r>
          </w:p>
        </w:tc>
      </w:tr>
      <w:tr>
        <w:trPr/>
        <w:tc>
          <w:tcPr>
            <w:tcW w:w="332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holders(2)</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111" w:type="dxa"/>
            <w:tcBorders/>
            <w:shd w:fill="CCEEFF" w:val="clear"/>
            <w:vAlign w:val="center"/>
          </w:tcPr>
          <w:p>
            <w:pPr>
              <w:pStyle w:val="TableContents"/>
              <w:bidi w:val="0"/>
              <w:spacing w:before="0" w:after="283"/>
              <w:jc w:val="right"/>
              <w:rPr/>
            </w:pPr>
            <w:r>
              <w:rPr/>
              <w:t>5,111,846</w:t>
            </w:r>
          </w:p>
        </w:tc>
        <w:tc>
          <w:tcPr>
            <w:tcW w:w="291"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9,750,415</w:t>
            </w:r>
          </w:p>
        </w:tc>
        <w:tc>
          <w:tcPr>
            <w:tcW w:w="307" w:type="dxa"/>
            <w:tcBorders/>
            <w:shd w:fill="CCEEFF" w:val="clear"/>
            <w:vAlign w:val="center"/>
          </w:tcPr>
          <w:p>
            <w:pPr>
              <w:pStyle w:val="TableContents"/>
              <w:bidi w:val="0"/>
              <w:spacing w:before="0" w:after="283"/>
              <w:jc w:val="left"/>
              <w:rPr/>
            </w:pPr>
            <w:r>
              <w:rPr/>
              <w:t>(3) </w:t>
            </w:r>
          </w:p>
        </w:tc>
      </w:tr>
      <w:tr>
        <w:trPr/>
        <w:tc>
          <w:tcPr>
            <w:tcW w:w="33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111" w:type="dxa"/>
            <w:tcBorders/>
            <w:vAlign w:val="center"/>
          </w:tcPr>
          <w:p>
            <w:pPr>
              <w:pStyle w:val="TableContents"/>
              <w:bidi w:val="0"/>
              <w:spacing w:before="0" w:after="283"/>
              <w:jc w:val="right"/>
              <w:rPr/>
            </w:pPr>
            <w:r>
              <w:rPr/>
              <w:t>966,784</w:t>
            </w:r>
          </w:p>
        </w:tc>
        <w:tc>
          <w:tcPr>
            <w:tcW w:w="291"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694" w:type="dxa"/>
            <w:tcBorders/>
            <w:vAlign w:val="center"/>
          </w:tcPr>
          <w:p>
            <w:pPr>
              <w:pStyle w:val="TableContents"/>
              <w:bidi w:val="0"/>
              <w:spacing w:before="0" w:after="283"/>
              <w:jc w:val="right"/>
              <w:rPr/>
            </w:pPr>
            <w:r>
              <w:rPr/>
              <w:t>8.15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3,107,211</w:t>
            </w:r>
          </w:p>
        </w:tc>
        <w:tc>
          <w:tcPr>
            <w:tcW w:w="307" w:type="dxa"/>
            <w:tcBorders/>
            <w:vAlign w:val="center"/>
          </w:tcPr>
          <w:p>
            <w:pPr>
              <w:pStyle w:val="TableContents"/>
              <w:bidi w:val="0"/>
              <w:spacing w:before="0" w:after="283"/>
              <w:jc w:val="left"/>
              <w:rPr/>
            </w:pPr>
            <w:r>
              <w:rPr/>
              <w:t>(5) </w:t>
            </w:r>
          </w:p>
        </w:tc>
      </w:tr>
      <w:tr>
        <w:trPr/>
        <w:tc>
          <w:tcPr>
            <w:tcW w:w="3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single" w:sz="2" w:space="1" w:color="000000"/>
              </w:pBdr>
              <w:bidi w:val="0"/>
              <w:spacing w:before="0" w:after="0"/>
              <w:jc w:val="left"/>
              <w:rPr/>
            </w:pPr>
            <w:r>
              <w:rPr/>
              <w:t> </w:t>
            </w:r>
          </w:p>
        </w:tc>
        <w:tc>
          <w:tcPr>
            <w:tcW w:w="2111"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16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307" w:type="dxa"/>
            <w:tcBorders/>
            <w:vAlign w:val="center"/>
          </w:tcPr>
          <w:p>
            <w:pPr>
              <w:pStyle w:val="TableContents"/>
              <w:bidi w:val="0"/>
              <w:spacing w:before="0" w:after="283"/>
              <w:jc w:val="left"/>
              <w:rPr/>
            </w:pPr>
            <w:r>
              <w:rPr/>
              <w:t> </w:t>
            </w:r>
          </w:p>
        </w:tc>
      </w:tr>
      <w:tr>
        <w:trPr/>
        <w:tc>
          <w:tcPr>
            <w:tcW w:w="332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111" w:type="dxa"/>
            <w:tcBorders/>
            <w:shd w:fill="CCEEFF" w:val="clear"/>
            <w:vAlign w:val="center"/>
          </w:tcPr>
          <w:p>
            <w:pPr>
              <w:pStyle w:val="TableContents"/>
              <w:bidi w:val="0"/>
              <w:spacing w:before="0" w:after="283"/>
              <w:jc w:val="right"/>
              <w:rPr/>
            </w:pPr>
            <w:r>
              <w:rPr/>
              <w:t>6,078,630</w:t>
            </w:r>
          </w:p>
        </w:tc>
        <w:tc>
          <w:tcPr>
            <w:tcW w:w="2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12,857,626</w:t>
            </w:r>
          </w:p>
        </w:tc>
        <w:tc>
          <w:tcPr>
            <w:tcW w:w="307" w:type="dxa"/>
            <w:tcBorders/>
            <w:shd w:fill="CCEEFF" w:val="clear"/>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double" w:sz="6" w:space="1" w:color="000000"/>
              </w:pBdr>
              <w:bidi w:val="0"/>
              <w:spacing w:before="0" w:after="0"/>
              <w:jc w:val="left"/>
              <w:rPr/>
            </w:pPr>
            <w:r>
              <w:rPr/>
              <w:t> </w:t>
            </w:r>
          </w:p>
        </w:tc>
        <w:tc>
          <w:tcPr>
            <w:tcW w:w="2111"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169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double" w:sz="6" w:space="1" w:color="000000"/>
              </w:pBdr>
              <w:bidi w:val="0"/>
              <w:spacing w:before="0" w:after="0"/>
              <w:jc w:val="left"/>
              <w:rPr/>
            </w:pPr>
            <w:r>
              <w:rPr/>
              <w:t> </w:t>
            </w:r>
          </w:p>
        </w:tc>
        <w:tc>
          <w:tcPr>
            <w:tcW w:w="1783" w:type="dxa"/>
            <w:tcBorders/>
            <w:vAlign w:val="center"/>
          </w:tcPr>
          <w:p>
            <w:pPr>
              <w:pStyle w:val="TableContents"/>
              <w:pBdr>
                <w:top w:val="double" w:sz="6" w:space="1" w:color="000000"/>
              </w:pBdr>
              <w:bidi w:val="0"/>
              <w:spacing w:before="0" w:after="0"/>
              <w:jc w:val="left"/>
              <w:rPr/>
            </w:pPr>
            <w:r>
              <w:rPr/>
              <w:t> </w:t>
            </w:r>
          </w:p>
        </w:tc>
        <w:tc>
          <w:tcPr>
            <w:tcW w:w="307"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RSUs do not have any exercise price, such units are not included in the weighted average exercise price calculations above.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4,175,488 shares of AVROBIO common stock issuable upon the exercise of outstanding options and (ii) 936,358 shares of AVROBIO common stock issuable upon vesting of RSUs.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there were 7,978,667 shares of AVROBIO common stock available for grant under AVROBIO’s 2018 Plan, no shares available for grant under AVROBIO’s 2015 Plan, and 1,771,748 shares of AVROBIO common stock available for grant under AVROBIO’s 2018 ESPP (which number excludes any shares that would have been added to the plan as a result of the automatic annual increase on January 1, 2024). AVROBIO’s 2018 ESPP provides that the number of shares reserved and available for issuance under the plan automatically increases each January 1 by the least of 1,115,700 shares of AVROBIO common stock, 1% of the outstanding number of shares of AVROBIO common stock on the immediately preceding December 31 or such lesser number of shares as determined by the AVROBIO Compensation Committee. However, the AVROBIO Compensation Committee opted to reduce the number of shares that would otherwise have automatically been made available for issuance under the 2018 ESPP on January 1, 2024 to zero.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484,700 shares of AVROBIO common stock underlying non-qualified stock options that were granted prior to the adoption of AVROBIO’s Inducement Plans as one-time awards to various new employees in accordance with Nasdaq Listing Rule 5635(c)(4) and (ii) 482,084 shares of AVROBIO common stock issuable upon exercise of outstanding options granted under AVROBIO’s 2019 Inducement Plan. There are no shares of AVROBIO common stock issuable upon exercise of outstanding options granted under AVROBIO’s 2020 Inducement Plan.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1,407,211 shares of AVROBIO common stock issuable under AVROBIO’s 2019 Inducement Plan and (ii) 1,700,000 issuable under AVROBIO’s 2020 Inducement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3" w:name="toc770053_100"/>
      <w:bookmarkEnd w:id="103"/>
      <w:r>
        <w:rPr>
          <w:rFonts w:ascii="Times New Roman" w:hAnsi="Times New Roman"/>
          <w:b/>
          <w:sz w:val="20"/>
        </w:rPr>
        <w:t xml:space="preserve">TECTONIC EXECUTIVE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Overview </w:t>
      </w:r>
    </w:p>
    <w:p>
      <w:pPr>
        <w:pStyle w:val="TextBody"/>
        <w:bidi w:val="0"/>
        <w:spacing w:before="120" w:after="0"/>
        <w:jc w:val="left"/>
        <w:rPr>
          <w:rFonts w:ascii="Times New Roman" w:hAnsi="Times New Roman"/>
          <w:sz w:val="20"/>
        </w:rPr>
      </w:pPr>
      <w:r>
        <w:rPr>
          <w:rFonts w:ascii="Times New Roman" w:hAnsi="Times New Roman"/>
          <w:sz w:val="20"/>
        </w:rPr>
        <w:t xml:space="preserve">Tectonic’s named executive officers for the year ended December 31, 2023 who appear in the Summary Compensation Table below are: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Alise Reicin, M.D., Chief Executive Officer and Director;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Marcella K. Ruddy, M.D., Chief Medical Officer; and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Christian Cortis, Ph.D., Chief Operating Officer and Chief Financial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total compensation awarded to, earned by or paid to each of Tectonic’s named executive officers during the year ended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0"/>
        <w:gridCol w:w="120"/>
        <w:gridCol w:w="60"/>
        <w:gridCol w:w="500"/>
        <w:gridCol w:w="60"/>
        <w:gridCol w:w="120"/>
        <w:gridCol w:w="63"/>
        <w:gridCol w:w="845"/>
        <w:gridCol w:w="60"/>
        <w:gridCol w:w="120"/>
        <w:gridCol w:w="60"/>
        <w:gridCol w:w="800"/>
        <w:gridCol w:w="60"/>
        <w:gridCol w:w="120"/>
        <w:gridCol w:w="103"/>
        <w:gridCol w:w="1387"/>
        <w:gridCol w:w="60"/>
        <w:gridCol w:w="120"/>
        <w:gridCol w:w="120"/>
        <w:gridCol w:w="1370"/>
        <w:gridCol w:w="320"/>
        <w:gridCol w:w="60"/>
        <w:gridCol w:w="60"/>
        <w:gridCol w:w="800"/>
        <w:gridCol w:w="77"/>
      </w:tblGrid>
      <w:tr>
        <w:trPr/>
        <w:tc>
          <w:tcPr>
            <w:tcW w:w="2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7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Salary(1)</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7" w:type="dxa"/>
            <w:tcBorders/>
            <w:vAlign w:val="center"/>
          </w:tcPr>
          <w:p>
            <w:pPr>
              <w:pStyle w:val="TableContents"/>
              <w:bidi w:val="0"/>
              <w:spacing w:before="0" w:after="283"/>
              <w:jc w:val="left"/>
              <w:rPr/>
            </w:pPr>
            <w:r>
              <w:rPr/>
              <w:t> </w:t>
            </w:r>
          </w:p>
        </w:tc>
      </w:tr>
      <w:tr>
        <w:trPr/>
        <w:tc>
          <w:tcPr>
            <w:tcW w:w="2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r>
              <w:rPr>
                <w:rFonts w:ascii="Times New Roman" w:hAnsi="Times New Roman"/>
                <w:b/>
                <w:sz w:val="20"/>
              </w:rPr>
              <w:t>(4)</w:t>
            </w:r>
            <w:r>
              <w:rPr>
                <w:rFonts w:ascii="Times New Roman" w:hAnsi="Times New Roman"/>
                <w:sz w:val="20"/>
              </w:rPr>
              <w:t xml:space="preserve"> </w:t>
            </w:r>
          </w:p>
          <w:p>
            <w:pPr>
              <w:pStyle w:val="TableContents"/>
              <w:bidi w:val="0"/>
              <w:spacing w:before="0" w:after="20"/>
              <w:jc w:val="left"/>
              <w:rPr>
                <w:rFonts w:ascii="Times New Roman" w:hAnsi="Times New Roman"/>
                <w:i/>
                <w:sz w:val="20"/>
              </w:rPr>
            </w:pPr>
            <w:r>
              <w:rPr>
                <w:rFonts w:ascii="Times New Roman" w:hAnsi="Times New Roman"/>
                <w:i/>
                <w:sz w:val="20"/>
              </w:rPr>
              <w:t>Chief Executive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575,050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112,563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231,600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12,749</w:t>
            </w:r>
          </w:p>
        </w:tc>
        <w:tc>
          <w:tcPr>
            <w:tcW w:w="320" w:type="dxa"/>
            <w:tcBorders/>
            <w:shd w:fill="CCEEFF" w:val="clear"/>
            <w:vAlign w:val="center"/>
          </w:tcPr>
          <w:p>
            <w:pPr>
              <w:pStyle w:val="TableContents"/>
              <w:bidi w:val="0"/>
              <w:spacing w:before="0" w:after="283"/>
              <w:jc w:val="left"/>
              <w:rPr/>
            </w:pPr>
            <w:r>
              <w:rPr/>
              <w:t>(5) </w:t>
            </w:r>
            <w:r>
              <w:rPr>
                <w:b/>
              </w:rPr>
              <w:br/>
            </w: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919,213</w:t>
            </w:r>
          </w:p>
        </w:tc>
        <w:tc>
          <w:tcPr>
            <w:tcW w:w="77" w:type="dxa"/>
            <w:tcBorders/>
            <w:shd w:fill="CCEEFF" w:val="clear"/>
            <w:vAlign w:val="center"/>
          </w:tcPr>
          <w:p>
            <w:pPr>
              <w:pStyle w:val="TableContents"/>
              <w:bidi w:val="0"/>
              <w:spacing w:before="0" w:after="283"/>
              <w:jc w:val="left"/>
              <w:rPr/>
            </w:pPr>
            <w:r>
              <w:rPr/>
              <w:t> </w:t>
            </w:r>
          </w:p>
        </w:tc>
      </w:tr>
      <w:tr>
        <w:trPr/>
        <w:tc>
          <w:tcPr>
            <w:tcW w:w="2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Marcella K. Ruddy, M.D. </w:t>
            </w:r>
          </w:p>
          <w:p>
            <w:pPr>
              <w:pStyle w:val="TableContents"/>
              <w:bidi w:val="0"/>
              <w:spacing w:before="0" w:after="20"/>
              <w:jc w:val="left"/>
              <w:rPr>
                <w:rFonts w:ascii="Times New Roman" w:hAnsi="Times New Roman"/>
                <w:i/>
                <w:sz w:val="20"/>
              </w:rPr>
            </w:pPr>
            <w:r>
              <w:rPr>
                <w:rFonts w:ascii="Times New Roman" w:hAnsi="Times New Roman"/>
                <w:i/>
                <w:sz w:val="20"/>
              </w:rPr>
              <w:t>Chief Medical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451,962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78,794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159,341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9,678</w:t>
            </w:r>
          </w:p>
        </w:tc>
        <w:tc>
          <w:tcPr>
            <w:tcW w:w="320" w:type="dxa"/>
            <w:tcBorders/>
            <w:vAlign w:val="center"/>
          </w:tcPr>
          <w:p>
            <w:pPr>
              <w:pStyle w:val="TableContents"/>
              <w:bidi w:val="0"/>
              <w:spacing w:before="0" w:after="283"/>
              <w:jc w:val="left"/>
              <w:rPr/>
            </w:pPr>
            <w:r>
              <w:rPr/>
              <w:t>(6) </w:t>
            </w:r>
            <w:r>
              <w:rPr>
                <w:b/>
              </w:rPr>
              <w:br/>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690,096</w:t>
            </w:r>
          </w:p>
        </w:tc>
        <w:tc>
          <w:tcPr>
            <w:tcW w:w="77" w:type="dxa"/>
            <w:tcBorders/>
            <w:vAlign w:val="center"/>
          </w:tcPr>
          <w:p>
            <w:pPr>
              <w:pStyle w:val="TableContents"/>
              <w:bidi w:val="0"/>
              <w:spacing w:before="0" w:after="283"/>
              <w:jc w:val="left"/>
              <w:rPr/>
            </w:pPr>
            <w:r>
              <w:rPr/>
              <w:t> </w:t>
            </w:r>
          </w:p>
        </w:tc>
      </w:tr>
      <w:tr>
        <w:trPr/>
        <w:tc>
          <w:tcPr>
            <w:tcW w:w="2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Christian Cortis, Ph.D. </w:t>
            </w:r>
          </w:p>
          <w:p>
            <w:pPr>
              <w:pStyle w:val="TableContents"/>
              <w:bidi w:val="0"/>
              <w:spacing w:before="0" w:after="20"/>
              <w:jc w:val="left"/>
              <w:rPr>
                <w:rFonts w:ascii="Times New Roman" w:hAnsi="Times New Roman"/>
                <w:i/>
                <w:sz w:val="20"/>
              </w:rPr>
            </w:pPr>
            <w:r>
              <w:rPr>
                <w:rFonts w:ascii="Times New Roman" w:hAnsi="Times New Roman"/>
                <w:i/>
                <w:sz w:val="20"/>
              </w:rPr>
              <w:t>Chief Operating Officer and Chief Financial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383,356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78,794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115,850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495</w:t>
            </w:r>
          </w:p>
        </w:tc>
        <w:tc>
          <w:tcPr>
            <w:tcW w:w="32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578,000</w:t>
            </w:r>
          </w:p>
        </w:tc>
        <w:tc>
          <w:tcPr>
            <w:tcW w:w="77"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Salary amounts represent actual amounts paid during 2023 and reflect increases to base salary effective April 1, 2023. See “—</w:t>
            </w:r>
            <w:r>
              <w:rPr>
                <w:rFonts w:ascii="Times New Roman" w:hAnsi="Times New Roman"/>
                <w:i/>
                <w:sz w:val="20"/>
              </w:rPr>
              <w:t>Narrative to the Summary Compensation Table—Annual Base Salary</w:t>
            </w:r>
            <w:r>
              <w:rPr>
                <w:rFonts w:ascii="Times New Roman" w:hAnsi="Times New Roman"/>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value of the stock option awards granted during the year ended December 31, 2023, calculated in accordance with FASB ASC 718 for share-based compensation transactions. The assumptions used in calculating the grant date fair value of the stock options reported in this column are set forth in Note 2 to Tectonic’s consolidated financial statements for each of the years ended December 31, 2022 and 2023 included elsewhere in this proxy statement/prospectus. These amounts do not correspond to the actual economic value that may be received by Tectonic’s named executive officers upon the exercise of the stock options or any sale of the underlying shares of common stock.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disclosed for fiscal year 2023 reflect performance-based cash bonuses earned in 2023 and paid in early 2024. See “—</w:t>
            </w:r>
            <w:r>
              <w:rPr>
                <w:rFonts w:ascii="Times New Roman" w:hAnsi="Times New Roman"/>
                <w:i/>
                <w:sz w:val="20"/>
              </w:rPr>
              <w:t>Non-Equity Incentive Plan Compensation</w:t>
            </w:r>
            <w:r>
              <w:rPr>
                <w:rFonts w:ascii="Times New Roman" w:hAnsi="Times New Roman"/>
                <w:sz w:val="20"/>
              </w:rPr>
              <w:t xml:space="preserve">” below for a description of the material terms of the program pursuant to which this compensation was awarded.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Reicin also serves as a member of the Tectonic Board but does not receive any additional compensation for her service as a director.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(5)</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commuting expenses in the amount of $12,221, and (ii) life insurance premiums in the amount of $528 paid by Tectonic on behalf of Dr. Reicin.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$9,150 in matching employer contributions to a 401(k) plan, and (ii) life insurance premiums in the amount of $528 paid by Tectonic on behalf of Dr. Ruddy. </w:t>
            </w:r>
          </w:p>
        </w:tc>
      </w:tr>
    </w:tbl>
    <w:tbl>
      <w:tblPr>
        <w:tblW w:w="6565" w:type="dxa"/>
        <w:jc w:val="left"/>
        <w:tblInd w:w="0" w:type="dxa"/>
        <w:tblLayout w:type="fixed"/>
        <w:tblCellMar>
          <w:top w:w="0" w:type="dxa"/>
          <w:left w:w="0" w:type="dxa"/>
          <w:bottom w:w="0" w:type="dxa"/>
          <w:right w:w="0" w:type="dxa"/>
        </w:tblCellMar>
      </w:tblPr>
      <w:tblGrid>
        <w:gridCol w:w="305"/>
        <w:gridCol w:w="6260"/>
      </w:tblGrid>
      <w:tr>
        <w:trPr/>
        <w:tc>
          <w:tcPr>
            <w:tcW w:w="305" w:type="dxa"/>
            <w:tcBorders/>
            <w:vAlign w:val="center"/>
          </w:tcPr>
          <w:p>
            <w:pPr>
              <w:pStyle w:val="TableContents"/>
              <w:bidi w:val="0"/>
              <w:spacing w:before="0" w:after="283"/>
              <w:jc w:val="left"/>
              <w:rPr/>
            </w:pPr>
            <w:r>
              <w:rPr/>
              <w:t>(7)</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life insurance premiums paid by Tectonic on behalf of Dr. Cortis.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Tectonic Board reviews compensation on a regular basis for all employees, including Tectonic’s named executive officers. In setting executive base salaries and bonuses and granting equity incentive awards,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Tectonic Board considers compensation for comparable positions in the market, the historical compensation levels of its executives, individual performance as compared to Tectonic’s expectations and objectives, Tectonic’s desire to motivate its employees to achieve short-and long-term results that are in the best interests of its stockholders and a long-term commitment to Tectonic.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Each named executive officer’s base salary is a fixed component of annual compensation for performing specific duties and functions, and has been established by the Tectonic Board taking into account each individual’s role, responsibilities, skills, and expertise. Base salaries are reviewed annually, typically in connection with Tectonic’s annual performance review process, approved by the Tectonic Board, and adjusted from time to time to realign salaries with market levels and internal benchmarking, after taking into account individual responsibilities, performance and experience. Please see the “Salary” column in the Summary Compensation Table above for the actual base salary amount received by each named executive officer during the year ended December 31, 2023. The annual base salaries for Drs. Reicin, Ruddy and Cortis were $562,380, $442,000 and $374,920, respectively for the period from January 1, 2023 through March 31, 2023, and $579,251, $455,260 and $386,168, respectively, for the period from April 1, 2023 to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April 1, 2024, the annual base salaries for Drs. Reicin, Ruddy and Cortis were increased to $602,160, $473,200 and $401,440, respectively. </w:t>
      </w:r>
    </w:p>
    <w:p>
      <w:pPr>
        <w:pStyle w:val="TextBody"/>
        <w:bidi w:val="0"/>
        <w:spacing w:before="240" w:after="0"/>
        <w:jc w:val="left"/>
        <w:rPr>
          <w:rFonts w:ascii="Times New Roman" w:hAnsi="Times New Roman"/>
          <w:sz w:val="20"/>
        </w:rPr>
      </w:pPr>
      <w:r>
        <w:rPr>
          <w:rFonts w:ascii="Times New Roman" w:hAnsi="Times New Roman"/>
          <w:sz w:val="20"/>
        </w:rPr>
        <w:t xml:space="preserve">Effective immediately prior to, and contingent upon, the completion of the merger, the annual base salaries for Dr. Reicin and Dr. Ruddy will be increased to $620,000 and $486,850,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Non-Equity Incentive Plan Compensation </w:t>
      </w:r>
    </w:p>
    <w:p>
      <w:pPr>
        <w:pStyle w:val="TextBody"/>
        <w:bidi w:val="0"/>
        <w:spacing w:before="120" w:after="0"/>
        <w:jc w:val="left"/>
        <w:rPr>
          <w:rFonts w:ascii="Times New Roman" w:hAnsi="Times New Roman"/>
          <w:sz w:val="20"/>
        </w:rPr>
      </w:pPr>
      <w:r>
        <w:rPr>
          <w:rFonts w:ascii="Times New Roman" w:hAnsi="Times New Roman"/>
          <w:sz w:val="20"/>
        </w:rPr>
        <w:t xml:space="preserve">Tectonic’s annual incentive program is intended to reward its named executive officers for performance during a fiscal year. From time to time, Tectonic’s compensation committee or the Tectonic Board, as applicable, in their discretion may approve annual incentives for Tectonic’s named executive officers based on individual performance, company performance, or as otherwise determined appropriate. Each of Tectonic’s named executive officers was eligible to receive a target bonus at the discretion of the Tectonic Board with respect to the year ended December 31, 2023 (as a percentage of base salary) based upon their performance. </w:t>
      </w:r>
    </w:p>
    <w:p>
      <w:pPr>
        <w:pStyle w:val="TextBody"/>
        <w:bidi w:val="0"/>
        <w:spacing w:before="0" w:after="0"/>
        <w:jc w:val="left"/>
        <w:rPr/>
      </w:pPr>
      <w:r>
        <w:rPr/>
        <w:t> </w:t>
      </w:r>
    </w:p>
    <w:tbl>
      <w:tblPr>
        <w:tblW w:w="3870" w:type="dxa"/>
        <w:jc w:val="left"/>
        <w:tblInd w:w="0" w:type="dxa"/>
        <w:tblLayout w:type="fixed"/>
        <w:tblCellMar>
          <w:top w:w="0" w:type="dxa"/>
          <w:left w:w="0" w:type="dxa"/>
          <w:bottom w:w="0" w:type="dxa"/>
          <w:right w:w="0" w:type="dxa"/>
        </w:tblCellMar>
      </w:tblPr>
      <w:tblGrid>
        <w:gridCol w:w="2075"/>
        <w:gridCol w:w="120"/>
        <w:gridCol w:w="133"/>
        <w:gridCol w:w="577"/>
        <w:gridCol w:w="60"/>
        <w:gridCol w:w="120"/>
        <w:gridCol w:w="133"/>
        <w:gridCol w:w="577"/>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Name</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br/>
              <w:t>Bonus</w:t>
              <w:br/>
              <w:t>Target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br/>
              <w:t>Bonus</w:t>
              <w:br/>
              <w:t>Target</w:t>
              <w:br/>
              <w:t>(%)</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February 2024, based on the named executive officer’s performance, the Tectonic Board determined that Drs. Reicin, Ruddy and Cortis were eligible to receive 100% of their target annual bonus for the year ended December 31, 2023, and as a result, approved annual performance bonuses for Drs. Reicin, Ruddy, and Cortis in the amounts of $231,600, $159,341 and $115,850, respectively, as reflected in the “Non-Equity Incentive Plan Compensation” column of the Summary Compensation Table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Tectonic’s equity-based incentive awards granted to its named executive officers are designed to align the interests of Tectonic and those of Tectonic stockholders with those of Tectonic employees and consultants, including its executive officers. Tectonic executives generally are awarded an initial equity grant in the form of a stock option, or restricted stock in the case of Drs. Reicin and Cortis, in connection with their commencement of employment with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as disclosed below regarding restricted stock awards granted to Dr. Reicin pursuant to the Reicin Employment Agreement (as defined below), Tectonic has historically used stock options as an incentive for long-term compensation to its executive officers because the option awards allow Tectonic executive officers to profit from this form of equity compensation only if Tectonic’s stock price increases relative to the option’s exercise price, which exercise price is set at the fair market value of Tectonic common stock on the date of grant. Vesting of equity awards is generally tied to each officer’s continuous service with Tectonic and serves as an additional retention measure. Tectonic may grant equity awards at such times as the Tectonic Board or compensation committee determines appropriate. Additional grants may occur periodically in order to specifically incentivize executives with respect to achieving certain corporate goals or to reward executives for exceptional performance. </w:t>
      </w:r>
    </w:p>
    <w:p>
      <w:pPr>
        <w:pStyle w:val="TextBody"/>
        <w:bidi w:val="0"/>
        <w:spacing w:before="240" w:after="0"/>
        <w:jc w:val="left"/>
        <w:rPr>
          <w:rFonts w:ascii="Times New Roman" w:hAnsi="Times New Roman"/>
          <w:sz w:val="20"/>
        </w:rPr>
      </w:pPr>
      <w:r>
        <w:rPr>
          <w:rFonts w:ascii="Times New Roman" w:hAnsi="Times New Roman"/>
          <w:sz w:val="20"/>
        </w:rPr>
        <w:t>In the year ended December 31, 2023, Tectonic granted each of Drs. Reicin, Ruddy and Cortis options to purchase shares of Tectonic common stock. Dr. Reicin was granted an option covering 50,000 shares, Dr. Ruddy was granted an option covering 35,000 shares and Dr. Cortis was granted an option covering 35,000 shares. Each of these option awards have an exercise price of $2.87, and vest in 48 equal monthly installments beginning on January 1, 2024. See the section titled “—</w:t>
      </w:r>
      <w:r>
        <w:rPr>
          <w:rFonts w:ascii="Times New Roman" w:hAnsi="Times New Roman"/>
          <w:i/>
          <w:sz w:val="20"/>
        </w:rPr>
        <w:t>Outstanding Equity Awards at Fiscal 2023 Year-End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2023 Year-End </w:t>
      </w:r>
    </w:p>
    <w:p>
      <w:pPr>
        <w:pStyle w:val="TextBody"/>
        <w:bidi w:val="0"/>
        <w:spacing w:before="120" w:after="0"/>
        <w:jc w:val="left"/>
        <w:rPr>
          <w:rFonts w:ascii="Times New Roman" w:hAnsi="Times New Roman"/>
          <w:sz w:val="20"/>
        </w:rPr>
      </w:pPr>
      <w:r>
        <w:rPr>
          <w:rFonts w:ascii="Times New Roman" w:hAnsi="Times New Roman"/>
          <w:sz w:val="20"/>
        </w:rPr>
        <w:t>The following table sets forth information regarding outstanding equity awards held by Tectonic’s named executive officers as of December 31, 2023. All awards were granted pursuant to the Tectonic 2019 Plan. See “ —</w:t>
      </w:r>
      <w:r>
        <w:rPr>
          <w:rFonts w:ascii="Times New Roman" w:hAnsi="Times New Roman"/>
          <w:i/>
          <w:sz w:val="20"/>
        </w:rPr>
        <w:t xml:space="preserve">Equity Incentive Plans– Tectonic 2019 Plan” </w:t>
      </w:r>
      <w:r>
        <w:rPr>
          <w:rFonts w:ascii="Times New Roman" w:hAnsi="Times New Roman"/>
          <w:sz w:val="20"/>
        </w:rPr>
        <w:t xml:space="preserve">below for additional information. </w:t>
      </w:r>
    </w:p>
    <w:p>
      <w:pPr>
        <w:pStyle w:val="TextBody"/>
        <w:bidi w:val="0"/>
        <w:spacing w:before="0" w:after="0"/>
        <w:jc w:val="left"/>
        <w:rPr/>
      </w:pPr>
      <w:r>
        <w:rPr/>
        <w:t> </w:t>
      </w:r>
    </w:p>
    <w:tbl>
      <w:tblPr>
        <w:tblW w:w="11020" w:type="dxa"/>
        <w:jc w:val="left"/>
        <w:tblInd w:w="0" w:type="dxa"/>
        <w:tblLayout w:type="fixed"/>
        <w:tblCellMar>
          <w:top w:w="0" w:type="dxa"/>
          <w:left w:w="0" w:type="dxa"/>
          <w:bottom w:w="0" w:type="dxa"/>
          <w:right w:w="0" w:type="dxa"/>
        </w:tblCellMar>
      </w:tblPr>
      <w:tblGrid>
        <w:gridCol w:w="770"/>
        <w:gridCol w:w="60"/>
        <w:gridCol w:w="60"/>
        <w:gridCol w:w="575"/>
        <w:gridCol w:w="60"/>
        <w:gridCol w:w="60"/>
        <w:gridCol w:w="178"/>
        <w:gridCol w:w="1492"/>
        <w:gridCol w:w="60"/>
        <w:gridCol w:w="60"/>
        <w:gridCol w:w="88"/>
        <w:gridCol w:w="1177"/>
        <w:gridCol w:w="60"/>
        <w:gridCol w:w="60"/>
        <w:gridCol w:w="100"/>
        <w:gridCol w:w="1345"/>
        <w:gridCol w:w="215"/>
        <w:gridCol w:w="60"/>
        <w:gridCol w:w="105"/>
        <w:gridCol w:w="770"/>
        <w:gridCol w:w="60"/>
        <w:gridCol w:w="60"/>
        <w:gridCol w:w="119"/>
        <w:gridCol w:w="996"/>
        <w:gridCol w:w="60"/>
        <w:gridCol w:w="60"/>
        <w:gridCol w:w="79"/>
        <w:gridCol w:w="901"/>
        <w:gridCol w:w="215"/>
        <w:gridCol w:w="60"/>
        <w:gridCol w:w="79"/>
        <w:gridCol w:w="901"/>
        <w:gridCol w:w="75"/>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63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7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Name and Principal Position</w:t>
            </w:r>
          </w:p>
        </w:tc>
        <w:tc>
          <w:tcPr>
            <w:tcW w:w="60" w:type="dxa"/>
            <w:vMerge w:val="continue"/>
            <w:tcBorders/>
            <w:vAlign w:val="center"/>
          </w:tcPr>
          <w:p>
            <w:pPr>
              <w:pStyle w:val="Normal"/>
              <w:bidi w:val="0"/>
              <w:jc w:val="left"/>
              <w:rPr/>
            </w:pPr>
            <w:r>
              <w:rPr/>
            </w:r>
          </w:p>
        </w:tc>
        <w:tc>
          <w:tcPr>
            <w:tcW w:w="63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67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or Units</w:t>
              <w:br/>
              <w:t>of Stock</w:t>
              <w:br/>
              <w:t>That</w:t>
              <w:br/>
              <w:t>Have Not</w:t>
              <w:br/>
              <w:t>Vested</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w:t>
              <w:br/>
              <w:t>or Units</w:t>
              <w:br/>
              <w:t>of Stock</w:t>
              <w:br/>
              <w:t>That</w:t>
              <w:br/>
              <w:t>Have Not</w:t>
              <w:br/>
              <w:t>Vested</w:t>
              <w:br/>
              <w:t>($)(3)</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Alise Reicin, M.D.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4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1345"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33,722</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96,926</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i/>
                <w:sz w:val="18"/>
              </w:rPr>
            </w:pPr>
            <w:r>
              <w:rPr>
                <w:rFonts w:ascii="Times New Roman" w:hAnsi="Times New Roman"/>
                <w:i/>
                <w:sz w:val="18"/>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jc w:val="right"/>
              <w:rPr/>
            </w:pPr>
            <w:r>
              <w:rPr/>
              <w:t>6/28/2021</w:t>
            </w:r>
          </w:p>
          <w:p>
            <w:pPr>
              <w:pStyle w:val="TableContents"/>
              <w:bidi w:val="0"/>
              <w:spacing w:before="0" w:after="20"/>
              <w:jc w:val="right"/>
              <w:rPr>
                <w:rFonts w:ascii="Times New Roman" w:hAnsi="Times New Roman"/>
                <w:sz w:val="18"/>
              </w:rPr>
            </w:pPr>
            <w:r>
              <w:rPr>
                <w:rFonts w:ascii="Times New Roman" w:hAnsi="Times New Roman"/>
                <w:sz w:val="18"/>
              </w:rPr>
              <w:t>12/1/2023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jc w:val="right"/>
              <w:rPr/>
            </w:pPr>
            <w:r>
              <w:rPr/>
              <w:t>3/31/2021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144,644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jc w:val="right"/>
              <w:rPr/>
            </w:pPr>
            <w:r>
              <w:rPr/>
              <w:t>114,470</w:t>
            </w:r>
          </w:p>
          <w:p>
            <w:pPr>
              <w:pStyle w:val="TableContents"/>
              <w:bidi w:val="0"/>
              <w:spacing w:before="0" w:after="20"/>
              <w:jc w:val="right"/>
              <w:rPr>
                <w:rFonts w:ascii="Times New Roman" w:hAnsi="Times New Roman"/>
                <w:sz w:val="18"/>
              </w:rPr>
            </w:pPr>
            <w:r>
              <w:rPr>
                <w:rFonts w:ascii="Times New Roman" w:hAnsi="Times New Roman"/>
                <w:sz w:val="18"/>
              </w:rPr>
              <w:t>50,000</w:t>
            </w:r>
          </w:p>
        </w:tc>
        <w:tc>
          <w:tcPr>
            <w:tcW w:w="215" w:type="dxa"/>
            <w:tcBorders/>
            <w:shd w:fill="CCEEFF" w:val="clear"/>
            <w:vAlign w:val="center"/>
          </w:tcPr>
          <w:p>
            <w:pPr>
              <w:pStyle w:val="TableContents"/>
              <w:bidi w:val="0"/>
              <w:jc w:val="left"/>
              <w:rPr/>
            </w:pPr>
            <w:r>
              <w:rPr/>
              <w:t>(5) </w:t>
            </w:r>
          </w:p>
          <w:p>
            <w:pPr>
              <w:pStyle w:val="TableContents"/>
              <w:bidi w:val="0"/>
              <w:spacing w:before="0" w:after="20"/>
              <w:jc w:val="left"/>
              <w:rPr>
                <w:rFonts w:ascii="Times New Roman" w:hAnsi="Times New Roman"/>
                <w:sz w:val="18"/>
              </w:rPr>
            </w:pPr>
            <w:r>
              <w:rPr>
                <w:rFonts w:ascii="Times New Roman" w:hAnsi="Times New Roman"/>
                <w:sz w:val="18"/>
              </w:rPr>
              <w:t>(7)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jc w:val="right"/>
              <w:rPr/>
            </w:pPr>
            <w:r>
              <w:rPr/>
              <w:t>1.27</w:t>
            </w:r>
          </w:p>
          <w:p>
            <w:pPr>
              <w:pStyle w:val="TableContents"/>
              <w:bidi w:val="0"/>
              <w:spacing w:before="0" w:after="20"/>
              <w:jc w:val="right"/>
              <w:rPr>
                <w:rFonts w:ascii="Times New Roman" w:hAnsi="Times New Roman"/>
                <w:sz w:val="18"/>
              </w:rPr>
            </w:pPr>
            <w:r>
              <w:rPr>
                <w:rFonts w:ascii="Times New Roman" w:hAnsi="Times New Roman"/>
                <w:sz w:val="18"/>
              </w:rPr>
              <w:t>2.87</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jc w:val="right"/>
              <w:rPr/>
            </w:pPr>
            <w:r>
              <w:rPr/>
              <w:t>6/27/2031</w:t>
            </w:r>
          </w:p>
          <w:p>
            <w:pPr>
              <w:pStyle w:val="TableContents"/>
              <w:bidi w:val="0"/>
              <w:spacing w:before="0" w:after="20"/>
              <w:jc w:val="right"/>
              <w:rPr>
                <w:rFonts w:ascii="Times New Roman" w:hAnsi="Times New Roman"/>
                <w:sz w:val="18"/>
              </w:rPr>
            </w:pPr>
            <w:r>
              <w:rPr>
                <w:rFonts w:ascii="Times New Roman" w:hAnsi="Times New Roman"/>
                <w:sz w:val="18"/>
              </w:rPr>
              <w:t>11/30/2033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12,836</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36,839</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Marcella K. Ruddy, M.D. </w:t>
            </w:r>
          </w:p>
          <w:p>
            <w:pPr>
              <w:pStyle w:val="TableContents"/>
              <w:bidi w:val="0"/>
              <w:spacing w:before="0" w:after="20"/>
              <w:jc w:val="left"/>
              <w:rPr>
                <w:rFonts w:ascii="Times New Roman" w:hAnsi="Times New Roman"/>
                <w:i/>
                <w:sz w:val="18"/>
              </w:rPr>
            </w:pPr>
            <w:r>
              <w:rPr>
                <w:rFonts w:ascii="Times New Roman" w:hAnsi="Times New Roman"/>
                <w:i/>
                <w:sz w:val="18"/>
              </w:rPr>
              <w:t>Chief Medical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right"/>
              <w:rPr/>
            </w:pPr>
            <w:r>
              <w:rPr/>
              <w:t>9/17/2021</w:t>
            </w:r>
          </w:p>
          <w:p>
            <w:pPr>
              <w:pStyle w:val="TableContents"/>
              <w:bidi w:val="0"/>
              <w:spacing w:before="0" w:after="20"/>
              <w:jc w:val="right"/>
              <w:rPr>
                <w:rFonts w:ascii="Times New Roman" w:hAnsi="Times New Roman"/>
                <w:sz w:val="18"/>
              </w:rPr>
            </w:pPr>
            <w:r>
              <w:rPr>
                <w:rFonts w:ascii="Times New Roman" w:hAnsi="Times New Roman"/>
                <w:sz w:val="18"/>
              </w:rPr>
              <w:t>12/1/2023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jc w:val="right"/>
              <w:rPr/>
            </w:pPr>
            <w:r>
              <w:rPr/>
              <w:t>7/19/2021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85,932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jc w:val="right"/>
              <w:rPr/>
            </w:pPr>
            <w:r>
              <w:rPr/>
              <w:t>56,301</w:t>
            </w:r>
          </w:p>
          <w:p>
            <w:pPr>
              <w:pStyle w:val="TableContents"/>
              <w:bidi w:val="0"/>
              <w:spacing w:before="0" w:after="20"/>
              <w:jc w:val="right"/>
              <w:rPr>
                <w:rFonts w:ascii="Times New Roman" w:hAnsi="Times New Roman"/>
                <w:sz w:val="18"/>
              </w:rPr>
            </w:pPr>
            <w:r>
              <w:rPr>
                <w:rFonts w:ascii="Times New Roman" w:hAnsi="Times New Roman"/>
                <w:sz w:val="18"/>
              </w:rPr>
              <w:t>35,000</w:t>
            </w:r>
          </w:p>
        </w:tc>
        <w:tc>
          <w:tcPr>
            <w:tcW w:w="215" w:type="dxa"/>
            <w:tcBorders/>
            <w:vAlign w:val="center"/>
          </w:tcPr>
          <w:p>
            <w:pPr>
              <w:pStyle w:val="TableContents"/>
              <w:bidi w:val="0"/>
              <w:jc w:val="left"/>
              <w:rPr/>
            </w:pPr>
            <w:r>
              <w:rPr/>
              <w:t>(5) </w:t>
            </w:r>
          </w:p>
          <w:p>
            <w:pPr>
              <w:pStyle w:val="TableContents"/>
              <w:bidi w:val="0"/>
              <w:spacing w:before="0" w:after="20"/>
              <w:jc w:val="left"/>
              <w:rPr>
                <w:rFonts w:ascii="Times New Roman" w:hAnsi="Times New Roman"/>
                <w:sz w:val="18"/>
              </w:rPr>
            </w:pPr>
            <w:r>
              <w:rPr>
                <w:rFonts w:ascii="Times New Roman" w:hAnsi="Times New Roman"/>
                <w:sz w:val="18"/>
              </w:rPr>
              <w:t>(7)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jc w:val="right"/>
              <w:rPr/>
            </w:pPr>
            <w:r>
              <w:rPr/>
              <w:t>1.27</w:t>
            </w:r>
          </w:p>
          <w:p>
            <w:pPr>
              <w:pStyle w:val="TableContents"/>
              <w:bidi w:val="0"/>
              <w:spacing w:before="0" w:after="20"/>
              <w:jc w:val="right"/>
              <w:rPr>
                <w:rFonts w:ascii="Times New Roman" w:hAnsi="Times New Roman"/>
                <w:sz w:val="18"/>
              </w:rPr>
            </w:pPr>
            <w:r>
              <w:rPr>
                <w:rFonts w:ascii="Times New Roman" w:hAnsi="Times New Roman"/>
                <w:sz w:val="18"/>
              </w:rPr>
              <w:t>2.87</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jc w:val="right"/>
              <w:rPr/>
            </w:pPr>
            <w:r>
              <w:rPr/>
              <w:t>9/16/2031</w:t>
            </w:r>
          </w:p>
          <w:p>
            <w:pPr>
              <w:pStyle w:val="TableContents"/>
              <w:bidi w:val="0"/>
              <w:spacing w:before="0" w:after="20"/>
              <w:jc w:val="right"/>
              <w:rPr>
                <w:rFonts w:ascii="Times New Roman" w:hAnsi="Times New Roman"/>
                <w:sz w:val="18"/>
              </w:rPr>
            </w:pPr>
            <w:r>
              <w:rPr>
                <w:rFonts w:ascii="Times New Roman" w:hAnsi="Times New Roman"/>
                <w:sz w:val="18"/>
              </w:rPr>
              <w:t>11/30/2033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Christian Cortis, Ph.D. </w:t>
            </w:r>
          </w:p>
          <w:p>
            <w:pPr>
              <w:pStyle w:val="TableContents"/>
              <w:bidi w:val="0"/>
              <w:spacing w:before="0" w:after="20"/>
              <w:jc w:val="left"/>
              <w:rPr>
                <w:rFonts w:ascii="Times New Roman" w:hAnsi="Times New Roman"/>
                <w:i/>
                <w:sz w:val="18"/>
              </w:rPr>
            </w:pPr>
            <w:r>
              <w:rPr>
                <w:rFonts w:ascii="Times New Roman" w:hAnsi="Times New Roman"/>
                <w:i/>
                <w:sz w:val="18"/>
              </w:rPr>
              <w:t>Chief Operating Officer and Chief Financial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jc w:val="right"/>
              <w:rPr/>
            </w:pPr>
            <w:r>
              <w:rPr/>
              <w:t>6/28/2021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jc w:val="right"/>
              <w:rPr/>
            </w:pPr>
            <w:r>
              <w:rPr/>
              <w:t>3/31/2021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207,184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jc w:val="right"/>
              <w:rPr/>
            </w:pPr>
            <w:r>
              <w:rPr/>
              <w:t>94,175</w:t>
            </w:r>
          </w:p>
          <w:p>
            <w:pPr>
              <w:pStyle w:val="TableContents"/>
              <w:bidi w:val="0"/>
              <w:spacing w:before="0" w:after="20"/>
              <w:jc w:val="right"/>
              <w:rPr>
                <w:rFonts w:ascii="Times New Roman" w:hAnsi="Times New Roman"/>
                <w:sz w:val="18"/>
              </w:rPr>
            </w:pPr>
            <w:r>
              <w:rPr>
                <w:rFonts w:ascii="Times New Roman" w:hAnsi="Times New Roman"/>
                <w:sz w:val="18"/>
              </w:rPr>
              <w:t>35,000</w:t>
            </w:r>
          </w:p>
        </w:tc>
        <w:tc>
          <w:tcPr>
            <w:tcW w:w="215" w:type="dxa"/>
            <w:tcBorders/>
            <w:shd w:fill="CCEEFF" w:val="clear"/>
            <w:vAlign w:val="center"/>
          </w:tcPr>
          <w:p>
            <w:pPr>
              <w:pStyle w:val="TableContents"/>
              <w:bidi w:val="0"/>
              <w:jc w:val="left"/>
              <w:rPr/>
            </w:pPr>
            <w:r>
              <w:rPr/>
              <w:t>(5) </w:t>
            </w:r>
          </w:p>
          <w:p>
            <w:pPr>
              <w:pStyle w:val="TableContents"/>
              <w:bidi w:val="0"/>
              <w:spacing w:before="0" w:after="20"/>
              <w:jc w:val="left"/>
              <w:rPr>
                <w:rFonts w:ascii="Times New Roman" w:hAnsi="Times New Roman"/>
                <w:sz w:val="18"/>
              </w:rPr>
            </w:pPr>
            <w:r>
              <w:rPr>
                <w:rFonts w:ascii="Times New Roman" w:hAnsi="Times New Roman"/>
                <w:sz w:val="18"/>
              </w:rPr>
              <w:t>(7)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jc w:val="right"/>
              <w:rPr/>
            </w:pPr>
            <w:r>
              <w:rPr/>
              <w:t>1.27</w:t>
            </w:r>
          </w:p>
          <w:p>
            <w:pPr>
              <w:pStyle w:val="TableContents"/>
              <w:bidi w:val="0"/>
              <w:spacing w:before="0" w:after="20"/>
              <w:jc w:val="right"/>
              <w:rPr>
                <w:rFonts w:ascii="Times New Roman" w:hAnsi="Times New Roman"/>
                <w:sz w:val="18"/>
              </w:rPr>
            </w:pPr>
            <w:r>
              <w:rPr>
                <w:rFonts w:ascii="Times New Roman" w:hAnsi="Times New Roman"/>
                <w:sz w:val="18"/>
              </w:rPr>
              <w:t>2.87</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jc w:val="right"/>
              <w:rPr/>
            </w:pPr>
            <w:r>
              <w:rPr/>
              <w:t>6/27/2031</w:t>
            </w:r>
          </w:p>
          <w:p>
            <w:pPr>
              <w:pStyle w:val="TableContents"/>
              <w:bidi w:val="0"/>
              <w:spacing w:before="0" w:after="20"/>
              <w:jc w:val="right"/>
              <w:rPr>
                <w:rFonts w:ascii="Times New Roman" w:hAnsi="Times New Roman"/>
                <w:sz w:val="18"/>
              </w:rPr>
            </w:pPr>
            <w:r>
              <w:rPr>
                <w:rFonts w:ascii="Times New Roman" w:hAnsi="Times New Roman"/>
                <w:sz w:val="18"/>
              </w:rPr>
              <w:t>11/30/2033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option awards have been granted pursuant to the terms of the Tectonic 2019 Plan, the terms of which are described below in the subsection titled “ —</w:t>
            </w:r>
            <w:r>
              <w:rPr>
                <w:rFonts w:ascii="Times New Roman" w:hAnsi="Times New Roman"/>
                <w:i/>
                <w:sz w:val="20"/>
              </w:rPr>
              <w:t>Equity Incentive Plans—Tectonic 2019 Equity Incentive Plan</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option awards listed in the table were granted with an exercise price per share that is no less than the fair market value of Tectonic common stock on the date of grant of such award, as determined in good faith by the Tectonic Board.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amount reflects $2.87, the fair market value of a share of Tectonic common stock as of September 30, 2023 (the determination of the fair market value by the Tectonic Board as of the most proximate date) multiplied by the amount shown in the column for the number of shares that have not vested.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restricted stock issued to Dr. Reicin that are subject to vesting and a repurchase right in favor of Tectonic, with 25% of the total shares vested on the first anniversary of August 10, 2020, with the remaining shares vesting in 36 equal monthly installments thereafter, subject to Dr. Reicin’s continued service through each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(5)</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subject to the option vested on the first anniversary of the vesting commencement date, with the remaining shares vesting in 36 equal monthly installments thereafter, subject to the officer’s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(6)</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restricted stock issued to Dr. Reicin upon the early exercise of stock options that are subject to vesting and a repurchase right in favor of Tectonic, with 5,204 shares vesting on November 30, 2024 and the remainder vesting on December 31, 2024, subject to Dr. Reicin’s continued service through each vesting date. </w:t>
            </w:r>
          </w:p>
        </w:tc>
      </w:tr>
    </w:tbl>
    <w:tbl>
      <w:tblPr>
        <w:tblW w:w="8590" w:type="dxa"/>
        <w:jc w:val="left"/>
        <w:tblInd w:w="0" w:type="dxa"/>
        <w:tblLayout w:type="fixed"/>
        <w:tblCellMar>
          <w:top w:w="0" w:type="dxa"/>
          <w:left w:w="0" w:type="dxa"/>
          <w:bottom w:w="0" w:type="dxa"/>
          <w:right w:w="0" w:type="dxa"/>
        </w:tblCellMar>
      </w:tblPr>
      <w:tblGrid>
        <w:gridCol w:w="305"/>
        <w:gridCol w:w="8285"/>
      </w:tblGrid>
      <w:tr>
        <w:trPr/>
        <w:tc>
          <w:tcPr>
            <w:tcW w:w="305" w:type="dxa"/>
            <w:tcBorders/>
            <w:vAlign w:val="center"/>
          </w:tcPr>
          <w:p>
            <w:pPr>
              <w:pStyle w:val="TableContents"/>
              <w:bidi w:val="0"/>
              <w:spacing w:before="0" w:after="283"/>
              <w:jc w:val="left"/>
              <w:rPr/>
            </w:pPr>
            <w:r>
              <w:rPr/>
              <w:t>(7)</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option vest in 48 equal monthly installments beginning on January 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approval by the board of directors of the combined company, Drs. Reicin and Ruddy will be granted options to purchase a number of shares of common stock of the combined company equal to 1.95% and 0.56%, respectively, of common stock outstanding after the closing. The options will have an exercise price per share equal to 100% of the fair market value of the underlying common stock on the date of grant, as reported at the closing time on Nasdaq. One fourth (25%) of each option will vest on the one-year anniversary of the date of grant, and the remainder will vest in 36 equal monthly installments thereafter, subject to each of Drs. Reicin and Ruddy’s “continuous service” (as defined in the 2024 Plan) through each such date. The specific terms of these options will be governed by the terms of the 2024 Plan and form award agreement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with Tectonic’s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Below are descriptions of the material terms of Tectonic’s employment agreement and offer letters with Tectonic’s named executive officers. The agreements set forth the initial terms and conditions of the executive’s employment with Tectonic, including initial base salary, bonus opportunity, eligibility for employee benefits and severance benefits upon a qualifying termination of employment, subject to certain non-solicitation and non-competition provisions. Any potential payments and benefits due upon a qualifying termination of employment or a change in control are further described below under “ — </w:t>
      </w:r>
      <w:r>
        <w:rPr>
          <w:rFonts w:ascii="Times New Roman" w:hAnsi="Times New Roman"/>
          <w:i/>
          <w:sz w:val="20"/>
        </w:rPr>
        <w:t>Potential Payments and Benefits upon Termination or Change in Control</w:t>
      </w:r>
      <w:r>
        <w:rPr>
          <w:rFonts w:ascii="Times New Roman" w:hAnsi="Times New Roman"/>
          <w:sz w:val="20"/>
        </w:rPr>
        <w:t xml:space="preserve">.” The employment of each of Tectonic’s named executive officers is “at will” and may be terminated at any time. In addition, each of Tectonic’s named executive officers has executed a form of Tectonic’s standard proprietary information and inventions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Dr. Alise Reicin, M.D.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Tectonic entered into an executive employment agreement with Dr. Reicin (the “Reicin Employment Agreement”) in connection with her appointment as Tectonic’s President and Chief Executive Officer and as a member of the Tectonic Board. In connection with the merger and subject to approval by the board of directors of the combined company, Tectonic expects to enter into an amended and restated executive employment agreement with Dr. Reicin. The material terms of the amendment are as follows: (i) Dr. Reicin shall remain President and Chief Executive Officer and shall continue to serve as an executive director to the board of directors of the combined company; (ii) an annual base salary of $620,000; (iii) eligibility for an annual, performance-based cash bonus with a target bonus percentage of 55% of Dr. Reicin’s base salary; (iv) following the closing of the merger, issuance of an option award to purchase shares of common stock of the combined company, such that when combined with Dr. Reicin’s prior securities holdings or rights to acquire securities in the combined company, Dr. Reicin will hold or have the right to acquire shares representing at least 4.20% of the combined company’s post-merger equity securities, calculated on a fully diluted basis; and (v) eligibility to participate in the combined company’s executive severance plan and other employee benefit, welfare and other plans, as may be maintained by the combined company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Dr. Marcella K. Ruddy, M.D. </w:t>
      </w:r>
    </w:p>
    <w:p>
      <w:pPr>
        <w:pStyle w:val="TextBody"/>
        <w:bidi w:val="0"/>
        <w:spacing w:before="120" w:after="0"/>
        <w:jc w:val="left"/>
        <w:rPr>
          <w:rFonts w:ascii="Times New Roman" w:hAnsi="Times New Roman"/>
          <w:sz w:val="20"/>
        </w:rPr>
      </w:pPr>
      <w:r>
        <w:rPr>
          <w:rFonts w:ascii="Times New Roman" w:hAnsi="Times New Roman"/>
          <w:sz w:val="20"/>
        </w:rPr>
        <w:t xml:space="preserve">Tectonic entered into an offer letter with Dr. Ruddy (the “Ruddy Offer Letter”) in June 2021, in connection with her appointment as Tectonic’s Chief Medical Officer. The Ruddy Offer Letter provides for a base salary and target bonus opportunity, which shall be reviewed and may be adjusted by the Tectonic Board on an annual basis. To qualify for the annual target bonus set at a percentage of her adjusted base salary in respect of any calendar year, Dr. Ruddy must remain employed with Tectonic through the time the bonus payment is paid by Tectonic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year. Under the Ruddy Offer Letter, Tectonic granted Dr. Ruddy an option to purchase 142,233 shares of Tectonic common stock pursuant to the terms of Tectonic’s 2019 Equity Incentive Plan (the “Tectonic 2019 Plan”), at an exercise price of $1.27 per share. The option vests on the following schedule: 25% of the shares vested on the one-year anniversary of July 19, 2021, with the remaining shares vesting in 36 equal monthly installments thereafter such that the options will be fully vested on the four-year anniversary of July 19, 2021, subject to Dr. Ruddy’s continuous service with Tectonic through each vesting date. The option award is subject to automatic acceleration in the event of (i) a Change in Control (as defined in the Tectonic 2019 Plan) and (ii) provided that within the twelve months after such Change in Control either (x) Dr. Ruddy’s continuous service is terminated without Cause (as defined in the Ruddy Offer Letter) or (y) Dr. Ruddy resigns for Good Reason (as defined in the Ruddy Offer Letter). Dr. Ruddy is also eligible for additional equity awards under Tectonic equity compensation plans, as may be granted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Dr. Christian Cortis, Ph.D. </w:t>
      </w:r>
    </w:p>
    <w:p>
      <w:pPr>
        <w:pStyle w:val="TextBody"/>
        <w:bidi w:val="0"/>
        <w:spacing w:before="120" w:after="0"/>
        <w:jc w:val="left"/>
        <w:rPr>
          <w:rFonts w:ascii="Times New Roman" w:hAnsi="Times New Roman"/>
          <w:sz w:val="20"/>
        </w:rPr>
      </w:pPr>
      <w:r>
        <w:rPr>
          <w:rFonts w:ascii="Times New Roman" w:hAnsi="Times New Roman"/>
          <w:sz w:val="20"/>
        </w:rPr>
        <w:t xml:space="preserve">Tectonic entered into an offer letter with Dr. Cortis (the “Cortis Offer Letter”) in July 2019. Dr. Cortis currently serves as Tectonic’s Chief Operating Officer and Chief Financial Officer. The Cortis Offer Letter provides for a base salary and target bonus opportunity, which shall be reviewed and may be adjusted by the Tectonic Board on an annual basis. To qualify for the annual target bonus set at a percentage of his adjusted base salary in respect of any calendar year, Dr. Cortis must remain employed with Tectonic through the time the bonus payment is paid by Tectonic in the following year. Tectonic granted Dr. Cortis an award of 10,000 restricted shares of Tectonic common stock, which fully vested as of August 2023. The stock award is subject to a double trigger acceleration in the event of a Change in Control (as defined in the Tectonic 2019 Plan) of Tectonic accompanied by Dr. Cortis’s involuntary termination without Cause (as defined in the Tectonic 2019 Plan) within six months before or after such Change in Control other than as a result of death or disability. After the closing of Tectonic’s Series A preferred stock financing, Tectonic granted Dr. Cortis an option to purchase 301,359 shares of Tectonic common stock in June 2021. This option award has an exercise price of $1.27 per share. The option vests on the following schedule: 25% of the shares vested on the one-year anniversary of March 31, 2021, with the remaining shares vesting in 36 equal monthly installments thereafter such that options will be fully vested on the four-year anniversary of March 31, 2021, subject to Dr. Cortis’s continuous service with Tectonic through each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and Benefits upon a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merger and subject to approval by the board of directors of the combined company, Tectonic intends to adopt the Tectonic Therapeutic, Inc. Severance Plan (the “Severance Plan”) pursuant to which certain employees are eligible to participate, including Alise Reicin, President and Chief Executive Officer of Tectonic, Christian Cortis, Chief Operating Officer and Chief Financial Officer of Tectonic, and Marcella Ruddy, Chief Medical Officer of Tectonic (each a “Participant” and collectively, the “Participants”). Pursuant to the Severance Plan, the Participants are eligible to receive the severance and change in control benefits described below, contingent upon the respective Participant’s execution of a participation agreement and a general release of claims as further described in the Severance Plan. The benefits provided pursuant to the Severance Plan supersede and replace any severance and/or change in control benefits to which the Participants were previously entitled, including pursuant to their employment agreements and offer letters.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with Tectonic is terminated by Tectonic without Cause or due to the Participant’s resignation for Good Reason (each as defined in the Severance Plan) during the period commencing three months prior to, and ending 12 months following, the effective date of a Change in Control (as defined in the Severance Plan) (the “Change in Control Period”), the Participant will be entitled to (i) a cash payment in an amount equal to 12 months (or 18 months for Dr. Reicin) of the Participant’s base salary; (ii) a cash payment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amount equal to 100% (or 150% for Dr. Reicin) of the Participant’s annual target bonus for the year in which the change in control termination occurs; (iii) a cash payment of an amount equal to the Participant’s annual target bonus for the year in which the change in control termination occurs, pro-rated for the portion of the year elapsed in such year; (iv) 12 months (or 18 months for Dr. Reicin) of COBRA premiums; and (v) accelerated vesting of 100% of the Participant’s then-outstanding time-vesting equity awards.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with Tectonic is terminated by Tectonic without Cause or due to the Participant’s resignation for Good Reason at a time that is not during the Change in Control Period, the Participant will be entitled to (i) 9 months (or 12 months for Dr. Reicin) of the Participant’s base salary; (ii) a cash payment of an amount equal to the Participant’s annual target bonus for the year in which the termination occurs, pro-rated for the portion of the year elapsed in such year; and (iii) 9 months (or 12 months for Dr. Reicin) of COBRA premiums.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does not purport to be complete and is qualified in its entirety by reference to the full text of the Severance Plan. </w:t>
      </w:r>
    </w:p>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and Retirement Benefits; Perquisites </w:t>
      </w:r>
    </w:p>
    <w:p>
      <w:pPr>
        <w:pStyle w:val="TextBody"/>
        <w:bidi w:val="0"/>
        <w:spacing w:before="120" w:after="0"/>
        <w:jc w:val="left"/>
        <w:rPr>
          <w:rFonts w:ascii="Times New Roman" w:hAnsi="Times New Roman"/>
          <w:sz w:val="20"/>
        </w:rPr>
      </w:pPr>
      <w:r>
        <w:rPr>
          <w:rFonts w:ascii="Times New Roman" w:hAnsi="Times New Roman"/>
          <w:sz w:val="20"/>
        </w:rPr>
        <w:t xml:space="preserve">These payments and benefits discussed above are in addition to eligibility to participate in benefits available generally to salaried employees, including medical, vision, dental, and life insurance plans, in each case on the same basis as all of Tectonic’s other employees. Tectonic generally does not provide perquisites or personal benefits to Tectonic’s named executive officers, except in limited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Beginning in 2022, Tectonic maintains a tax-qualified 401(k) retirement plan that provides eligible U.S. employees with an opportunity to save for retirement on a tax-advantaged basis. Pursuant to the terms of such 401(k) plan, depending on facts and circumstances of the employee population in any given year, Tectonic may make a 3% mandatory contribution under and pursuant to the terms of the plan and applicable law. Tectonic does not maintain, and none of the Tectonic named executive officers is eligible to participate in, any defined benefit pension plan or nonqualified deferred compensation plan. </w:t>
      </w:r>
    </w:p>
    <w:p>
      <w:pPr>
        <w:pStyle w:val="TextBody"/>
        <w:bidi w:val="0"/>
        <w:spacing w:before="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2019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Tectonic Board adopted the Tectonic 2019 Plan and Tectonic stockholders approved the Tectonic 2019 Plan in June 2019. Tectonic will not grant any additional awards under the Tectonic 2019 Plan after the 2024 Plan becomes effective. However, the Tectonic 2019 Plan will continue to govern the terms and conditions of the outstanding awards granted thereunder. The Tectonic 2019 Plan provides for the grant of incentive stock options, non-statutory stock options, restricted stock awards, restricted stock unit awards, and other forms of equity compensation to Tectonic’s employees and consultants and members of the Tectonic Board. Only options and restricted stock awards are outstanding under the Tectonic 2019 Plan. </w:t>
      </w:r>
    </w:p>
    <w:p>
      <w:pPr>
        <w:pStyle w:val="TextBody"/>
        <w:bidi w:val="0"/>
        <w:spacing w:before="240" w:after="0"/>
        <w:jc w:val="left"/>
        <w:rPr>
          <w:rFonts w:ascii="Times New Roman" w:hAnsi="Times New Roman"/>
          <w:sz w:val="20"/>
        </w:rPr>
      </w:pPr>
      <w:r>
        <w:rPr>
          <w:rFonts w:ascii="Times New Roman" w:hAnsi="Times New Roman"/>
          <w:i/>
          <w:sz w:val="20"/>
        </w:rPr>
        <w:t>Stock Awards.</w:t>
      </w:r>
      <w:r>
        <w:rPr>
          <w:rFonts w:ascii="Times New Roman" w:hAnsi="Times New Roman"/>
          <w:sz w:val="20"/>
        </w:rPr>
        <w:t xml:space="preserve"> The Tectonic 2019 Plan provides for the grant of incentive stock options, or ISOs, nonstatutory stock options, or NSOs, stock appreciation rights, restricted stock awards, restricted stock unit awards, and other forms of equity compensation, which are referred to collectively as stock awards, all of which may be granted to employees, including officers, non-employee directors and consultants of Tectonic and its affiliates. ISOs may be granted only to employees. All other awards may be granted to employees, including officers, and to non-employee directors and consultants.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Subject to adjustments for certain changes in capitalization, the aggregate number of shares of Tectonic common stock that may be issued under the Tectonic 2019 Plan is 1,991,264 shares. The aggregate number of shares that may be issued upon the exercise of ISOs under the Tectonic 2019 Plan is 5,973,792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portion of a stock award (i) expires or otherwise terminates without the shares covered by such portion of the stock award having been issued or (ii) is settled in cash, such expiration, termination, or settlement will not reduce the number of shares available for issuance under the Tectonic 2019 Plan. Shares forfeited back to or repurchased by Tectonic because of the failure to meet a contingency or condition required to vest will revert to and again become available for issuance under the Tectonic 2019 Plan. Shares reacquired by Tectonic to satisfy the exercise price or purchase price of a stock award and shares withheld to satisfy a tax withholding obligation in connection with a stock award will again become available for issuance under the Tectonic 2019 Plan.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Tectonic Board, or a duly authorized committee thereof, has the authority to administer the Tectonic 2019 Plan. The Tectonic Board may also delegate to one or more officers the authority to (1) designate recipients (other than officers) of stock options or stock appreciation rights and (2) determine the number of shares of common stock to be subject to such stock awards. Subject to the terms of the Tectonic 2019 Plan, the Tectonic Board or the authorized committee, referred to herein as the plan administrator, determines recipients, dates of grant, the numbers and types of stock awards to be granted and the terms and conditions of the stock awards, including the period of their exercisability and vesting schedule applicable to a stock award. Subject to the limitations set forth below, the plan administrator will also determine the exercise price, strike price or purchase price of awards granted and the types of consideration to be paid for the award.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has the authority to modify outstanding awards under the Tectonic 2019 Plan, however, the plan administrator does not have the authority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without the consent of any adversely affected participant.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pursuant to stock option agreements adopted by the plan administrator. The plan administrator determines the exercise price for a stock option, within the terms and conditions of the Tectonic 2019 Plan, provided that the exercise price of a stock option generally cannot be less than 100% of the fair market value of Tectonic common stock on the date of grant. Options granted under the Tectonic 2019 Plan vest at the rate specified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determines the term of stock options granted under the Tectonic 2019 Plan, up to a maximum of 10 years. Unless the terms of an option holder’s stock option agreement provide otherwise, if an option holder’s service relationship with Tectonic or any of its affiliates, ceases for any reason other than disability, death or cause, the option holder may generally exercise any vested options for a period of three months following the cessation of service. The option term may be extended in the event that exercise of the option following such a termination of service is prohibited by applicable securities laws or any applicable insider trading policy. If an optionholder’s service relationship with Tectonic or any of its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common stock issued upon the exercise of a stock option will be determined by the plan administrator and may include (1) cash, check, bank draft or money order, (2) a broker-assisted cashless exercise, (3) the tender of shares of Tectonic common stock previously owned by the optionholder, (4) a net exercise of the option if it is an NSO, and (5) according to a deferred payment or similar arrangement with the optionholder; or (6) other legal consideration approved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Unless the plan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Tax Limitations on Incentive Stock Options</w:t>
      </w:r>
      <w:r>
        <w:rPr>
          <w:rFonts w:ascii="Times New Roman" w:hAnsi="Times New Roman"/>
          <w:sz w:val="20"/>
        </w:rPr>
        <w:t xml:space="preserve">. The aggregate fair market value, determined at the time of grant, of Tectonic common stock with respect to ISOs that are exercisable for the first time by an optionholder during any calendar year under all of Tectonic’s stock plans may not exceed $100,000. Options or portions thereof that exceed such limit will generally be treated as NSOs. No ISO may be granted to any person who, at the time of the grant, owns or is deemed to own stock possessing more than 10% of Tectonic’s total combined voting power or that of any of Tectonic’s affiliates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Tectonic or any of its affiliates ceases for any reason, Tectonic may receive any or all of the shares of Tectonic common stock held by the participant that have not vested as of the date the participant terminates service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is a specified type of change in Tectonic’s capital structure, such as a stock split or recapitalization, appropriate adjustments will be made to (1) the class and maximum number of shares reserved for issuance under the Tectonic 2019 Plan (2) the class and maximum number of shares that may be issued upon the exercise of ISOs, and (3)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certain specified significant corporate transactions, the plan administrator has the discretion to take any of the following actions with respect to stock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assumption, continuation or substitution of a stock award by a surviving or acquiring entity or parent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assignment of any reacquisition or repurchase rights held by Tectonic to the surviving or acquiring entity or parent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vesting of the stock award and provide for its termination prior to the effective time of the corporate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suspend the exercise of the stock award, prior to the effective time of the corporate transaction, for such period as the Tectonic Board determines is necessary to facilitate the negotiation and consummation of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any early exercise rights upon the corporate transaction, such that following the corporate transaction, such stock award may only be exercised to the extent vested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lapse of any reacquisition or repurchase right held by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the stock award in exchange for such cash consideration, if any, as the Tectonic Board may deem appropriate;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equal to the excess of (a) the value of the property the participant would have received upon exercise of the stock award over (b) the exercise price otherwise payable in connection with the stock award.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plan administrator is not obligated to treat all stock awards, even those that are of the same type,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Under the Tectonic 2019 Plan, a corporate transaction is generally the consummation of (1) a sale or other disposition of all or substantially all of Tectonic’s assets, (2) a sale or other disposition of at least 50% of Tectonic’s outstanding securities, (3) a merger, consolidation or similar transaction following which Tectonic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the surviving corporation, or (4) a merger, consolidation or similar transaction following which Tectonic is the surviving corporation but the shares of Tectonic common stock outstanding immediately prior to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Change of Control.</w:t>
      </w:r>
      <w:r>
        <w:rPr>
          <w:rFonts w:ascii="Times New Roman" w:hAnsi="Times New Roman"/>
          <w:sz w:val="20"/>
        </w:rPr>
        <w:t xml:space="preserve"> The plan administrator may provide, in an individual award agreement or in any other written agreement between a participant and Tectonic that the stock award will be subject to additional acceleration of vesting and exercisability in the event of a change of control. Under the Tectonic 2019 Plan, a change of control is generally (1) the acquisition by a person or entity of more than 50% of Tectonic’s combined voting power other than by merger, consolidation or similar transaction; (2) a consummated merger, consolidation or similar transaction immediately after which Tectonic’s stockholders cease to own more than 50% of the combined voting power of the surviving entity; or (3) a consummated sale, lease or exclusive license or other disposition of all or substantially all of Tectonic’s assets. </w:t>
      </w:r>
    </w:p>
    <w:p>
      <w:pPr>
        <w:pStyle w:val="TextBody"/>
        <w:bidi w:val="0"/>
        <w:spacing w:before="240" w:after="0"/>
        <w:jc w:val="left"/>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The Tectonic Board has the authority to amend, suspend or terminate the Tectonic 2019 Plan, provided that such action does not impair the existing rights of any participant without such participant’s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Historically, Tectonic has not had a formal compensation policy with respect to service on the Tectonic Board. Tectonic has reimbursed and will continue to reimburse its non-employee directors for their reasonable out-of-pocket expenses incurred in attending board and committee meetings, and occasionally granted stock options and restricted stock awards as compensation for service. The Tectonic Board will adopt a formal director compensation policy for non-employee directors to be effective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Director Compensation Table </w:t>
      </w:r>
    </w:p>
    <w:p>
      <w:pPr>
        <w:pStyle w:val="TextBody"/>
        <w:bidi w:val="0"/>
        <w:spacing w:before="120" w:after="0"/>
        <w:jc w:val="left"/>
        <w:rPr>
          <w:rFonts w:ascii="Times New Roman" w:hAnsi="Times New Roman"/>
          <w:sz w:val="20"/>
        </w:rPr>
      </w:pPr>
      <w:r>
        <w:rPr>
          <w:rFonts w:ascii="Times New Roman" w:hAnsi="Times New Roman"/>
          <w:sz w:val="20"/>
        </w:rPr>
        <w:t>The following table sets forth information regarding the compensation earned for service on the Tectonic Board and for service as a consultant to Tectonic, if applicable, during the year ended December 31, 2023. Dr. Reicin, Tectonic’s Chief Executive Officer, is also a member of the Tectonic Board, but did not receive any additional compensation for her service as a member of the Tectonic Board. The compensation for Dr. Reicin as an executive officer is set forth above under “—</w:t>
      </w:r>
      <w:r>
        <w:rPr>
          <w:rFonts w:ascii="Times New Roman" w:hAnsi="Times New Roman"/>
          <w:i/>
          <w:sz w:val="20"/>
        </w:rPr>
        <w:t>Summary Compensation Table</w:t>
      </w:r>
      <w:r>
        <w:rPr>
          <w:rFonts w:ascii="Times New Roman" w:hAnsi="Times New Roman"/>
          <w:sz w:val="20"/>
        </w:rPr>
        <w:t xml:space="preserve">.” </w:t>
      </w:r>
    </w:p>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2225"/>
        <w:gridCol w:w="120"/>
        <w:gridCol w:w="128"/>
        <w:gridCol w:w="1452"/>
        <w:gridCol w:w="245"/>
        <w:gridCol w:w="60"/>
        <w:gridCol w:w="299"/>
        <w:gridCol w:w="1296"/>
        <w:gridCol w:w="60"/>
        <w:gridCol w:w="120"/>
        <w:gridCol w:w="60"/>
        <w:gridCol w:w="68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w:t>
              <w:br/>
              <w:t>Paid in Cash</w:t>
              <w:br/>
              <w:t>($)</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80,004</w:t>
            </w:r>
          </w:p>
        </w:tc>
        <w:tc>
          <w:tcPr>
            <w:tcW w:w="245" w:type="dxa"/>
            <w:tcBorders/>
            <w:shd w:fill="CCEEFF" w:val="clear"/>
            <w:vAlign w:val="center"/>
          </w:tcPr>
          <w:p>
            <w:pPr>
              <w:pStyle w:val="TableContents"/>
              <w:bidi w:val="0"/>
              <w:spacing w:before="0" w:after="283"/>
              <w:jc w:val="left"/>
              <w:rPr/>
            </w:pPr>
            <w:r>
              <w:rPr>
                <w:b/>
                <w:sz w:val="13"/>
              </w:rPr>
              <w:t>(1)</w:t>
            </w: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80,004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consulting fees for services provided to Tectonic’s Scientific Advisory Board pursuant to Dr. Kruse’s consulting agreement with Tectonic, dated September 25, 2019.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provides information regarding the number of shares of common stock underlying options and restricted stock held by Tectonic non-employee directors that were outstanding as of December 31, 2023: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225"/>
        <w:gridCol w:w="120"/>
        <w:gridCol w:w="129"/>
        <w:gridCol w:w="1466"/>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Outstanding at</w:t>
              <w:br/>
              <w:t>Year-End</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22,765</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Andrew Kruse, Ph.D. </w:t>
      </w:r>
    </w:p>
    <w:p>
      <w:pPr>
        <w:pStyle w:val="TextBody"/>
        <w:bidi w:val="0"/>
        <w:spacing w:before="120" w:after="0"/>
        <w:jc w:val="left"/>
        <w:rPr>
          <w:rFonts w:ascii="Times New Roman" w:hAnsi="Times New Roman"/>
          <w:sz w:val="20"/>
        </w:rPr>
      </w:pPr>
      <w:r>
        <w:rPr>
          <w:rFonts w:ascii="Times New Roman" w:hAnsi="Times New Roman"/>
          <w:sz w:val="20"/>
        </w:rPr>
        <w:t xml:space="preserve">On September 25, 2019, Tectonic entered into a consulting agreement with Andrew Kruse, Ph.D., pursuant to which Dr. Kruse is entitled to receive $6,667 per month, along with reimbursement of reasonable travel expenses and other reasonable out-of-pocket costs, in consideration for his performance of services provided to Tectonic’s scientific advisory board. The consulting agreement automatically renews in successive one-year terms, until Tectonic provides 15 days’ written notice prior to any such anniversary date that the consulting agreement will not renew. Tectonic may terminate the consulting agreement with or without cause, at any time upon 15 day’s prior written notice to Dr. Kruse. Dr. Kruse may terminate the consulting agreement without cause, at any time when there is no project assignment in effect upon 30 days’ prior written notice to Tectonic. Either party may terminate the agreement immediately upon a material breach of the consulting agreement and a failure to cure by the breaching party within 15 days after notice is given by the non-breaching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4" w:name="toc770053_108"/>
      <w:bookmarkEnd w:id="104"/>
      <w:r>
        <w:rPr>
          <w:rFonts w:ascii="Times New Roman" w:hAnsi="Times New Roman"/>
          <w:b/>
          <w:sz w:val="20"/>
        </w:rPr>
        <w:t xml:space="preserve">MATTERS BEING SUBMITTED TO A VOTE OF AVROBIO STOCKHOLDERS </w:t>
      </w:r>
    </w:p>
    <w:p>
      <w:pPr>
        <w:pStyle w:val="TextBody"/>
        <w:bidi w:val="0"/>
        <w:spacing w:before="240" w:after="0"/>
        <w:jc w:val="center"/>
        <w:rPr>
          <w:rFonts w:ascii="Times New Roman" w:hAnsi="Times New Roman"/>
          <w:b/>
          <w:sz w:val="20"/>
        </w:rPr>
      </w:pPr>
      <w:bookmarkStart w:id="105" w:name="toc770053_109"/>
      <w:bookmarkEnd w:id="105"/>
      <w:r>
        <w:rPr>
          <w:rFonts w:ascii="Times New Roman" w:hAnsi="Times New Roman"/>
          <w:b/>
          <w:sz w:val="20"/>
        </w:rPr>
        <w:t xml:space="preserve">PROPOSAL NO. 1—THE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AVROBIO stockholders will be asked to approve (i) the issuance of shares of AVROBIO common stock to the Tectonic stockholders pursuant to the Merger Agreement, and (ii) the change of control of AVROBIO resulting from the merger, pursuant to Nasdaq Listing Rules 5635(a) and 5635(b).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and after giving effect to the private financings, it is expected that the AVROBIO securityholders will own approximately 22.3% of the capital stock of AVROBIO, the former Tectonic securityholders, will own approximately 39.8% of the capital stock of AVROBIO, and the purchasers in the private financings would own approximately 38.0% of the capital stock of AVROBIO,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w:t>
      </w:r>
    </w:p>
    <w:p>
      <w:pPr>
        <w:pStyle w:val="TextBody"/>
        <w:bidi w:val="0"/>
        <w:spacing w:before="240" w:after="0"/>
        <w:jc w:val="left"/>
        <w:rPr>
          <w:rFonts w:ascii="Times New Roman" w:hAnsi="Times New Roman"/>
          <w:sz w:val="20"/>
        </w:rPr>
      </w:pPr>
      <w:r>
        <w:rPr>
          <w:rFonts w:ascii="Times New Roman" w:hAnsi="Times New Roman"/>
          <w:sz w:val="20"/>
        </w:rPr>
        <w:t xml:space="preserve">The terms of, reasons for and other aspects of the Merger Agreement, the merger and the issuance of AVROBIO common stock in the merger are described in detail in the other sections in this proxy statement/prospectus. A copy of the Merger Agreement is attached as </w:t>
      </w:r>
      <w:r>
        <w:rPr>
          <w:rFonts w:ascii="Times New Roman" w:hAnsi="Times New Roman"/>
          <w:sz w:val="20"/>
          <w:u w:val="single"/>
        </w:rPr>
        <w:t>Annex A</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AVROBIO common stock in the merger exceeds the 20% under the Nasdaq Listing Rules and is expected to represent approximately 77.7% of AVROBIO’s outstanding common stock immediately following this transaction (giving effect to, and assuming, a one-for-ten reverse stock split). Accordingly, in order to ensure compliance with Nasdaq Listing Rule 5635(a)(1), AVROBIO must obtain the approval of AVROBIO stockholders for the issuance of these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the listed company. Accordingly, in order to ensure compliance with Nasdaq Listing Rule 5635(b), AVROBIO must obtain the approval of AVROBIO stockholders of the change of control resulting from this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Nasdaq Stock Issuance Proposal. Abstentions and broker non-votes, if any, will have no effect on the Nasdaq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(or the waiver thereof in accordance with the terms of the Merger Agreement). Notwithstanding the approval of the Nasdaq Stock Issuance Proposal, if the merger is not consummated for any reason, the actions contemplated by the Nasdaq Stock Issuance Proposal will not be effected.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Certain of AVROBIO and Tectonic stockholders have agreed to vote any shares of common stock owned by them in favor of the Nasdaq Stock Issuance Proposal.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Nasdaq Stock Issuance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6" w:name="toc770053_110"/>
      <w:bookmarkEnd w:id="106"/>
      <w:r>
        <w:rPr>
          <w:rFonts w:ascii="Times New Roman" w:hAnsi="Times New Roman"/>
          <w:b/>
          <w:sz w:val="20"/>
        </w:rPr>
        <w:t xml:space="preserve">PROPOSAL NO. 2—THE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AVROBIO stockholders will be asked to approve an amendment to AVROBIO’s charter to effect a reverse stock split of AVROBIO’s issued and outstanding common stock at a ratio in the range between 1:3 to 1:30, inclusive. The final ratio and effectiveness of such amendment and the abandonment of such amendment will be mutually agreed by the AVROBIO Board and the Tectonic Board prior to the effective time or, if the Nasdaq Stock Issuance Proposal is not approved by AVROBIO stockholders, determined solely by the AVROBIO Board. Upon the effectiveness of such amendment to effect the reverse stock split (the “reverse stock split effective time”), the issued and outstanding shares of AVROBIO common stock immediately prior to the reverse stock split effective time will automatically without further action on the part of AVROBIO be combined into a smaller number of shares such that a AVROBIO stockholder will own a ratio ranging from one new share of AVROBIO common stock for every 3 to 30 shares of issued AVROBIO common stock held by such stockholder immediately prior to the reverse stock split effective time. Based upon the reverse stock split ratio selected by the AVROBIO Board (or as mutually agreed by the AVROBIO Board and Tectonic Board), proportionate adjustments will be made to the per share exercise price, and/or the number of shares issuable upon the exercise or vesting of all then outstanding AVROBIO stock options and RSUs, which will result in a proportional decrease in the number of shares of AVROBIO common stock reserved for issuance upon exercise or vesting, of such stock options and RSUs, and, in the case of stock options, a proportional increase in the exercise price of all such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certificate of amendment to AVROBIO’s charter, a copy of which is attached as </w:t>
      </w:r>
      <w:r>
        <w:rPr>
          <w:rFonts w:ascii="Times New Roman" w:hAnsi="Times New Roman"/>
          <w:sz w:val="20"/>
          <w:u w:val="single"/>
        </w:rPr>
        <w:t>Annex G</w:t>
      </w:r>
      <w:r>
        <w:rPr>
          <w:rFonts w:ascii="Times New Roman" w:hAnsi="Times New Roman"/>
          <w:sz w:val="20"/>
        </w:rPr>
        <w:t xml:space="preserve"> to this proxy statement/prospectus, will effect the reverse stock split but </w:t>
      </w:r>
      <w:r>
        <w:rPr>
          <w:rFonts w:ascii="Times New Roman" w:hAnsi="Times New Roman"/>
          <w:b/>
          <w:i/>
          <w:sz w:val="20"/>
        </w:rPr>
        <w:t>will not</w:t>
      </w:r>
      <w:r>
        <w:rPr>
          <w:rFonts w:ascii="Times New Roman" w:hAnsi="Times New Roman"/>
          <w:sz w:val="20"/>
        </w:rPr>
        <w:t xml:space="preserve"> change the number of authorized shares of AVROBIO common stock or AVROBIO preferred stock, or the par value of AVROBIO common stock or AVROBIO preferred stock. The final ratio and effectiveness of such amendment and the abandonment of such amendment will be mutually agreed by the AVROBIO Board and the Tectonic Board prior to the effective time or, if the Nasdaq Stock Issuance Proposal is not approved by AVROBIO stockholders, determined solely by the AVROBIO Board.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approved the proposal approving the amendment to AVROBIO’s charter effecting the reverse stock split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effecting the reverse stock split will result in an increase in the minimum bid price of AVROBIO’s common stock and reduce the risk of a delisting of AVROBIO common stock from Nasdaq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a higher stock price may help generate investor interest in AVROBIO and ultimately the combined company and help AVROBIO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a higher stock price may increase trading volume in AVROBIO common stock and facilitate future financings by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that the resulting increase in the number of authorized and unissued shares available for future issuance will facilitate the issuance of shares to the Tectonic stockholders pursuant to the Merger Agreement, as described in the Nasdaq Stock Issuance Proposal, and ultimately the consummation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that a range of reverse stock split ratios provides it with the most flexibility to achieve the desired results of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AVROBIO common stock is currently listed on The Nasdaq Global Select Market under the symbol “AVRO.” AVROBIO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the combined company to, among other things, maintain a minimum bid price of $4.00 per share over a 30-day trading period prior to listing, unless it effects a reverse stock split. Therefore, the reverse stock split may be necessary in order to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is a condition to the closing that the shares of AVROBIO common stock to be issued in the merger pursuant to the Merger Agreement having been approved for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AVROBIO’s management being able to issue more shares without further stockholder approval. The reverse stock split will not change the number of authorized shares of AVROBIO capital stock, which will continue to be authorized pursuant to AVROBIO’s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 2024, AVROBIO common stock closed at $    per share. An investment in AVROBIO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AVROBIO Board believes that most investment funds are reluctant to invest in lower priced stocks. </w:t>
      </w:r>
    </w:p>
    <w:p>
      <w:pPr>
        <w:pStyle w:val="TextBody"/>
        <w:bidi w:val="0"/>
        <w:spacing w:before="240" w:after="0"/>
        <w:jc w:val="left"/>
        <w:rPr>
          <w:rFonts w:ascii="Times New Roman" w:hAnsi="Times New Roman"/>
          <w:sz w:val="20"/>
        </w:rPr>
      </w:pPr>
      <w:r>
        <w:rPr>
          <w:rFonts w:ascii="Times New Roman" w:hAnsi="Times New Roman"/>
          <w:sz w:val="20"/>
        </w:rPr>
        <w:t>There are risks associated with the reverse stock split, including that the reverse stock split may not result in an increase in the per share price of AVROBIO common stock. Please see “</w:t>
      </w:r>
      <w:r>
        <w:rPr>
          <w:rFonts w:ascii="Times New Roman" w:hAnsi="Times New Roman"/>
          <w:i/>
          <w:sz w:val="20"/>
        </w:rPr>
        <w:t>Risk Factors–Risks Related to the Proposed Reverse Stock Split</w:t>
      </w:r>
      <w:r>
        <w:rPr>
          <w:rFonts w:ascii="Times New Roman" w:hAnsi="Times New Roman"/>
          <w:sz w:val="20"/>
        </w:rPr>
        <w:t xml:space="preserve">” beginning on page 43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cannot predict whether the reverse stock split will increase the market price for AVROBIO common stock. The history of similar stock split combinations for companies in like circumstances is varied. There is no assurance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AVROBIO common stock after the reverse stock split will rise in proportion to the reduction in the number of shares of AVROBIO common stock outstanding before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AVROBIO to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over a 30-day trading period prior to listing, unless it effects a reverse stock split, as required for the combined company’s common stock to be approved for listing by Nasdaq.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market price of AVROBIO common stock will also be based on the performance of AVROBIO, and after the merger, on the performance of the combined company, and other factors, some of which are unrelated to the number of shares outstanding. If the reverse stock split is effected and the market price of AVROBIO common stock declines, the percentage decline as an absolute number and as a percentage of the overall market capitalization of AVROBIO may be greater than would occur in the absence of a reverse stock split. Furthermore, the liquidity of AVROBIO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be realized simultaneously for all shares of AVROBIO common stock and RSUs, options to purchase shares of AVROBIO common stock outstanding immediately prior to the effective time of the reverse stock split. The reverse stock split will affect all holders of shares of AVROBIO common stock, options to purchase shares of AVROBIO common stock and AVROBIO RSUs outstanding immediately prior to the effective time of the reverse stock split uniformly. Each and each such stockholder will hold the same percentage of AVROBIO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AVROBIO common stock or preferred stock and will not reduce the number of authorized shares of AVROBIO common stock or preferred stock. AVROBIO common stock issued pursuant to the reverse stock split will remain fully paid and nonassessable. The reverse stock split will not affect AVROBIO continuing to be subject to the periodic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the AVROBIO stockholders approve the amendments to AVROBIO’s charter effecting the reverse stock split, and if the AVROBIO Board still believes that a reverse stock split is in the best interests of AVROBIO and its stockholders, AVROBIO will file the certificate of amendment to AVROBIO’s charter with the Secretary of State of the State of Delaware at such time as the AVROBIO Board has determined to be the appropriate reverse stock split effective time at a ratio as mutually agreed by the AVROBIO Board and the Tectonic Board prior to the effective time or, if the Nasdaq Stock Issuance Proposal is not approved by AVROBIO stockholders, determined solely by the AVROBIO Board. The AVROBIO Board may delay effecting the reverse stock split without resoliciting stockholder approval. Beginning at the reverse stock split effective time, each stock certificate representing pre-split shares will be deemed for all corporate purposes to evidence ownership of post-split shares. </w:t>
      </w:r>
    </w:p>
    <w:p>
      <w:pPr>
        <w:pStyle w:val="TextBody"/>
        <w:bidi w:val="0"/>
        <w:spacing w:before="240" w:after="0"/>
        <w:jc w:val="left"/>
        <w:rPr>
          <w:rFonts w:ascii="Times New Roman" w:hAnsi="Times New Roman"/>
          <w:sz w:val="20"/>
        </w:rPr>
      </w:pPr>
      <w:r>
        <w:rPr>
          <w:rFonts w:ascii="Times New Roman" w:hAnsi="Times New Roman"/>
          <w:i/>
          <w:sz w:val="20"/>
        </w:rPr>
        <w:t>Beneficial Owners of Common Stock.</w:t>
      </w:r>
      <w:r>
        <w:rPr>
          <w:rFonts w:ascii="Times New Roman" w:hAnsi="Times New Roman"/>
          <w:sz w:val="20"/>
        </w:rPr>
        <w:t xml:space="preserve"> Upon the implementation of the reverse stock split, AVROBIO intends to treat shares held by stockholders in “street name” (i.e., through a bank, broker, custodian or other nominee), in the same manner as registered stockholders whose shares are registered in their names. Banks, brokers, custodians or other nominees will be instructed to effect the reverse stock split for their beneficial holders holding AVROBIO common stock in street name. However, these banks, brokers, custodians or other nominees may have different procedures than registered stockholders for processing the reverse stock split and making payment for fractional shares. If a stockholder holds shares of AVROBIO common stock with a bank, broker, custodian or other nominee and has any questions in this regard, stockholders are encouraged to contact their bank, broker, custodian or other nominee. </w:t>
      </w:r>
    </w:p>
    <w:p>
      <w:pPr>
        <w:pStyle w:val="TextBody"/>
        <w:bidi w:val="0"/>
        <w:spacing w:before="240" w:after="0"/>
        <w:jc w:val="left"/>
        <w:rPr>
          <w:rFonts w:ascii="Times New Roman" w:hAnsi="Times New Roman"/>
          <w:sz w:val="20"/>
        </w:rPr>
      </w:pPr>
      <w:r>
        <w:rPr>
          <w:rFonts w:ascii="Times New Roman" w:hAnsi="Times New Roman"/>
          <w:i/>
          <w:sz w:val="20"/>
        </w:rPr>
        <w:t>Registered Holders of Common Stock in Book-Entry Form</w:t>
      </w:r>
      <w:r>
        <w:rPr>
          <w:rFonts w:ascii="Times New Roman" w:hAnsi="Times New Roman"/>
          <w:sz w:val="20"/>
        </w:rPr>
        <w:t xml:space="preserve">. Certain of AVROBIO’s registered holders of common stock hold some or all of their shares electronically in book-entry form with AVROBIO’s transfer agent, Computershare Trust Company, N.A. These stockholders do not hold physical stock certificates evidencing their ownership of AVROBIO common stock. However, they are provided with a statement reflecting the number of shares of AVROBIO common stock registered in their accounts. If a stockholder holds registered shares in book-entry form with AVROBIO’s transfer agent, no action needs to be taken to receive post-reverse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split shares or payment in lieu of fractional shares, if applicable. If a stockholder is entitled to post-reverse stock split shares, a transaction statement will automatically be sent to the stockholder’s address of record indicating the number of shares of AVROBIO common stock held following the reverse stock split. </w:t>
      </w:r>
    </w:p>
    <w:p>
      <w:pPr>
        <w:pStyle w:val="TextBody"/>
        <w:bidi w:val="0"/>
        <w:spacing w:before="240" w:after="0"/>
        <w:jc w:val="left"/>
        <w:rPr>
          <w:rFonts w:ascii="Times New Roman" w:hAnsi="Times New Roman"/>
          <w:sz w:val="20"/>
        </w:rPr>
      </w:pPr>
      <w:r>
        <w:rPr>
          <w:rFonts w:ascii="Times New Roman" w:hAnsi="Times New Roman"/>
          <w:i/>
          <w:sz w:val="20"/>
        </w:rPr>
        <w:t>Registered Holders of Common Stock in Certificate Form</w:t>
      </w:r>
      <w:r>
        <w:rPr>
          <w:rFonts w:ascii="Times New Roman" w:hAnsi="Times New Roman"/>
          <w:sz w:val="20"/>
        </w:rPr>
        <w:t xml:space="preserve">. As soon as practicable after the reverse stock split effective time, AVROBIO stockholders will be notified that the reverse stock Split has been effected. AVROBIO expects that the AVROBIO transfer agent will act as exchange agent for purposes of implementing the exchange of stock certificates. Holders of pre-split shares will be asked to surrender to the exchange agent certificates representing pre-split shares held in certificated form in exchange for certificates representing post-split shares in accordance with the procedures to be set forth in a letter of transmittal to be sent by AVROBIO.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w:t>
      </w:r>
      <w:r>
        <w:rPr>
          <w:rFonts w:ascii="Times New Roman" w:hAnsi="Times New Roman"/>
          <w:b/>
          <w:sz w:val="20"/>
        </w:rPr>
        <w:t>Stockholders should not destroy any stock certificate(s) and should not submit any certificate(s) unless and until requested to do so.</w:t>
      </w:r>
    </w:p>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to which the stockholder would otherwise be entitled multiplied by the closing price of the common stock on Nasdaq on the date immediately prior to the filing of the certificate of amendment to AVROBIO’s charter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AVROBIO is domiciled and where the funds will be deposited, sums due for fractional interests that are not timely claimed after the effective date of the split may be required to be paid to the designated agent for each such jurisdiction, unless correspondence has been received by AVROBIO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AVROBIO Board or contemplating a tender offer or other transaction for the combination of AVROBIO with another company, the reverse stock split proposal is not being proposed in response to any effort of which AVROBIO is aware to accumulate shares of AVROBIO common stock or obtain control of AVROBIO, other than in connection with the merger, nor is it part of a plan by management to recommend a series of similar amendments to the AVROBIO Board and stockholders. Other than the proposals being submitted to the AVROBIO stockholders for their consideration at the special meeting, the AVROBIO Board does not currently contemplate recommending the adoption of any other actions that could be construed to affect the ability of third parties to take over or change control of AVROBIO. For more information, please see the section titled “</w:t>
      </w:r>
      <w:r>
        <w:rPr>
          <w:rFonts w:ascii="Times New Roman" w:hAnsi="Times New Roman"/>
          <w:i/>
          <w:sz w:val="20"/>
        </w:rPr>
        <w:t>Risk Factors—Risks Related to the Combined Company</w:t>
      </w:r>
      <w:r>
        <w:rPr>
          <w:rFonts w:ascii="Times New Roman" w:hAnsi="Times New Roman"/>
          <w:sz w:val="20"/>
        </w:rPr>
        <w:t>” beginning on page 159 of this proxy statement/prospectus.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Material U.S. Federal Income Tax Consequences of the Reverse Stock Split to U.S. Holders of AVROBIO Common Stock </w:t>
      </w:r>
    </w:p>
    <w:p>
      <w:pPr>
        <w:pStyle w:val="TextBody"/>
        <w:bidi w:val="0"/>
        <w:spacing w:before="120" w:after="0"/>
        <w:jc w:val="left"/>
        <w:rPr>
          <w:rFonts w:ascii="Times New Roman" w:hAnsi="Times New Roman"/>
          <w:sz w:val="20"/>
        </w:rPr>
      </w:pPr>
      <w:r>
        <w:rPr>
          <w:rFonts w:ascii="Times New Roman" w:hAnsi="Times New Roman"/>
          <w:sz w:val="20"/>
        </w:rPr>
        <w:t>The following discussion is a summary of U.S. federal income tax considerations relating to the reverse stock split that are applicable to U.S. Holders (which, for purposes of this discussion, has the same meaning as set forth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of AVROBIO common stock. This section applies only to persons that hold their AVROBIO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in individual retirement accounts or other tax-deferred accounts;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AVROBIO voting shares or five percent or more of the total value of all classes of shares of AVROBIO;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AVROBIO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AVROBIO common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AVROBIO as part of a straddle, constructive sale, hedging, conversion or other integrated or similar transaction;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AVROBIO common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AVROBIO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AVROBIO common stock, the tax treatment of such partnership and any person treated as a partner of such partnership will generally depend on the status and activities of the partner and the activities of the partnership. If you are a partner of a partnership or other pass-through entity holding AVROBIO common stock, you should consult your tax advisors regarding the tax consequences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any tax consequences of transactions effectuated before, after or at the same time as the reverse stock split, whether or not they are in connection with the reverse stock split, except as specifically provided below. No ruling from the IRS, or opinion from counsel, has been or will be requested in connection with the reverse stock split. AVROBIO stockholders should be aware that the IRS could adopt a position contrary to that set forth in this discussion and which could be sustained by a court.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Assuming the issuance of the CVRs is respected as separate from the reverse stock split for U.S. federal income tax purposes (see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above beginning on page 268 of this proxy statement/prospectus), the proposed reverse stock split should constitute a “recapitalization” for U.S. federal income tax purposes pursuant to Section 368(a)(1)(E) of the Code. As a result, a U.S. Holder should not recognize gain or loss upon the proposed reverse stock split, except with respect to cash received in lieu of a fractional share of AVROBIO common stock, as discussed below. A U.S. Holder’s aggregate adjusted tax basis in the shares of AVROBIO common stock received pursuant to the proposed reverse stock split should equal such holder’s aggregate adjusted tax basis of the shares of the AVROBIO common stock surrendered (excluding any portion of such basis that is allocated to any fractional share of AVROBIO common stock), and such U.S. Holder’s holding period in the shares of AVROBIO common stock received should include the holding period in the shares of AVROBIO common stock surrendered. U.S. Treasury Regulations provide detailed rules for allocating the tax basis and holding period of the shares of AVROBIO common stock surrendered to the shares of AVROBIO common stock received in a recapitalization pursuant to the proposed reverse stock split. U.S. Holders of shares of AVROBIO common stock acquired on different dates and at different prices should consult their tax advisors regarding the allocation of the tax basis and holding period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cash in lieu of a fractional share of AVROBIO common stock should be treated as first receiving such fractional share and then receiving cash in redemption of such fractional share. A U.S. Holder who receives cash in lieu of a fractional share pursuant to the proposed reverse stock split generally should recognize capital gain or loss in an amount equal to the difference between the amount of cash received and the portion of the U.S. Holder’s tax basis in the shares of AVROBIO common stock surrendered that is allocated to such fractional share of AVROBIO common stock. Such capital gain or loss should be long-term capital gain or loss if the U.S. Holder’s holding period for AVROBIO common stock surrendered exceeded one year at the effective time of the reverse stock split. The deductibility of capital losses is subject to limitations. U.S. Holders should consult their tax advisors regarding the tax effects to them of receiving cash in lieu of fractional shares based on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Possible Alternative Tax Treatment </w:t>
      </w:r>
    </w:p>
    <w:p>
      <w:pPr>
        <w:pStyle w:val="TextBody"/>
        <w:bidi w:val="0"/>
        <w:spacing w:before="120" w:after="0"/>
        <w:jc w:val="left"/>
        <w:rPr>
          <w:rFonts w:ascii="Times New Roman" w:hAnsi="Times New Roman"/>
          <w:sz w:val="20"/>
        </w:rPr>
      </w:pPr>
      <w:r>
        <w:rPr>
          <w:rFonts w:ascii="Times New Roman" w:hAnsi="Times New Roman"/>
          <w:sz w:val="20"/>
        </w:rPr>
        <w:t>As discussed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although the matter is not free from doubt, AVROBIO will treat the issuance of the CVRs and the proposed reverse stock split as separate transactions for U.S. federal income tax purposes, and the above discussion assumes that this treatment will be respected. It is possible that the reverse stock split and the issuance of the CVRs could be treated as a single transaction, in which case the material U.S. federal income tax consequences of the reverse stock split to a U.S. Holder may differ from those discussed above. U.S. Holders should consult their tax advisors regarding the tax consequences of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AVROBIO common stock may, under certain circumstances, be subject to information reporting and backup withholding. To avoid backup withholding, each holder of AVROBIO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AVROBIO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Reverse Stock Split Proposal. Abstentions and broker non-votes, if any, will have no effect on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(or the waiver thereof in accordance with the terms of the Merger Agreement). If the merger is not consummated for any reason, the actions contemplated by the Reverse Stock Split Proposal may still be effected if the Reverse Stock Split Proposal is approved. </w:t>
      </w:r>
    </w:p>
    <w:p>
      <w:pPr>
        <w:pStyle w:val="TextBody"/>
        <w:bidi w:val="0"/>
        <w:spacing w:before="240" w:after="0"/>
        <w:jc w:val="left"/>
        <w:rPr>
          <w:rFonts w:ascii="Times New Roman" w:hAnsi="Times New Roman"/>
          <w:sz w:val="20"/>
        </w:rPr>
      </w:pPr>
      <w:r>
        <w:rPr>
          <w:rFonts w:ascii="Times New Roman" w:hAnsi="Times New Roman"/>
          <w:sz w:val="20"/>
        </w:rPr>
        <w:t>Certain of AVROBIO and Tectonic stockholders have agreed to vote any shares of common stock owned by them in favor of the Reverse Stock Split Proposal.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Reverse Stock Split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7" w:name="toc770053_111"/>
      <w:bookmarkEnd w:id="107"/>
      <w:r>
        <w:rPr>
          <w:rFonts w:ascii="Times New Roman" w:hAnsi="Times New Roman"/>
          <w:b/>
          <w:sz w:val="20"/>
        </w:rPr>
        <w:t xml:space="preserve">PROPOSAL NO. 3—THE OFFICER EXCULPATION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DGCL was amended effective August 1, 2022 to authorize exculpation of officers of Delaware corporations (the “Section 102(b)(7) Amendment”). Specifically, the amendments extend the opportunity for Delaware corporations to exculpate their officers, in addition to their directors, for personal liability for breach of the duty of care in certain actions (the “officer exculpation”).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believes it is necessary to provide protection to officers to the fullest extent permitted by law in order to attract and retain top talent. This protection has long been afforded to directors. Accordingly, the Board believes that the proposal to extend exculpation to officers is fair and in the best interests of AVROBIO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form of certificate of amendment to AVROBIO’s charter to effect the officer exculpation is attached as </w:t>
      </w:r>
      <w:r>
        <w:rPr>
          <w:rFonts w:ascii="Times New Roman" w:hAnsi="Times New Roman"/>
          <w:sz w:val="20"/>
          <w:u w:val="single"/>
        </w:rPr>
        <w:t>Annex H</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may determine to effect the officer exculpation, if it is approved by the stockholders, even if the other proposals to be acted upon at the meeting are not approved, including the Nasdaq Stock Issuance Proposal and the Reverse Stock Split Proposal. In addition, notwithstanding approval of this proposal by AVROBIO stockholders, the AVROBIO Board may, in its sole discretion, abandon the proposed amendment and determine prior to the effectiveness of any filing with the Secretary of State of the State of Delaware not to effect the officer exculpation, as permitted under Section 242(c)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desires to amend AVROBIO’s charter to maintain provisions consistent with the governing statutes contained in the DCGL. Prior to the Section 102(b)(7) Amendment, Delaware law has permitted Delaware corporations to exculpate directors from personal liability for monetary damages associated with breaches of the duty of care, but that protection did not extend to a Delaware corporation’s officers. Consequently, stockholder plaintiffs have employed a tactic of bringing certain claims that would otherwise be exculpated if brought against directors, against individual officers to avoid dismissal of such claims. The Section 102(b)(7) Amendment was adopted to address inconsistent treatment between officers and directors and address rising litigation and insurance costs for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is currently the case with directors under AVROBIO’s charter,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The AVROBIO Board believes it is necessary to provide protection to officers to the fullest extent permitted by law in order to attract and retain top talent. This protection has long been afforded to directors, and accordingly, the AVROBIO Board believes that this proposal which would extend exculpation to officers, as specifically permitted by the Section 102(b)(7) Amendment, is fair and in the best interests of AVROBIO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The affirmative vote of the holders of a majority of the outstanding shares of AVROBIO capital stock for the Officer Exculpation Proposal is required to approve the Officer Exculpation Proposal. Abstentions and broker non-votes will have the effect of a vote “</w:t>
      </w:r>
      <w:r>
        <w:rPr>
          <w:rFonts w:ascii="Times New Roman" w:hAnsi="Times New Roman"/>
          <w:b/>
          <w:sz w:val="20"/>
        </w:rPr>
        <w:t>AGAINST</w:t>
      </w:r>
      <w:r>
        <w:rPr>
          <w:rFonts w:ascii="Times New Roman" w:hAnsi="Times New Roman"/>
          <w:sz w:val="20"/>
        </w:rPr>
        <w:t xml:space="preserve">” the Officer Exculpation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Officer Exculpation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Officer Exculpation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OFFICER EXCULPATION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8" w:name="toc770053_112"/>
      <w:bookmarkEnd w:id="108"/>
      <w:r>
        <w:rPr>
          <w:rFonts w:ascii="Times New Roman" w:hAnsi="Times New Roman"/>
          <w:b/>
          <w:sz w:val="20"/>
        </w:rPr>
        <w:t xml:space="preserve">PROPOSAL NO. 4—THE INCENTIVE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AVROBIO stockholders are also being asked to consider and vote upon the Incentive Plan Proposal to approve the combined company’s 2024 Equity Incentive Plan, which is referred to herein as the “2024 Plan.” The AVROBIO Board approved the 2024 Plan on, subject to stockholder approval at the special meeting. If stockholders approve the Incentive Plan Proposal, the 2024 Plan will become effective on the consummation of the merger. If the 2024 Plan is not approved by the stockholders, it will not become effective and no awards will be granted thereunder. The 2024 Plan is described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2024, the AVROBIO Board adopted and approved the 2024 Plan and is submitting the 2024 Plan to stockholders for their adoption and approval. Pursuant to the Merger Agreement, AVROBIO and Tectonic have each agreed that they will use commercially reasonable efforts to cause AVROBIO stockholders to approve the 2024 Plan. The AVROBIO Board believes the 2024 Plan advances the combined company’s interests by allowing the combined company to attract and retain the best available personnel for positions of substantial responsibility; to provide additional incentive to employees, directors, and consultants; and to promote the success of the combined company’s business. The AVROBIO Board has adopted and approved the 2024 Plan to permit the combined company to continue to use stock-based compensation to align stockholder and participant interests and to motivate participants providing services to the combined company. AVROBIO’s stock-based compensation program is currently operated under AVROBIO’s 2018 Plan. Upon approval of the 2024 Plan by stockholders at the special meeting, no new awards will be granted under the 2018 Plan after the date of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2024 Plan Will Allow the Combined Company to Effectively Recruit and Retain Key Talent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recommends that the AVROBIO stockholders approve the 2024 Plan because it believes the combined company’s ability to grant equity-based awards is crucial in allowing the combined company to effectively compete for and appropriately motivate and reward key talent. It is in the long-term interest of both the combined company and its stockholders to strengthen the combined company’s ability to attract, retain and motivate employees, officers, nonemployee directors and certain other service providers and to provide additional incentive for those persons through stock ownership and other incentives to improve financial performance, increase profits and strengthen the mutuality of interest between those persons and the combined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2024 Plan sets reasonable annual limits on the awards that non-employee directors may receive and updates the combined company’s stock-based compensation program to reflect the current best practices in corporate governance, as further described below. In addition, the 2024 Plan provides for annual automatic share increases that will permit the combined company to continue to meet its equity-based award needs in the future without seeking stockholder approval of share reserve increases.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 Reserve and Annual Increase Will Meet the Combined Company Equity Needs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of common stock that AVROBIO is asking stockholders approve be initially reserved for issuance under the 2024 Plan will not exceed a number of shares of combined company common stock equal to 12.5% of the combined company’s fully diluted shares outstanding determined as of immediately after the effective time. Additionally, the 2024 Plan provides for an annual increase in the number of shares reserved for insurance under the 2024 Plan beginning on the first day of each fiscal year beginning with the 2025 fiscal year, in an amount equal to the least of (i) shares of common stock, (ii) 5% of the number of shares of all classes of common stock outstanding as of the last day of the immediately preceding fiscal year and (iii) a lesser number of shares of common stock determined by the administrator of the 2024 Plan. The automatic share reserve increase will operate only until the tenth anniversary of the earlier of the combined company’s board or stockholder approval of the 2024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setting the initial share reserve and annual increase, the AVROBIO Board, with the consultation of Tectonic and Tectonic’s compensation consultant, considered a number of factors, including AVROBIO’s forecasted hiring needs following the merger. The AVROBIO Board believes that the number of shares initially reserved for issuance under the 2024 Plan is sufficient to meet the combined company’s fiscal year 2024 hiring needs. However, the AVROBIO Board believes that the number of shares initially reserved for issuance under the 2024 Plan will be insufficient to accommodate the growing needs of the combined company’s business and to promote the growth of the combined company’s business in the future. The AVROBIO Board believes that the 2024 Plan’s annual share reserve increase will provide sufficient shares to meet the combined company’s future hiring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Promotion of Good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and AVROBIO Compensation Committee believe the use of stock-based incentive awards promotes best practices in corporate governance by maximizing stockholder value. By providing participants in the 2024 Plan with a stake in the combined company’s success, the interests of the participants are aligned with those of the combined company’s stockholders. Specific features of the 2024 Plan that are consistent with good corporate governance practices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AVROBIO Board has delegated primary administration authority to the combined company’s compensation committee, which will consist entirely of independent non-employee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Annual Limits on Compensation to Non-Employee Directors</w:t>
            </w:r>
            <w:r>
              <w:rPr>
                <w:rFonts w:ascii="Times New Roman" w:hAnsi="Times New Roman"/>
                <w:sz w:val="20"/>
              </w:rPr>
              <w:t xml:space="preserve">. The 2024 Plan sets reasonable annual limits as to the cash compensation and awards that non-employee directors may receive during each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Limited transferability</w:t>
            </w:r>
            <w:r>
              <w:rPr>
                <w:rFonts w:ascii="Times New Roman" w:hAnsi="Times New Roman"/>
                <w:sz w:val="20"/>
              </w:rPr>
              <w:t xml:space="preserve">. Awards under the 2024 Plan generally may not be sold, assigned, transferred, pledged, or otherwise alienated, unless otherwise approved by the administrator.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Forfeiture Events</w:t>
            </w:r>
            <w:r>
              <w:rPr>
                <w:rFonts w:ascii="Times New Roman" w:hAnsi="Times New Roman"/>
                <w:sz w:val="20"/>
              </w:rPr>
              <w:t xml:space="preserve">. Each award under the 2024 Plan will be subject to the clawback policy adopted by the AVROBIO Compensation Committee effective as of October 2, 2023, and any other clawback policy or amendment thereto that, in the future, the combined company may adopt in its discretion or as may be required by applicable stock exchange rules or applicable laws (including any such clawback policy that is adopted after the grant of the award), and the administrator may require a participant to forfeit, return, or reimburse the combined company for all or a portion of the award and any amounts paid under the award in order to comply with the clawback policy or applicable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AVROBIO’s executive officers and directors, to the extent such officers or directors continue service with the combined company following the closing of the merger, have an interest in the approval of the 2024 Plan because they are eligible to receive equity awards under the 2024 Plan.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2024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paragraphs summarize the key features of the 2024 Plan and its operation. However, this summary is not a complete description of all of the provisions of the 2024 Plan and is qualified in its entirety by the specific language of the 2024 Plan. A copy of the 2024 Plan is provided as </w:t>
      </w:r>
      <w:r>
        <w:rPr>
          <w:rFonts w:ascii="Times New Roman" w:hAnsi="Times New Roman"/>
          <w:sz w:val="20"/>
          <w:u w:val="single"/>
        </w:rPr>
        <w:t>Annex I</w:t>
      </w:r>
      <w:r>
        <w:rPr>
          <w:rFonts w:ascii="Times New Roman" w:hAnsi="Times New Roman"/>
          <w:sz w:val="20"/>
        </w:rPr>
        <w:t xml:space="preserve"> to this proxy statement.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2024 Plan provides for the grant of incentive stock options, or ISOs, within the meaning of Section 422 of the Code to employees, including employees of any parent or subsidiary, and for the grant of nonstatutory stock options, or NSOs, stock appreciation rights, restricted stock awards, restricted stock unit awards, performance awards and other forms of awards to employees, directors and consultants, including employees and consultants of the combined company’s affiliates. As of March 15, 2024, AVROBIO had approximately 13 employees, 7 non-employee directors and no consultants. Following the closing of the merger, approximately 48 employees, 5 non-employee directors and no consultants of the combined company are expected to be eligible to participate in the 2024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Initially, the maximum number of shares of combined company common stock that may be issued under the 2024 Plan after it becomes effective will not exceed 12.5% of the combined company’s fully diluted shares outstanding determined as of immediately after the effective time (the “2024 Plan’s initial share reserve”). In addition, the number of shares of combined company common stock reserved for issuance under the 2024 Plan will automatically increase on January 1 of each year, starting on January 1, 2025, through and including January 1, 2034, in an amount equal to (1) 5% of the total number of shares of combined company common stock outstanding on the last day of the preceding calendar year, or (2) a lesser number of shares of combined company common stock determined by the combined company’s board of directors prior to the date of the increase. The maximum number of shares of combined company common stock that may be issued on the exercise of ISOs under the 2024 Plan is three multiplied by the 2024 Plan’s initial share reserve.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stock awards granted under the 2024 Plan that expire or terminate without being exercised or otherwise issued in full or that are paid out in cash rather than in shares do not reduce the number of shares available for issuance under the 2024 Plan. Shares withheld under a stock award to satisfy the exercise, strike or purchase price of a stock award or to satisfy a tax withholding obligation do not reduce the number of shares available for issuance under the 2024 Plan. If any shares of combined company common stock issued pursuant to a stock award are forfeited back to or repurchased or reacquired by the combined company (1) because of the failure to vest, (2) to satisfy the exercise, strike or purchase price, or (3) to satisfy a tax withholding obligation in connection with an award, the shares that are forfeited or repurchased or reacquired will revert to and again become available for issuance under the 2024 Plan.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combined company’s board of directors, or a duly authorized committee thereof, will administer the 2024 Plan and is referred to as the “plan administrator” herein. The combined company’s board of directors may also delegate to one or more persons or bodies the authority to (1) designate recipients (other than officers) to receive specified stock awards; (2) determine the number of shares subject to such stock awards; and (3) determine the terms of such awards. Under the 2024 Plan, the combined company’s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Plan, the combined company’s board of directors also generally has the authority to effect,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generally accepted accounting principles.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stock option agreements adopted by the plan administrator. The plan administrator determines the exercise price for stock options, within the terms and conditions of the 2024 Plan, provided that the exercise price of a stock option generally cannot be less than 100% of the fair market value of a share of combined company common stock on the date of grant. Options granted under the 2024 Plan vest at the rate specified in the stock option agreement as determined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determines the term of stock options granted under the 2024 Plan, up to a maximum of 10 years. Unless the terms of an optionholder’s stock option agreement provide otherwise, if an optionholder’s service relationship with the combined company or any of the combined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the combined company or any of the combined company’s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combined company or any of the combined company’s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shares of combined company common stock issued upon the exercise of a stock option will be determined by the plan administrator and may include (1) cash, check, bank draft or money order, (2) a broker-assisted cashless exercise, (3) the tender of shares of combined company common stock previously owned by the optionholder, (4) a net exercise of the option if it is an NSO, or (5) other legal consideration approved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 </w:t>
      </w:r>
    </w:p>
    <w:p>
      <w:pPr>
        <w:pStyle w:val="TextBody"/>
        <w:bidi w:val="0"/>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combined company common stock with respect to ISOs that are exercisable for the first time by an award 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parent or subsidiary corporations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 awards are granted under restricted stock unit award agreements adopted by the plan administrator. Restricted stock unit awards may be granted in consideration for any form of legal consideration that may be acceptable to the combined company’s board of directors and permissible under applicable law. A restricted stock unit award may be settled by cash, delivery of shares of combined company common stock, a combination of cash and shares of combined company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plan administrator. A restricted stock award may be awarded in consideration for cash, check, bank draft or money order, services to the combined company, or any other form of legal consideration that may be acceptable to the combined company’s board of directors and permissible under applicable law. The plan administrator determines the terms and conditions of restricted stock awards, including vesting and forfeiture terms. If a participant’s service relationship with the combined company ends for any reason, the combined company may receive any or all of the shares of combined company common stock held by the participant under such participant’s restricted stock award that have not vested as of the date the participant terminates service with the combined company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under stock appreciation right agreements adopted by the plan administrator. The plan administrator determines the strike price for a stock appreciation right, which generally cannot be less than 100% of the fair market value of combined company common stock on the date of grant. A stock appreciation right granted under the 2024 Plan vests at the rate specified in the stock appreciation right agreement as determined by the plan administrator. Stock appreciation rights may be settled in cash or shares of combined company common stock or in any other form of payment, as determined by the combined company’s board of directors and specified in the stock appreciation right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plan administrator determines the term of stock appreciation rights granted under the 2024 Plan, up to a maximum of 10 years. If a participant’s service relationship with the combined company or any of the combined company’s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the combined company, or any of the combined company’s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2024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goals may be based on any measure of performance selected by the combined company’s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combined company’s board of directors when the performance award is granted, the combined company’s board of directors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portion of the combined company’s business which is divested achieved performance objectives at targeted levels during the balance of a performance period following such divestiture; (8) to exclude the effect of any change in the outstanding shares of combined company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w:t>
      </w:r>
    </w:p>
    <w:p>
      <w:pPr>
        <w:pStyle w:val="TextBody"/>
        <w:bidi w:val="0"/>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plan administrator may grant other awards based in whole or in part by reference to combined company common stock. The plan administrator will set the number of shares under the stock award (or cash equivalent) and all other terms and conditions of such awards.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calendar year that begins on or after the effective date of the merger, including awards granted and cash fees paid by the combined company to such non-employee director, will not exceed (1) $750,000 in total value or (2) if such non-employee director is first appointed or elected to the combined company’s board of directors during such calendar year, $1,000,000 in total value.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the combined company’s capital structure, such as a stock split, reverse stock split, or 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2024 Plan in the event of a corporate transaction (as defined in the 2024 Plan), unless otherwise provided in a participant’s stock award agreement or other written agreement with the combined company or one of the combined company’s affiliates or unless otherwise expressly provided by the plan administrator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corporate transaction, any stock awards outstanding under the 2024 Plan may be assumed, continued or substituted for by any surviving or acquiring corporation (or its parent company), and any reacquisition or repurchase rights held by the combined company with respect to the stock award may be assigned to the combined company’s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combined company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the combined company with respect to such stock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common stock in connection with the corporate transaction, over (ii) any per share exercise price payable by such holder, if applicable. In addition, any escrow, holdback, earn-out or similar provisions in the definitive agreement for the corporate transaction may apply to such payment to the same extent and in the same manner as such provisions apply to the holders of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Plan, a corporate transaction is generally defined as the consummation of: (1) a sale of all or substantially all of the combined company’s assets, (2) the sale or disposition of at least 50% of the combined company’s outstanding securities, (3) a merger or consolidation where the combined company does not survive the transaction, or (4) a merger or consolidation where the combined company does survive the transaction but the shares of combined company common stock outstanding immediately before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b/>
          <w:i/>
          <w:sz w:val="20"/>
        </w:rPr>
        <w:t>.</w:t>
      </w:r>
      <w:r>
        <w:rPr>
          <w:rFonts w:ascii="Times New Roman" w:hAnsi="Times New Roman"/>
          <w:sz w:val="20"/>
        </w:rPr>
        <w:t xml:space="preserve"> Awards granted under the 2024 Plan may be subject to acceleration of vesting and exercisability upon or after a change in control as may be provided in the applicable stock award agreement or in any other written agreement between the combined company or any of the combined company’s affiliates and the participant, but in the absence of such provision, no such acceleration will automatically occur.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Plan, a change in control is generally defined as: (1) the acquisition by any person or company of more than 50% of the combined voting power of the combined company’s then outstanding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 consummated merger, consolidation or similar transaction in which combined company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the combined company’s assets other than to an entity more than 50% of the combined voting power of which is owned by combined company stockholders in substantially the same proportions as their ownership of the combined company’s outstanding voting securities immediately prior to such transaction; or (4) when a majority of the combined company’s board of directors becomes comprised of individuals who were not serving on the combined company’s board of directors on the date the 2024 Plan was adopted, or the incumbent board, or whose nomination, appointment, or election was not approved by a majority of the incumbent board still in office.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combined company’s board of directors has the authority to amend, suspend, or terminate the 2024 Plan at any time, provided that such action does not materially impair the existing rights of any participant without such participant’s written consent. Certain material amendments also require the approval of combined company stockholders. No ISOs may be granted after the tenth anniversary of the date the board of directors adopts the 2024 Plan. No stock awards may be granted under the 2024 Plan while it is suspended or after it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U.S. federal income tax consequences of participation in the 2024 Plan. The summary is based on existing U.S. laws and regulations as of the record date,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A participant recognizes no taxable income for federal income tax purposes as a result of the grant or exercise of an option that qualifies as incentive stock option under Section 422 of the Code. If a participant exercises the option and then later sells or otherwise disposes of the shares acquired through the exercise the option after both the two-year anniversary of the date the option was granted and the one-year anniversary of the exercise, the participant will recognize a capital gain or loss equal to the difference between the sale price of the shares and the exercise price, and the combined company will not be entitled to any deduction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However, if the participant disposes of such shares either on or before the two-year anniversary of the date of grant or on or before the one-year anniversary of the date of exercise (referred to as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the combined company for federal income tax purposes, except to the extent such deduction is limited by applicable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alternative minimum tax purposes.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Nonstatutory Stock Options. </w:t>
      </w:r>
      <w:r>
        <w:rPr>
          <w:rFonts w:ascii="Times New Roman" w:hAnsi="Times New Roman"/>
          <w:sz w:val="20"/>
        </w:rPr>
        <w:t xml:space="preserve">A participant generally recognizes no taxable income as the result of the grant of such an option. However, upon exercising the option, the participant normally recognizes ordinary income equal to the amount that the fair market value of the shares on such date exceeds the exercise price. If the participant is an employee, such ordinary income generally is subject to withholding of income and employment taxes. Upon the sale of the shares acquired by the exercise of a nonstatutory stock option, any gain or loss (based on the difference between the sale price and the fair market value on the exercise date) will be taxed as capital gain or loss. No tax deduction is available to the combined company with respect to the grant of a nonstatutory stock option or the sale of the shares acquired through the exercise of the nonstatutory stock option.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In general, no taxable income is reportable when a stock appreciation right is granted to a participant. Upon exercise, the participant generally will recognize ordinary income in an amount equal to the fair market value of any shares received. If the participant is an employee, such ordinary income generally is subject to withholding of income and employment taxes. Any additional gain or loss recognized upon any later disposition of the shares would be capital gain or loss.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 </w:t>
      </w:r>
    </w:p>
    <w:p>
      <w:pPr>
        <w:pStyle w:val="TextBody"/>
        <w:bidi w:val="0"/>
        <w:spacing w:before="240" w:after="0"/>
        <w:jc w:val="left"/>
        <w:rPr>
          <w:rFonts w:ascii="Times New Roman" w:hAnsi="Times New Roman"/>
          <w:sz w:val="20"/>
        </w:rPr>
      </w:pPr>
      <w:r>
        <w:rPr>
          <w:rFonts w:ascii="Times New Roman" w:hAnsi="Times New Roman"/>
          <w:i/>
          <w:sz w:val="20"/>
        </w:rPr>
        <w:t>RSU Awards</w:t>
      </w:r>
      <w:r>
        <w:rPr>
          <w:rFonts w:ascii="Times New Roman" w:hAnsi="Times New Roman"/>
          <w:sz w:val="20"/>
        </w:rPr>
        <w:t xml:space="preserve">. There are no immediate tax consequences of receiving an award of RSUs. A participant who is awarded RSUs generally will be required to recognize ordinary income in an amount equal to the fair market value of the shares issued to and/or the cash received by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A participant generally will recognize no income upon the grant of a performance share or a performance award. Upon the settlement of such awards, participants normally will recognize ordinary income in the year of receipt in an amount equal to the cash received and the fair market value of any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409A of the Code</w:t>
      </w:r>
      <w:r>
        <w:rPr>
          <w:rFonts w:ascii="Times New Roman" w:hAnsi="Times New Roman"/>
          <w:sz w:val="20"/>
        </w:rPr>
        <w:t xml:space="preserve">. Section 409A of the Code (referred to as “Section 409A”) provides certain requirements for non-qualified deferred compensation arrangements with respect to an individual’s deferral and distribution elections and permissible distribution events. Awards granted under the 2024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w:t>
      </w:r>
    </w:p>
    <w:p>
      <w:pPr>
        <w:pStyle w:val="TextBody"/>
        <w:bidi w:val="0"/>
        <w:spacing w:before="240" w:after="0"/>
        <w:jc w:val="left"/>
        <w:rPr>
          <w:rFonts w:ascii="Times New Roman" w:hAnsi="Times New Roman"/>
          <w:sz w:val="20"/>
        </w:rPr>
      </w:pPr>
      <w:r>
        <w:rPr>
          <w:rFonts w:ascii="Times New Roman" w:hAnsi="Times New Roman"/>
          <w:i/>
          <w:sz w:val="20"/>
        </w:rPr>
        <w:t>Medicare Surtax</w:t>
      </w:r>
      <w:r>
        <w:rPr>
          <w:rFonts w:ascii="Times New Roman" w:hAnsi="Times New Roman"/>
          <w:sz w:val="20"/>
        </w:rPr>
        <w:t xml:space="preserve">. In addition, a participant’s annual “net investment income,” as defined in Section 1411 of the Code, may be subject to a 3.8% federal surtax. Net investment income may include capital gain and/or loss arising from the disposition of shares issued pursuant to awards granted under the 2024 Plan. Whether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net investment income will be subject to this surtax will depend on the participant’s level of annual income and other factors. </w:t>
      </w:r>
    </w:p>
    <w:p>
      <w:pPr>
        <w:pStyle w:val="TextBody"/>
        <w:bidi w:val="0"/>
        <w:spacing w:before="240" w:after="0"/>
        <w:jc w:val="left"/>
        <w:rPr>
          <w:rFonts w:ascii="Times New Roman" w:hAnsi="Times New Roman"/>
          <w:sz w:val="20"/>
        </w:rPr>
      </w:pPr>
      <w:r>
        <w:rPr>
          <w:rFonts w:ascii="Times New Roman" w:hAnsi="Times New Roman"/>
          <w:i/>
          <w:sz w:val="20"/>
        </w:rPr>
        <w:t>Company Deduction and Section</w:t>
      </w:r>
      <w:r>
        <w:rPr>
          <w:rFonts w:ascii="Times New Roman" w:hAnsi="Times New Roman"/>
          <w:sz w:val="20"/>
        </w:rPr>
        <w:t> </w:t>
      </w:r>
      <w:r>
        <w:rPr>
          <w:rFonts w:ascii="Times New Roman" w:hAnsi="Times New Roman"/>
          <w:i/>
          <w:sz w:val="20"/>
        </w:rPr>
        <w:t>162(m)</w:t>
      </w:r>
      <w:r>
        <w:rPr>
          <w:rFonts w:ascii="Times New Roman" w:hAnsi="Times New Roman"/>
          <w:sz w:val="20"/>
        </w:rPr>
        <w:t xml:space="preserve">. The combined company generally will be entitled to a tax deduction in connection with an award under the 2024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the combined company’s chief executive officer and other “covered employees” as determined under Section 162(m) and applicable guidance. Under Section 162(m), the annual compensation paid to any of these individuals will be deductible only to the extent that it does not exceed $1,000,000.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DESCRIPTION ABOVE IS ONLY A SUMMARY OF THE EFFECT OF U.S. FEDERAL INCOME TAXATION ON PARTICIPANTS AND THE COMBINED COMPANY WITH RESPECT TO AWARDS UNDER THE 2024 PLAN. IT IS NOT COMPLETE AND DOES NOT DISCUSS THE IMPACT OF EMPLOYMENT OR OTHER TAX REQUIREMENTS, THE TAX CONSEQUENCES OF A PARTICIPANT’S DEATH, OR THE PROVISIONS OF THE INCOME TAX LAWS OF ANY MUNICIPALITY, STATE, OR FOREIGN COUNTRY IN WHICH THE PARTICIPANT MAY RESIDE.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awards that an employee, director, or consultant may receive under the 2024 Plan is in the discretion of the administrator and therefore cannot be determined in advance. Consequently, no new plan benefits table is included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as of December 31, 2023 with respect to the shares of AVROBIO common stock that may be issued under AVROBIO’s existing equity compensation plans.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8"/>
        <w:gridCol w:w="60"/>
        <w:gridCol w:w="106"/>
        <w:gridCol w:w="1762"/>
        <w:gridCol w:w="303"/>
        <w:gridCol w:w="60"/>
        <w:gridCol w:w="231"/>
        <w:gridCol w:w="1694"/>
        <w:gridCol w:w="60"/>
        <w:gridCol w:w="60"/>
        <w:gridCol w:w="97"/>
        <w:gridCol w:w="1783"/>
        <w:gridCol w:w="321"/>
      </w:tblGrid>
      <w:tr>
        <w:trPr/>
        <w:tc>
          <w:tcPr>
            <w:tcW w:w="36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66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1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to be Issued</w:t>
              <w:br/>
              <w:t>Upon Exercise</w:t>
              <w:br/>
              <w:t>of Outstanding</w:t>
              <w:br/>
              <w:t>Options and</w:t>
              <w:br/>
              <w:t>RSUs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w:t>
              <w:br/>
              <w:t>of Outstanding</w:t>
              <w:br/>
              <w:t>Options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Remaining</w:t>
              <w:br/>
              <w:t>Available for</w:t>
              <w:br/>
              <w:t>Future Issuance</w:t>
              <w:br/>
              <w:t>Under Equity</w:t>
              <w:br/>
              <w:t>Compensation</w:t>
              <w:br/>
              <w:t>Plans (Excluding</w:t>
              <w:br/>
              <w:t>Securities</w:t>
              <w:br/>
              <w:t>Reflected in the</w:t>
              <w:br/>
              <w:t>First Column) (#)</w:t>
            </w:r>
          </w:p>
        </w:tc>
        <w:tc>
          <w:tcPr>
            <w:tcW w:w="321" w:type="dxa"/>
            <w:tcBorders/>
            <w:vAlign w:val="center"/>
          </w:tcPr>
          <w:p>
            <w:pPr>
              <w:pStyle w:val="TableContents"/>
              <w:bidi w:val="0"/>
              <w:spacing w:before="0" w:after="283"/>
              <w:jc w:val="left"/>
              <w:rPr/>
            </w:pPr>
            <w:r>
              <w:rPr/>
              <w:t> </w:t>
            </w:r>
          </w:p>
        </w:tc>
      </w:tr>
      <w:tr>
        <w:trPr/>
        <w:tc>
          <w:tcPr>
            <w:tcW w:w="3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 (2)</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2" w:type="dxa"/>
            <w:tcBorders/>
            <w:shd w:fill="CCEEFF" w:val="clear"/>
            <w:vAlign w:val="center"/>
          </w:tcPr>
          <w:p>
            <w:pPr>
              <w:pStyle w:val="TableContents"/>
              <w:bidi w:val="0"/>
              <w:spacing w:before="0" w:after="283"/>
              <w:jc w:val="right"/>
              <w:rPr/>
            </w:pPr>
            <w:r>
              <w:rPr/>
              <w:t>5,111,846</w:t>
            </w:r>
          </w:p>
        </w:tc>
        <w:tc>
          <w:tcPr>
            <w:tcW w:w="303"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9,750,415</w:t>
            </w:r>
          </w:p>
        </w:tc>
        <w:tc>
          <w:tcPr>
            <w:tcW w:w="321" w:type="dxa"/>
            <w:tcBorders/>
            <w:shd w:fill="CCEEFF" w:val="clear"/>
            <w:vAlign w:val="center"/>
          </w:tcPr>
          <w:p>
            <w:pPr>
              <w:pStyle w:val="TableContents"/>
              <w:bidi w:val="0"/>
              <w:spacing w:before="0" w:after="283"/>
              <w:jc w:val="left"/>
              <w:rPr/>
            </w:pPr>
            <w:r>
              <w:rPr/>
              <w:t>(3) </w:t>
            </w:r>
          </w:p>
        </w:tc>
      </w:tr>
      <w:tr>
        <w:trPr/>
        <w:tc>
          <w:tcPr>
            <w:tcW w:w="3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62" w:type="dxa"/>
            <w:tcBorders/>
            <w:vAlign w:val="center"/>
          </w:tcPr>
          <w:p>
            <w:pPr>
              <w:pStyle w:val="TableContents"/>
              <w:bidi w:val="0"/>
              <w:spacing w:before="0" w:after="283"/>
              <w:jc w:val="right"/>
              <w:rPr/>
            </w:pPr>
            <w:r>
              <w:rPr/>
              <w:t>966,784</w:t>
            </w:r>
          </w:p>
        </w:tc>
        <w:tc>
          <w:tcPr>
            <w:tcW w:w="303"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694" w:type="dxa"/>
            <w:tcBorders/>
            <w:vAlign w:val="center"/>
          </w:tcPr>
          <w:p>
            <w:pPr>
              <w:pStyle w:val="TableContents"/>
              <w:bidi w:val="0"/>
              <w:spacing w:before="0" w:after="283"/>
              <w:jc w:val="right"/>
              <w:rPr/>
            </w:pPr>
            <w:r>
              <w:rPr/>
              <w:t>8.15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3,107,211</w:t>
            </w:r>
          </w:p>
        </w:tc>
        <w:tc>
          <w:tcPr>
            <w:tcW w:w="321" w:type="dxa"/>
            <w:tcBorders/>
            <w:vAlign w:val="center"/>
          </w:tcPr>
          <w:p>
            <w:pPr>
              <w:pStyle w:val="TableContents"/>
              <w:bidi w:val="0"/>
              <w:spacing w:before="0" w:after="283"/>
              <w:jc w:val="left"/>
              <w:rPr/>
            </w:pPr>
            <w:r>
              <w:rPr/>
              <w:t>(5) </w:t>
            </w:r>
          </w:p>
        </w:tc>
      </w:tr>
      <w:tr>
        <w:trPr/>
        <w:tc>
          <w:tcPr>
            <w:tcW w:w="36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pBdr>
                <w:top w:val="single" w:sz="2" w:space="1" w:color="000000"/>
              </w:pBdr>
              <w:bidi w:val="0"/>
              <w:spacing w:before="0" w:after="0"/>
              <w:jc w:val="left"/>
              <w:rPr/>
            </w:pPr>
            <w:r>
              <w:rPr/>
              <w:t> </w:t>
            </w:r>
          </w:p>
        </w:tc>
        <w:tc>
          <w:tcPr>
            <w:tcW w:w="1762"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16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r>
      <w:tr>
        <w:trPr/>
        <w:tc>
          <w:tcPr>
            <w:tcW w:w="3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2" w:type="dxa"/>
            <w:tcBorders/>
            <w:shd w:fill="CCEEFF" w:val="clear"/>
            <w:vAlign w:val="center"/>
          </w:tcPr>
          <w:p>
            <w:pPr>
              <w:pStyle w:val="TableContents"/>
              <w:bidi w:val="0"/>
              <w:spacing w:before="0" w:after="283"/>
              <w:jc w:val="right"/>
              <w:rPr/>
            </w:pPr>
            <w:r>
              <w:rPr/>
              <w:t>6,078,630</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12,857,626</w:t>
            </w:r>
          </w:p>
        </w:tc>
        <w:tc>
          <w:tcPr>
            <w:tcW w:w="321" w:type="dxa"/>
            <w:tcBorders/>
            <w:shd w:fill="CCEEFF" w:val="clear"/>
            <w:vAlign w:val="center"/>
          </w:tcPr>
          <w:p>
            <w:pPr>
              <w:pStyle w:val="TableContents"/>
              <w:bidi w:val="0"/>
              <w:spacing w:before="0" w:after="283"/>
              <w:jc w:val="left"/>
              <w:rPr/>
            </w:pPr>
            <w:r>
              <w:rPr/>
              <w:t> </w:t>
            </w:r>
          </w:p>
        </w:tc>
      </w:tr>
      <w:tr>
        <w:trPr/>
        <w:tc>
          <w:tcPr>
            <w:tcW w:w="36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pBdr>
                <w:top w:val="double" w:sz="6" w:space="1" w:color="000000"/>
              </w:pBdr>
              <w:bidi w:val="0"/>
              <w:spacing w:before="0" w:after="0"/>
              <w:jc w:val="left"/>
              <w:rPr/>
            </w:pPr>
            <w:r>
              <w:rPr/>
              <w:t> </w:t>
            </w:r>
          </w:p>
        </w:tc>
        <w:tc>
          <w:tcPr>
            <w:tcW w:w="1762" w:type="dxa"/>
            <w:tcBorders/>
            <w:vAlign w:val="center"/>
          </w:tcPr>
          <w:p>
            <w:pPr>
              <w:pStyle w:val="TableContents"/>
              <w:pBdr>
                <w:top w:val="double" w:sz="6"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169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double" w:sz="6" w:space="1" w:color="000000"/>
              </w:pBdr>
              <w:bidi w:val="0"/>
              <w:spacing w:before="0" w:after="0"/>
              <w:jc w:val="left"/>
              <w:rPr/>
            </w:pPr>
            <w:r>
              <w:rPr/>
              <w:t> </w:t>
            </w:r>
          </w:p>
        </w:tc>
        <w:tc>
          <w:tcPr>
            <w:tcW w:w="1783" w:type="dxa"/>
            <w:tcBorders/>
            <w:vAlign w:val="center"/>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RSUs do not have any exercise price, such units are not included in the weighted average exercise price calculations above.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4,175,488 shares of AVROBIO common stock issuable upon the exercise of outstanding options and (ii) 936,358 shares of AVROBIO common stock issuable upon vesting of RSUs.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there were 7,978,667 shares of AVROBIO common stock available for grant under AVROBIO’s 2018 Plan, no shares available for grant under AVROBIO’s 2015 Plan, and 1,771,748 shares of AVROBIO common stock available for grant under AVROBIO’s 2018 ESPP (which number excludes any shares that would have been added to the plan as a result of the automatic annual increase on January 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AVROBIO’s 2018 ESPP provides that the number of shares reserved and available for issuance under the plan automatically increases each January 1 by the least of 1,115,700 shares of AVROBIO common stock, 1% of the outstanding number of shares of AVROBIO common stock on the immediately preceding December 31 or such lesser number of shares as determined by the AVROBIO Compensation Committee. However, the AVROBIO Compensation Committee opted to reduce the number of shares that would otherwise have automatically been made available for issuance under the 2018 ESPP on January 1, 2024 to zero.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484,700 shares of AVROBIO common stock underlying non-qualified stock options that were granted prior to the adoption of AVROBIO’s Inducement Plans as one-time awards to various new employees in accordance with Nasdaq Listing Rule 5635(c)(4) and (ii) 482,084 shares of AVROBIO common stock issuable upon exercise of outstanding options granted under AVROBIO’s 2019 Inducement Plan. There are no shares of AVROBIO common stock issuable upon exercise of outstanding options granted under AVROBIO’s 2020 Inducement Plan.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1,407,211 shares of AVROBIO common stock issuable under AVROBIO’s 2019 Inducement Plan and (ii) 1,700,000 issuable under AVROBIO’s 2020 Inducement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Incentive Plan Proposal. Abstentions and broker non-votes, if any, will have no effect on the Incentive Plan Proposal. </w:t>
      </w:r>
    </w:p>
    <w:p>
      <w:pPr>
        <w:pStyle w:val="TextBody"/>
        <w:bidi w:val="0"/>
        <w:spacing w:before="240" w:after="0"/>
        <w:jc w:val="left"/>
        <w:rPr>
          <w:rFonts w:ascii="Times New Roman" w:hAnsi="Times New Roman"/>
          <w:sz w:val="20"/>
        </w:rPr>
      </w:pPr>
      <w:r>
        <w:rPr>
          <w:rFonts w:ascii="Times New Roman" w:hAnsi="Times New Roman"/>
          <w:sz w:val="20"/>
        </w:rPr>
        <w:t xml:space="preserve">The Incentive Plan Proposal is conditioned on the approval of the Nasdaq Stock Issuance Proposal. Therefore, if approval of the merger is not obtained, the Incentive Plan Proposal will have no effect, even if approved by AVROBIO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INCENTIVE PLAN PROPOSAL. </w:t>
      </w:r>
    </w:p>
    <w:p>
      <w:pPr>
        <w:pStyle w:val="TextBody"/>
        <w:bidi w:val="0"/>
        <w:spacing w:before="240" w:after="0"/>
        <w:jc w:val="left"/>
        <w:rPr>
          <w:rFonts w:ascii="Times New Roman" w:hAnsi="Times New Roman"/>
          <w:sz w:val="20"/>
        </w:rPr>
      </w:pPr>
      <w:r>
        <w:rPr>
          <w:rFonts w:ascii="Times New Roman" w:hAnsi="Times New Roman"/>
          <w:sz w:val="20"/>
        </w:rPr>
        <w:t>When you consider the recommendation of the AVROBIO Board in favor of approval of the 2024 Plan, you should keep in mind that certain of AVROBIO’s directors and officers have interests in the 2024 Plan that are different from, in addition to, or in conflict with your interests as a stockholder, including, among other things, the existence of financial and personal interests, which may result in a conflict of interest on the part of such director(s) between what he, she or they may believe is in the best interests of AVROBIO and its stockholders and what he, she or they may believe is best for himself, herself or themselves in determining to recommend that stockholders vote for the proposals. In addition, AVROBIO’s officers have interests in the merger that may conflict with your interests as a stockholder. See the section titled “</w:t>
      </w:r>
      <w:r>
        <w:rPr>
          <w:rFonts w:ascii="Times New Roman" w:hAnsi="Times New Roman"/>
          <w:i/>
          <w:sz w:val="20"/>
        </w:rPr>
        <w:t>The Merger—Interests of AVROBIO’s Directors and Executive Officers in the Merger</w:t>
      </w:r>
      <w:r>
        <w:rPr>
          <w:rFonts w:ascii="Times New Roman" w:hAnsi="Times New Roman"/>
          <w:sz w:val="20"/>
        </w:rPr>
        <w:t xml:space="preserve">” beginning on page 221 of this proxy statement/prospectus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9" w:name="toc770053_113"/>
      <w:bookmarkEnd w:id="109"/>
      <w:r>
        <w:rPr>
          <w:rFonts w:ascii="Times New Roman" w:hAnsi="Times New Roman"/>
          <w:b/>
          <w:sz w:val="20"/>
        </w:rPr>
        <w:t xml:space="preserve">PROPOSAL NO. 5—THE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AVROBIO stockholders are also being asked to consider and vote upon the ESPP Proposal to approve the combined company’s 2024 Employee Stock Purchase Plan, which is referred to herein as the “2024 ESPP.” The AVROBIO Board approved the 2024 ESPP on, subject to stockholder approval at the special meeting. If the AVROBIO stockholders approve the ESPP Proposal, the 2024 ESPP will become effective on the consummation of the merger. If the 2024 ESPP is not approved by the AVROBIO stockholders, it will not become effective. The 2024 ESPP is described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2024, the AVROBIO Board adopted and approved the combined company’s 2024 ESPP and is submitting it to stockholders for their adoption and approval. Pursuant to the Merger Agreement, AVROBIO and Tectonic have each agreed that they will use commercially reasonable efforts to cause the AVROBIO stockholders to approve the 2024 ESPP. The AVROBIO Board has adopted and approved the 2024 ESPP to provide the combined company’s eligible employees an opportunity to purchase the combined company’s common stock at a discount through accumulated contributions of their earned compensation. AVROBIO currently operates its 2018 ESPP. Upon approval of the 2024 ESPP by stockholders, the 2018 ESPP will be terminated. While the 2024 ESPP will become effective the later of its approval by stockholders and the consummation of the merger, the first offering period will commence at a later date determined by the administrator of the 2024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2024 ESPP Will Allow the Combined Company to Effectively Recruit and Retain Key Talent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recommends that the AVROBIO stockholders approve the 2024 ESPP because it believes that it is important to the combined company’s ability to compete for talent. The 2024 ESPP may become a significant part of the combined company’s overall equity compensation strategy (especially with respect to the combined company’s nonexecutive employees). If the AVROBIO stockholders do not approve the 2024 ESPP, the combined company may not be able to offer competitive compensation to existing employees and qualified candidates, which could prevent it from successfully attracting and retaining highly skilled employees. The AVROBIO Board believes that the 2024 ESPP will be an important factor in attracting, motivating, and retaining qualified personnel who are essential to the combined company’s success. The 2024 ESPP provides a significant incentive by allowing employees to purchase shares of the combined company’s common stock at a discount.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2024 ESPP’s effectiveness, offering periods will not commence under the 2024 ESPP until determined by the combined company’s board of directors or its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 Reserve and Annual Increase Will Meet the Combined Company Equity Needs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is asking the AVROBIO stockholders to approve an initial share reserve of shares for the 2024 ESPP. Additionally, the 2024 ESPP provides for an annual increase in the number of shares reserved for insurance under the 2024 ESPP on the first day of each fiscal year beginning for the fiscal year following the fiscal year in which the first enrollment date under the 2024 ESPP (if any) occurs, in an amount equal to the least of (i) shares of the combined company’s common stock, (ii) 1% of the outstanding shares of common stock on the last day of the immediately preceding fiscal year, or (iii) an amount determined by the administrator.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2024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features of the 2024 ESPP and its operation. This summary does not contain all of the terms and conditions of the 2024 ESPP and is qualified in its entirety by reference to the 2024 ESPP as set forth in </w:t>
      </w:r>
      <w:r>
        <w:rPr>
          <w:rFonts w:ascii="Times New Roman" w:hAnsi="Times New Roman"/>
          <w:sz w:val="20"/>
          <w:u w:val="single"/>
        </w:rPr>
        <w:t>Annex J</w:t>
      </w:r>
      <w:r>
        <w:rPr>
          <w:rFonts w:ascii="Times New Roman" w:hAnsi="Times New Roman"/>
          <w:sz w:val="20"/>
        </w:rPr>
        <w:t xml:space="preserve"> attached 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Purpose</w:t>
      </w:r>
      <w:r>
        <w:rPr>
          <w:rFonts w:ascii="Times New Roman" w:hAnsi="Times New Roman"/>
          <w:sz w:val="20"/>
        </w:rPr>
        <w:t xml:space="preserve">. The purpose of the 2024 ESPP is to provide eligible employees with an opportunity to purchase shares of the combined company’s common stock through accumulated contributions. The 2024 ESPP will be designed to allow eligible U.S. employees to purchase combined company common stock in a manner that may qualify for favorable tax treatment under Section 423 of the Code.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Following the merger, the 2024 ESPP will authorize the issuance of a number of shares of combined company common stock equal to 1% of the total number of shares of combined company common stock issued and outstanding determined as of immediately after the effective time (the “2024 ESPP’s initial share reserve”), pursuant to purchase rights granted to the combined company’s employees or to employees of any of the combined company’s designated affiliates. The number of shares of combined company common stock reserved for issuance will automatically increase on January 1 of each year, from January 1, 2025 through and including January 1, 2034, by the lesser of (1) 1% of the total number of shares of combined company common stock outstanding on the last day of the preceding calendar year, and (2) a number of shares of combined company common stock equal to three times the 2024 ESPP’s initial share reserve; </w:t>
      </w:r>
      <w:r>
        <w:rPr>
          <w:rFonts w:ascii="Times New Roman" w:hAnsi="Times New Roman"/>
          <w:i/>
          <w:sz w:val="20"/>
        </w:rPr>
        <w:t>provided</w:t>
      </w:r>
      <w:r>
        <w:rPr>
          <w:rFonts w:ascii="Times New Roman" w:hAnsi="Times New Roman"/>
          <w:sz w:val="20"/>
        </w:rPr>
        <w:t xml:space="preserve">, that prior to the date of any such increase, the combined company’s board of directors may determine that such increase will be less than the amount set forth in clauses (1) and (2).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combined company’s board of directors intends to delegate concurrent authority to administer the 2024 ESPP to the combined company’s compensation committee. The 2024 ESPP is implemented through a series of offerings under which eligible employees are granted rights to purchase shares of combined company common stock on specified dates during such offerings. Under the 2024 ESPP, the combined company may specify offerings with durations of not more than 27 months, and may specify shorter purchase periods within each offering. Each offering will have one or more purchase dates on which shares of combined company common stock will be purchased for employees participating in the offering. An offering under the 2024 ESPP may be terminated under certain circumstances. </w:t>
      </w:r>
    </w:p>
    <w:p>
      <w:pPr>
        <w:pStyle w:val="TextBody"/>
        <w:bidi w:val="0"/>
        <w:spacing w:before="240" w:after="0"/>
        <w:jc w:val="left"/>
        <w:rPr>
          <w:rFonts w:ascii="Times New Roman" w:hAnsi="Times New Roman"/>
          <w:sz w:val="20"/>
        </w:rPr>
      </w:pPr>
      <w:r>
        <w:rPr>
          <w:rFonts w:ascii="Times New Roman" w:hAnsi="Times New Roman"/>
          <w:i/>
          <w:sz w:val="20"/>
        </w:rPr>
        <w:t>Payroll Deductions</w:t>
      </w:r>
      <w:r>
        <w:rPr>
          <w:rFonts w:ascii="Times New Roman" w:hAnsi="Times New Roman"/>
          <w:sz w:val="20"/>
        </w:rPr>
        <w:t xml:space="preserve">. Generally, all regular employees, including executive officers, employed by the combined company or by any of the combined company’s designated affiliates, may participate in the 2024 ESPP and may contribute, normally through payroll deductions, up to a specified percentage of their earnings (as set forth in, and as defined in, the offering memorandum the combined company’s board of directors or compensation committee may adopt from time to time with respect to offerings under the 2024 ESPP) for the purchase of shares of combined company common stock under the 2024 ESPP. Unless otherwise determined by the combined company’s board of directors, shares of combined company common stock will be purchased for the accounts of employees participating in the 2024 ESPP at a price per share equal to the lower of (a) 85% of the fair market value of a share of combined company common stock on the first trading date of an offering or (b) 85% of the fair market value of a share of combined company common stock on the date of purchase. </w:t>
      </w:r>
    </w:p>
    <w:p>
      <w:pPr>
        <w:pStyle w:val="TextBody"/>
        <w:bidi w:val="0"/>
        <w:spacing w:before="240" w:after="0"/>
        <w:jc w:val="left"/>
        <w:rPr>
          <w:rFonts w:ascii="Times New Roman" w:hAnsi="Times New Roman"/>
          <w:sz w:val="20"/>
        </w:rPr>
      </w:pPr>
      <w:r>
        <w:rPr>
          <w:rFonts w:ascii="Times New Roman" w:hAnsi="Times New Roman"/>
          <w:i/>
          <w:sz w:val="20"/>
        </w:rPr>
        <w:t>Limitations</w:t>
      </w:r>
      <w:r>
        <w:rPr>
          <w:rFonts w:ascii="Times New Roman" w:hAnsi="Times New Roman"/>
          <w:sz w:val="20"/>
        </w:rPr>
        <w:t xml:space="preserve">. Employees may have to satisfy one or more of the following service requirements before participating in the 2024 ESPP, as determined by the combined company’s board of directors, including: (1) being customarily employed for more than 20 hours per week; (2) being customarily employed for more than 5 months per calendar year; or (3) continuous employment with the combined company or one of the combined company’s affiliates for a period of time (not to exceed two years). No employee may purchase shares under the 2024 ESPP at a rate in excess of $25,000 worth of combined company common stock based on the fair market value per share of combined company common stock at the beginning of an offering for each year such a purchase right is outstanding. Finally, no employee will be eligible for the grant of any purchase rights under the 2024 ESPP if immediately after such rights are granted, such employee has voting power over 5% or more of the combined company’s outstanding capital stock measured by vote or value pursuant to Section 424(d) of the Code.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occurs a change in the combined company’s capital structure through such actions as a stock split, merger, consolidation, reorganization, recapitalization, reincorporation, stock dividend, dividend in property other than cash, large nonrecurring cash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liquidating dividend, combination of shares, exchange of shares, change in corporate structure or similar transaction, the combined company’s board of directors will make appropriate adjustments to (1) the number of shares reserved under the 2024 ESPP, (2) the maximum number of shares by which the share reserve may increase automatically each year, (3) the number of shares and purchase price of all outstanding purchase rights and (4) the number of shares that are subject to purchase limits under ongoing offerings.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a corporate transaction (as defined in the 2024 ESPP), any then-outstanding rights to purchase combined company stock under the 2024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combined company common stock within 10 business days prior to such corporate transaction, and such purchase rights will terminate immediately after such purchase.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ESPP, a corporate transaction is generally the consummation of: (1) a sale of all or substantially all of the combined company’s assets; (2) the sale or disposition of more than 50% of the combined company’s outstanding securities; (3) a merger or consolidation where the combined company does not survive the transaction; and (4) a merger or consolidation where the combined company does survive the transaction but the shares of combined company common stock outstanding immediately before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2024 ESPP Amendments, Termination</w:t>
      </w:r>
      <w:r>
        <w:rPr>
          <w:rFonts w:ascii="Times New Roman" w:hAnsi="Times New Roman"/>
          <w:sz w:val="20"/>
        </w:rPr>
        <w:t xml:space="preserve">. The combined company’s board of directors has the authority to amend or terminate the 2024 ESPP, provided that except in certain circumstances such amendment or termination may not materially impair any outstanding purchase rights without the holder’s consent. The combined company will obtain stockholder approval of any amendment to the 2024 ESPP, as required by applicable law or listing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material U.S. federal income tax consequences of participation in the 2024 ESPP.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to which the participant may be subject. As a result, tax consequences for any particular participant may vary based on individual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2024 ESPP is intended to qualify as an employee stock purchase plan within the meaning of Section 423 of the Code. Under an employee stock purchase plan that so qualifies, no taxable income will be recognized by a participant, and no deductions will be allowable to the combined company, upon either the grant or the exercise of the purchase rights. Taxable income will not be recognized until there is a sale or other disposition of the shares of common stock acquired under the 2024 ESPP or in the event of the participant’s death while still owning the purchased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purchased shares of common stock within two years after the start date of the offering period in which the shares of common stock were acquired or within one year after the actual purchase date of those shares of common stock, then the participant generally will recognize ordinary income in the year of sale or disposition equal to the amount by which the fair market value of the shares of common stock on the purchase date exceeded the purchase price paid for those shares of common stock, and the combined company will be entitled to an income tax deduction equal in amount to such excess, for the taxable year in which such disposition occurs. The amount of this ordinary income will be added to the participant’s basis in the shares of common stock, and any resulting gain or loss recognized upon the sale or disposition will be a capital gain or loss. If the shares of common stock have been held for more than one year since the date of purchase, the gain or loss will be long-term.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participant sells or disposes of the purchased shares of common stock more than two years after the start date of the offering period in which the shares of the combined company’s common stock were acquired and more than one year after the actual purchase date of those shares of common stock, then the participant generally will recognize ordinary income in the year of sale or disposition equal to the lesser of (a) the amount by which the fair market value of the shares of common stock on the sale or disposition date exceeded the purchase price paid for those shares of common stock, or (b) 15% of the fair market value of the shares of common stock on the start date of that offering period. Any additional gain upon the disposition will be taxed as a long-term capital gain. Alternatively, if the fair market value of the shares of common stock on the date of the sale or disposition is less than the purchase price, there will be no ordinary income and any loss recognized will be a long-term capital loss. The combined company will not be entitled to an income tax deduction with respect to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 participant’s annual “net investment income,” as defined in Section 1411 of the Code, may be subject to a 3.8% U.S. federal surtax. Net investment income may include capital gain and/or loss arising from the disposition of shares of common stock purchased under the 2024 ESPP. Whether a participant’s net investment income will be subject to this surtax will depend on the participant’s level of annual income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still owns the purchased shares of common stock at the time of death, the lesser of (i) the amount by which the fair market value of the shares of common stock on the date of death exceeds the purchase price or (ii) 15% of the fair market value of the shares of common stock on the start date of the offering period in which those shares of common stock were acquired will constitute ordinary income in the year of death.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Because participation in the 2024 ESPP is voluntary, the benefits or amounts that will be received by or allocated to any individual or group of individuals under the 2024 ESPP in the future are not determinable and no awards have been granted that are contingent on stockholder approval of the 2024 ESPP.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ESPP Proposal. Abstentions and broker non-votes, if any, will have no effect on the ESPP Proposal. </w:t>
      </w:r>
    </w:p>
    <w:p>
      <w:pPr>
        <w:pStyle w:val="TextBody"/>
        <w:bidi w:val="0"/>
        <w:spacing w:before="240" w:after="0"/>
        <w:jc w:val="left"/>
        <w:rPr>
          <w:rFonts w:ascii="Times New Roman" w:hAnsi="Times New Roman"/>
          <w:sz w:val="20"/>
        </w:rPr>
      </w:pPr>
      <w:r>
        <w:rPr>
          <w:rFonts w:ascii="Times New Roman" w:hAnsi="Times New Roman"/>
          <w:sz w:val="20"/>
        </w:rPr>
        <w:t xml:space="preserve">The ESPP Proposal is conditioned on the approval of the Nasdaq Stock Issuance Proposal. Therefore, if approval of the merger is not obtained, the ESPP Proposal will have no effect, even if approved by AVROBIO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ESPP PROPOSAL. </w:t>
      </w:r>
    </w:p>
    <w:p>
      <w:pPr>
        <w:pStyle w:val="TextBody"/>
        <w:bidi w:val="0"/>
        <w:spacing w:before="240" w:after="0"/>
        <w:jc w:val="left"/>
        <w:rPr>
          <w:rFonts w:ascii="Times New Roman" w:hAnsi="Times New Roman"/>
          <w:sz w:val="20"/>
        </w:rPr>
      </w:pPr>
      <w:r>
        <w:rPr>
          <w:rFonts w:ascii="Times New Roman" w:hAnsi="Times New Roman"/>
          <w:sz w:val="20"/>
        </w:rPr>
        <w:t>When you consider the recommendation of the AVROBIO Board in favor of approval of the 2024 ESPP, you should keep in mind that certain of AVROBIO’s directors and officers have interests in the 2024 ESPP that are different from, in addition to, or in conflict with, your interests as a stockholder, including, among other things, the existence of financial and personal interests, which may result in a conflict of interest on the part of such director(s) between what he, she or they may believe is in the best interests of AVROBIO and its stockholders and what he, she or they may believe is best for himself, herself or themselves in determining to recommend that stockholders vote for the proposals. In addition, AVROBIO’s officers have interests in the merger that may conflict with your interests as a stockholder. See the section titled “</w:t>
      </w:r>
      <w:r>
        <w:rPr>
          <w:rFonts w:ascii="Times New Roman" w:hAnsi="Times New Roman"/>
          <w:i/>
          <w:sz w:val="20"/>
        </w:rPr>
        <w:t>The Merger—Interests of AVROBIO’s Directors and Executive Officers in the Merger</w:t>
      </w:r>
      <w:r>
        <w:rPr>
          <w:rFonts w:ascii="Times New Roman" w:hAnsi="Times New Roman"/>
          <w:sz w:val="20"/>
        </w:rPr>
        <w:t xml:space="preserve">” beginning on page 221 of this proxy statement/prospectus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0" w:name="toc770053_114"/>
      <w:bookmarkEnd w:id="110"/>
      <w:r>
        <w:rPr>
          <w:rFonts w:ascii="Times New Roman" w:hAnsi="Times New Roman"/>
          <w:b/>
          <w:sz w:val="20"/>
        </w:rPr>
        <w:t xml:space="preserve">PROPOSAL NO. 6—EXECUTIVE COMPENSATION ARRANGEMENTS PROPOSAL </w:t>
      </w:r>
    </w:p>
    <w:p>
      <w:pPr>
        <w:pStyle w:val="TextBody"/>
        <w:bidi w:val="0"/>
        <w:spacing w:before="240" w:after="0"/>
        <w:jc w:val="left"/>
        <w:rPr>
          <w:rFonts w:ascii="Times New Roman" w:hAnsi="Times New Roman"/>
          <w:sz w:val="20"/>
        </w:rPr>
      </w:pPr>
      <w:r>
        <w:rPr>
          <w:rFonts w:ascii="Times New Roman" w:hAnsi="Times New Roman"/>
          <w:sz w:val="20"/>
        </w:rPr>
        <w:t>As required by Item 402(t) of Regulation S-K and Section 14A of the Exchange Act and Rule 14a-21(c) thereunder, AVROBIO is providing AVROBIO stockholders with the opportunity to vote, on a non-binding advisory basis, on the golden parachute compensation that may become payable to the AVROBIO named executive officers in connection with the merger, as disclosed pursuant to Item 402(t) of Regulation S-K in the section titled “</w:t>
      </w:r>
      <w:r>
        <w:rPr>
          <w:rFonts w:ascii="Times New Roman" w:hAnsi="Times New Roman"/>
          <w:i/>
          <w:sz w:val="20"/>
        </w:rPr>
        <w:t>Golden Parachute Compensation</w:t>
      </w:r>
      <w:r>
        <w:rPr>
          <w:rFonts w:ascii="Times New Roman" w:hAnsi="Times New Roman"/>
          <w:sz w:val="20"/>
        </w:rPr>
        <w:t xml:space="preserve">” in this proxy statement/prospectus/information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AVROBIO believes that the information regarding golden parachute compensation that may become payable to its named executive officers in connection with the merger is reasonable and demonstrates that AVROBIO’s executive compensation program was designed appropriately and structured to ensure the retention of talented executives and a strong alignment of the long-term interests of AVROBIO stockholders. Accordingly, AVROBIO is seeking approval of the following resolution at the special meeting: </w:t>
      </w:r>
    </w:p>
    <w:p>
      <w:pPr>
        <w:pStyle w:val="TextBody"/>
        <w:bidi w:val="0"/>
        <w:spacing w:before="120" w:after="0"/>
        <w:jc w:val="left"/>
        <w:rPr/>
      </w:pPr>
      <w:r>
        <w:rPr/>
        <w:t>“</w:t>
      </w:r>
      <w:r>
        <w:rPr>
          <w:rFonts w:ascii="Times New Roman" w:hAnsi="Times New Roman"/>
          <w:sz w:val="20"/>
        </w:rPr>
        <w:t>RESOLVED, that the stockholders of AVROBIO, Inc. approve, on a nonbinding, advisory basis, the compensation that will or may become payable by AVROBIO to its named executive officers that is based on or otherwise relates to the transactions as disclosed pursuant to Item 402(t) of Regulation S-K in the section titled “</w:t>
      </w:r>
      <w:r>
        <w:rPr>
          <w:rFonts w:ascii="Times New Roman" w:hAnsi="Times New Roman"/>
          <w:i/>
          <w:sz w:val="20"/>
        </w:rPr>
        <w:t>Golden Parachute Compensation.”</w:t>
      </w:r>
    </w:p>
    <w:p>
      <w:pPr>
        <w:pStyle w:val="TextBody"/>
        <w:bidi w:val="0"/>
        <w:spacing w:before="240" w:after="0"/>
        <w:jc w:val="left"/>
        <w:rPr>
          <w:rFonts w:ascii="Times New Roman" w:hAnsi="Times New Roman"/>
          <w:sz w:val="20"/>
        </w:rPr>
      </w:pPr>
      <w:r>
        <w:rPr>
          <w:rFonts w:ascii="Times New Roman" w:hAnsi="Times New Roman"/>
          <w:sz w:val="20"/>
        </w:rPr>
        <w:t>Stockholders of AVROBIO should note that this proposal is not a condition to the completion of the merger, and as an advisory vote, the result will not be binding on AVROBIO, the AVROBIO Board or the named executive officers. Further, the underlying employment agreements, equity awards and other arrangements are contractual in nature and not, by their terms, subject to stockholder approval. Accordingly, regardless of the outcome of the advisory vote, the named executive officers will be eligible to receive the compensation that is based on or otherwise relates to the merger in accordance with the terms and conditions applicable to the underlying employment agreements, equity awards and other arrangements AVROBIO entered into with these named executive officers, as described in the section titled “</w:t>
      </w:r>
      <w:r>
        <w:rPr>
          <w:rFonts w:ascii="Times New Roman" w:hAnsi="Times New Roman"/>
          <w:i/>
          <w:sz w:val="20"/>
        </w:rPr>
        <w:t>Golden Parachute Compensation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Executive Compensation Arrangements Proposal on a non-binding advisory basis Abstentions and broker non-votes, if any, will have no effect on the Executive Compensation Arrangements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EXECUTIVE COMPENSATION ARRANGEMENTS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1" w:name="toc770053_115"/>
      <w:bookmarkEnd w:id="111"/>
      <w:r>
        <w:rPr>
          <w:rFonts w:ascii="Times New Roman" w:hAnsi="Times New Roman"/>
          <w:b/>
          <w:sz w:val="20"/>
        </w:rPr>
        <w:t xml:space="preserve">PROPOSAL NO. 7—THE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If AVROBIO fails to receive a sufficient number of votes to approve the Nasdaq Stock Issuance Proposal and/or the Reverse Stock Split Proposal, AVROBIO may propose to adjourn the special meeting, for a period of not more than 60 days, for the purpose of soliciting additional proxies to approve the Nasdaq Stock Issuance Proposal and/or the Reverse Stock Split Proposal. AVROBIO currently does not intend to propose adjournment at the special meeting if there are sufficient votes to approve the Nasdaq Stock Issuance Proposal and/or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special meeting, under AVROBIO’s bylaws, the chair of the special meeting will have the power to adjourn the Special Meeting until a quorum is present or represented.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Adjournment Proposal. Abstentions and broker non-votes, if any, will have no effect on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Adjournment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ADJOURNMENT PROPOSAL,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2" w:name="toc770053_116"/>
      <w:bookmarkEnd w:id="112"/>
      <w:r>
        <w:rPr>
          <w:rFonts w:ascii="Times New Roman" w:hAnsi="Times New Roman"/>
          <w:b/>
          <w:sz w:val="20"/>
        </w:rPr>
        <w:t xml:space="preserve">AVROBIO’S BUSINESS </w:t>
      </w:r>
    </w:p>
    <w:p>
      <w:pPr>
        <w:pStyle w:val="TextBody"/>
        <w:bidi w:val="0"/>
        <w:spacing w:before="240" w:after="0"/>
        <w:jc w:val="left"/>
        <w:rPr>
          <w:rFonts w:ascii="Times New Roman" w:hAnsi="Times New Roman"/>
          <w:b/>
          <w:sz w:val="20"/>
        </w:rPr>
      </w:pPr>
      <w:bookmarkStart w:id="113" w:name="toc770053_117"/>
      <w:bookmarkEnd w:id="113"/>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AVROBIO is a gene therapy company with a purpose to free people from a lifetime of genetic disease. AVROBIO has been focused on developing potentially curative HSC gene therapies to treat patients with rare diseases following a single dose treatment regimen. The gene therapies AVROBIO had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ERTs.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following a comprehensive review of AVROBIO’s business by the AVROBIO Board, AVROBIO announced its intention to halt development of its programs and explore strategic alternatives focused on maximizing stockholder value, which may include, but is not limited to, an acquisition, a merger, business combination or divestiture.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rPr>
      </w:pPr>
      <w:r>
        <w:rPr>
          <w:rFonts w:ascii="Times New Roman" w:hAnsi="Times New Roman"/>
          <w:sz w:val="20"/>
        </w:rPr>
        <w:t xml:space="preserve">After a comprehensive review of strategic alternatives, including identifying and reviewing potential candidates for a strategic transaction, on January 30, 2024, AVROBIO entered into the Merger Agreement, with Merger Sub and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as part of the private financings, certain investors have agreed to purchase shares of Tectonic common stock at a purchase price of $12.39908 per share, subject to and immediately prior to the closing of the merger, pursuant to the terms of the Subscription Agreement, and certain investors have consummated or will consummate certain additional purchases of Tectonic common stock pursuant to the conversion of the Company SAFEs entered into by such investors and Tectonic, for an aggregate purchase price among the private financings contemplated by the Subscription Agreement and such Company SAFEs of approximately $130.7 million. At the effective time of the merger, each share of then-outstanding Tectonic common stock will be converted into the right to receive a number of shares of AVROBIO common stock, equal to the exchange ratio as set forth in the Merger Agreement. Concurrently with the closing of the merger, and assuming approval by AVROBIO stockholders, AVROBIO anticipates effecting a reverse stock split at a ratio in the range between 1:3 to 1:30, inclusive. Additionally, at or prior to the effective time of the merger, AVROBIO and a rights agent will enter into a CVR Agreement, pursuant to which AVROBIO stockholders of record as of immediately prior to such effective time (including holders of AVROBIO common stock issued upon settlement of the AVROBIO RSUs) will receive one non-transferable CVR for each outstanding share of AVROBIO common stock held by such stockholder on such date.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common stock to be issued in connection with the proposed merger. The closings of the private financings are conditioned upon the satisfaction or waiver of the conditions to the closing of the merger as well as certain other conditions. The closing of the merger is conditioned upon the satisfaction or waiver of the receipt of cash proceeds not less than $114.5 million in connection with the consummation of the transactions contemplated by the private financings. If the transactions are completed, the business of Tectonic will continue as the business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 </w:t>
      </w:r>
    </w:p>
    <w:p>
      <w:pPr>
        <w:pStyle w:val="TextBody"/>
        <w:bidi w:val="0"/>
        <w:spacing w:before="360" w:after="0"/>
        <w:jc w:val="left"/>
        <w:rPr>
          <w:rFonts w:ascii="Times New Roman" w:hAnsi="Times New Roman"/>
          <w:b/>
          <w:sz w:val="20"/>
        </w:rPr>
      </w:pPr>
      <w:bookmarkStart w:id="114" w:name="toc770053_118"/>
      <w:bookmarkEnd w:id="114"/>
      <w:r>
        <w:rPr>
          <w:rFonts w:ascii="Times New Roman" w:hAnsi="Times New Roman"/>
          <w:b/>
          <w:sz w:val="20"/>
        </w:rPr>
        <w:t xml:space="preserve">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AVROBIO’s pipeline included three HSC gene therapy programs, none of which are in active clinical development, each targeting rare lysosomal disorders: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rPr>
      </w:pPr>
      <w:r>
        <w:rPr>
          <w:rFonts w:ascii="Times New Roman" w:hAnsi="Times New Roman"/>
          <w:sz w:val="20"/>
        </w:rPr>
        <w:t xml:space="preserve">AVR-RD-02 has been studied for the treatment of Gaucher disease type 1 in an AVROBIO-sponsored Phase 1/2 clinical trial, which AVROBIO refers to as the Guard1 clinical trial. Five patients were dosed in the Guard1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AVR-RD-01 was AVROBIO’s investigational gene therapy program for Fabry disease, which was deprioritized in January 2022. This decision was made due to several factors, including new clinical data showing variable engraftment patterns from the five most recently dosed patients in AVROBIO’s Phase 2 clinical trial of AVR-RD-01 for the treatment of Fabry disease, which AVROBIO refers to as its FAB-GT clinical trial. The emergence of such new data would have significantly extended the program’s development timeline. That development, coupled with an increasingly challenging market and regulatory environment for Fabry disease, were among the primary factors leading to AVROBIO’s deprioritization of its Fabry program. As a result of the deprioritization, AVROBIO stopped enrollment of its FAB-GT clinical trial and focused on its other pipeline programs. A total of 14 patients had been dosed in AVROBIO’s Fabry program, including nine patients in AVROBIO’s FAB-GT clinical trial and five patients in a collaborator-sponsored Phase 1 clinical study of AVR-RD-01 for Fabry disease. </w:t>
      </w:r>
    </w:p>
    <w:p>
      <w:pPr>
        <w:pStyle w:val="TextBody"/>
        <w:bidi w:val="0"/>
        <w:spacing w:before="240" w:after="0"/>
        <w:jc w:val="left"/>
        <w:rPr>
          <w:rFonts w:ascii="Times New Roman" w:hAnsi="Times New Roman"/>
          <w:sz w:val="20"/>
        </w:rPr>
      </w:pPr>
      <w:r>
        <w:rPr>
          <w:rFonts w:ascii="Times New Roman" w:hAnsi="Times New Roman"/>
          <w:sz w:val="20"/>
        </w:rPr>
        <w:t xml:space="preserve">Resumption of the development of these product candidates, if that were to occur, would require the expenditure of significant resources to advance these candidates. Thereafter, if development of such product candidates were to be resumed and successfully advanced (of which there can be no assurance), it would be necessary to seek and obtain marketing approval to commercialize such product candidates, which could be expected to require the expenditure of significant additional resources and expenses related to regulatory, product sales, medical affairs, marketing, manufacturing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Tectonic will assume AVROBIO’s product candidates and related intellectual property rights as part of the merger. </w:t>
      </w:r>
    </w:p>
    <w:p>
      <w:pPr>
        <w:pStyle w:val="TextBody"/>
        <w:bidi w:val="0"/>
        <w:spacing w:before="360" w:after="0"/>
        <w:jc w:val="left"/>
        <w:rPr>
          <w:rFonts w:ascii="Times New Roman" w:hAnsi="Times New Roman"/>
          <w:b/>
          <w:sz w:val="20"/>
        </w:rPr>
      </w:pPr>
      <w:bookmarkStart w:id="115" w:name="toc770053_119"/>
      <w:bookmarkEnd w:id="115"/>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To support its HSC gene therapy programs, AVROBIO developed its plato® HSC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Six patients in AVROBIO’s FAB-GT clinical trial of AVR-RD-01, for which enrollment was halted, and five patients in AVROBIO’s Guard1 clinical trial of AVR-RD-02, were dosed with drug product manufactured utilizing the plato platform. </w:t>
      </w:r>
    </w:p>
    <w:p>
      <w:pPr>
        <w:pStyle w:val="TextBody"/>
        <w:bidi w:val="0"/>
        <w:spacing w:before="240" w:after="0"/>
        <w:jc w:val="left"/>
        <w:rPr>
          <w:rFonts w:ascii="Times New Roman" w:hAnsi="Times New Roman"/>
          <w:sz w:val="20"/>
        </w:rPr>
      </w:pPr>
      <w:r>
        <w:rPr>
          <w:rFonts w:ascii="Times New Roman" w:hAnsi="Times New Roman"/>
          <w:sz w:val="20"/>
        </w:rPr>
        <w:t xml:space="preserve">AVROBIO established manufacturing relationships that AVROBIO believes would provide AVROBIO with drug product manufacturing capabilities to support all aspects of the development and eventual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commercialization of AVROBIO’s gene therapies. AVROBIO’s team leveraged their broad expertise in the manufacturing of gene and cellular therapies to build a network of contract manufacturing organizations (“CMO”) partners for the development and manufacture of drug products and outsourced suppliers for the supply of vectors and plasmids. AVROBIO relies on sole source suppliers for drug product manufacturing, vector supply, plasmid supply and cell culture media. </w:t>
      </w:r>
    </w:p>
    <w:p>
      <w:pPr>
        <w:pStyle w:val="TextBody"/>
        <w:bidi w:val="0"/>
        <w:spacing w:before="240" w:after="0"/>
        <w:jc w:val="left"/>
        <w:rPr>
          <w:rFonts w:ascii="Times New Roman" w:hAnsi="Times New Roman"/>
          <w:sz w:val="20"/>
        </w:rPr>
      </w:pPr>
      <w:r>
        <w:rPr>
          <w:rFonts w:ascii="Times New Roman" w:hAnsi="Times New Roman"/>
          <w:sz w:val="20"/>
        </w:rPr>
        <w:t xml:space="preserve">To optimize production of AVROBIO’s gene therapies, AVROBIO moved cell processing to an automated, closed system using disposable supplies, believing this industrialized manufacturing process facilitated a repeatable approach through which AVROBIO could design and manufacture commercially viable HSC gene therapies to potentially treat a large variety of genetic disorders. </w:t>
      </w:r>
    </w:p>
    <w:p>
      <w:pPr>
        <w:pStyle w:val="TextBody"/>
        <w:bidi w:val="0"/>
        <w:spacing w:before="360" w:after="0"/>
        <w:jc w:val="left"/>
        <w:rPr>
          <w:rFonts w:ascii="Times New Roman" w:hAnsi="Times New Roman"/>
          <w:b/>
          <w:sz w:val="20"/>
        </w:rPr>
      </w:pPr>
      <w:bookmarkStart w:id="116" w:name="toc770053_120"/>
      <w:bookmarkEnd w:id="116"/>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AVROBIO’s industry is highly competitive and subject to rapid and significant technological change. Potential competitors for AVROBIO’s HSC gene therapy candidates include larger pharmaceutical, specialty pharmaceutical and biotechnology companies, as well as academic institutions, government agencies and private and public research institutions. Key competitive factors affecting the commercial success of AVROBIO’s gene therapies would likely include efficacy, safety and tolerability profile, reliability, convenience, price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treatment of lysosomal disorders is especially large and competitive. The gene therapies AVROBIO was developing, if approved, would have faced competition.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pharmaceutical and biotechnology industries may result in even more resources being concentrated among a small number of AVROBIO’s competitors. Accordingly, AVROBIO’s competitors may be more successful than AVROBIO would have been in obtaining approval by the FDA for drugs and achieving widespread market acceptance. AVROBIO’s competitors’ products may be more effective, or more effectively marketed and sold, than any product AVROBIO would have commercialized and may have rendered AVROBIO’s gene therapies obsolete or non-competitive before AVROBIO could recover the expenses of developing and commercializing any of AVROBIO’s gene therapies. AVROBIO’s competitors may also obtain FDA or other regulatory approval for their products more rapidly than AVROBIO may have obtained approval for its products. AVROBIO anticipates that biotechnology companies will face intense and increasing competition as new drugs enter the market and advanced technologies become available. Finally, the development of new treatment methods for the diseases targeted by AVROBIO’s gene therapies could render AVROBIO’s gene therapies non-competitive or obsolete. </w:t>
      </w:r>
    </w:p>
    <w:p>
      <w:pPr>
        <w:pStyle w:val="TextBody"/>
        <w:bidi w:val="0"/>
        <w:spacing w:before="360" w:after="0"/>
        <w:jc w:val="left"/>
        <w:rPr>
          <w:rFonts w:ascii="Times New Roman" w:hAnsi="Times New Roman"/>
          <w:b/>
          <w:sz w:val="20"/>
        </w:rPr>
      </w:pPr>
      <w:bookmarkStart w:id="117" w:name="toc770053_121"/>
      <w:bookmarkEnd w:id="117"/>
      <w:r>
        <w:rPr>
          <w:rFonts w:ascii="Times New Roman" w:hAnsi="Times New Roman"/>
          <w:b/>
          <w:sz w:val="20"/>
        </w:rPr>
        <w:t xml:space="preserve">Licenses and Collaborations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Agreement with Lund University Rights Holders </w:t>
      </w:r>
    </w:p>
    <w:p>
      <w:pPr>
        <w:pStyle w:val="TextBody"/>
        <w:bidi w:val="0"/>
        <w:spacing w:before="120" w:after="0"/>
        <w:jc w:val="left"/>
        <w:rPr>
          <w:rFonts w:ascii="Times New Roman" w:hAnsi="Times New Roman"/>
          <w:sz w:val="20"/>
        </w:rPr>
      </w:pPr>
      <w:r>
        <w:rPr>
          <w:rFonts w:ascii="Times New Roman" w:hAnsi="Times New Roman"/>
          <w:sz w:val="20"/>
        </w:rPr>
        <w:t xml:space="preserve">In January 2017, AVROBIO entered into an exclusive license agreement with Prof. Stefan Karlsson and Dr. Maria Dahl, affiliates of Lund University, pursuant to which Prof. Karlsson and Dr. Dahl, and certain other relevant rights holders that may have an interest in intellectual property generated under a research project AVROBIO funded with Lund University, granted to AVROBIO an exclusive worldwide license, subject to certain retained rights, under certain intellectual property rights to develop, commercialize and sell products in any and all uses relevant to Gaucher disease. Intellectual property licensed to AVROBIO under this agreement relates to AVROBIO’s Gaucher program.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 AVROBIO is required to make payments in connection with the achievement of certain milestones up to an aggregate of $0.55 million. </w:t>
      </w:r>
    </w:p>
    <w:p>
      <w:pPr>
        <w:pStyle w:val="TextBody"/>
        <w:bidi w:val="0"/>
        <w:spacing w:before="240" w:after="0"/>
        <w:jc w:val="left"/>
        <w:rPr>
          <w:rFonts w:ascii="Times New Roman" w:hAnsi="Times New Roman"/>
          <w:sz w:val="20"/>
        </w:rPr>
      </w:pPr>
      <w:r>
        <w:rPr>
          <w:rFonts w:ascii="Times New Roman" w:hAnsi="Times New Roman"/>
          <w:sz w:val="20"/>
        </w:rPr>
        <w:t xml:space="preserve">AVROBIO’s license agreement with the rights holders expires on the latest of (i) the twentieth anniversary of the end of a certain research project AVROBIO has funded pursuant to an agreement with Lund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expiration of the term of any patent filed on the licensed rights that covers a licensed product, (iii) the expiration of any applicable marketing exclusivity right and (iv) such time that neither AVROBIO nor any of AVROBIO’s sublicensees or partners or contractors are commercializing a licensed product. Either AVROBIO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 with BioMarin Pharmaceutical Inc. </w:t>
      </w:r>
    </w:p>
    <w:p>
      <w:pPr>
        <w:pStyle w:val="TextBody"/>
        <w:bidi w:val="0"/>
        <w:spacing w:before="120" w:after="0"/>
        <w:jc w:val="left"/>
        <w:rPr>
          <w:rFonts w:ascii="Times New Roman" w:hAnsi="Times New Roman"/>
          <w:sz w:val="20"/>
        </w:rPr>
      </w:pPr>
      <w:r>
        <w:rPr>
          <w:rFonts w:ascii="Times New Roman" w:hAnsi="Times New Roman"/>
          <w:sz w:val="20"/>
        </w:rPr>
        <w:t xml:space="preserve">In August 2017, AVROBIO entered into a license agreement with BioMarin pursuant to which BioMarin granted AVROBIO an exclusive worldwide license under certain intellectual property rights related to GILT tags owned or controlled by BioMarin to develop, commercialize and sell retroviridae-based gene therapy products for use in the treatment of Pompe disease. This agreement was amended in February 2018 and again in January 2020 to, among things, provide that BioMarin would supply AVROBIO with certain materials related to the GILT tags technology. Under the terms of the agreement, AVROBIO must use commercially reasonable efforts to develop and commercialize one or more licensed products in the United States and certain European countries. In addition, AVROBIO is required to initiate an IND-enabling pharmacology/toxicology study of a licensed product within a specified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 AVROBIO paid an initial license fee in the amount of $0.5 million and issued 233,765 shares of AVROBIO’s Series B preferred stock to BioMarin at the time of AVROBIO’s Series B financing. AVROBIO is also obligated to make payments to BioMarin upon achievement of certain milestones up to an aggregate of $13.0 million and pay to BioMarin a low single digit royalty percentage on net sales of licensed products covered by patent rights in a relevant country. AVROBIO’s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AVROBIO’s license agreement with BioMarin will expire upon the expiration of AVROBIO’s royalty obligation for all licensed products throughout the world. Either AVROBIO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AVROBIO or AVROBIO’s affiliates or sublicensees, or if AVROBIO, AVROBIO’s affiliates or sublicensees knowingly assist a third party in challenging or otherwise opposing the licensed patent rights, except as required under a court order or subpoena. In addition, BioMarin may terminate the agreement upon AVROBIO’s bankruptcy or insolvency. AVROBIO may terminate the agreement for any reason upon notice to BioMarin. </w:t>
      </w:r>
    </w:p>
    <w:p>
      <w:pPr>
        <w:pStyle w:val="TextBody"/>
        <w:bidi w:val="0"/>
        <w:spacing w:before="360" w:after="0"/>
        <w:jc w:val="left"/>
        <w:rPr>
          <w:rFonts w:ascii="Times New Roman" w:hAnsi="Times New Roman"/>
          <w:b/>
          <w:sz w:val="20"/>
        </w:rPr>
      </w:pPr>
      <w:bookmarkStart w:id="118" w:name="toc770053_122"/>
      <w:bookmarkEnd w:id="118"/>
      <w:r>
        <w:rPr>
          <w:rFonts w:ascii="Times New Roman" w:hAnsi="Times New Roman"/>
          <w:b/>
          <w:sz w:val="20"/>
        </w:rPr>
        <w:t xml:space="preserve">Governmental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biological products, including gene therapy products, are subject to regulation under the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AVROBIO may not be able to obtain the required regulatory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the FDA, the CBER regulates gene therapy products. The FDA and the NIH have published guidance documents with respect to the development and submission of gene therapy protocols. The FDA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 </w:t>
      </w:r>
    </w:p>
    <w:p>
      <w:pPr>
        <w:pStyle w:val="TextBody"/>
        <w:bidi w:val="0"/>
        <w:spacing w:before="240" w:after="0"/>
        <w:jc w:val="left"/>
        <w:rPr>
          <w:rFonts w:ascii="Times New Roman" w:hAnsi="Times New Roman"/>
          <w:sz w:val="20"/>
        </w:rPr>
      </w:pPr>
      <w:r>
        <w:rPr>
          <w:rFonts w:ascii="Times New Roman" w:hAnsi="Times New Roman"/>
          <w:sz w:val="20"/>
        </w:rPr>
        <w:t xml:space="preserve">Ethical, social and legal concerns about gene therapy, genetic testing and genetic research could result in additional regulations restricting or prohibiting the processes AVROBIO may use. Federal and state agencies, congressional committees and foreign governments have expressed interest in further regulating biotechnology. More restrictive regulations or claims that AVROBIO’s products are unsafe or pose a hazard could prevent AVROBIO from commercializing any products. New government requirements may be established that could delay or prevent regulatory approval of AVROBIO’s product candidates under development. It is impossible to predict whether legislative changes will be enacted, regulations, policies or guidance changed, or interpretations by agencies or courts changed, or what the impact of such changes, if any, may be.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Biological Products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The process required by the FDA before a biological product may be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laboratory tests and animal studies according to GLPs and applicable requirements for the humane use of laboratory animals or other applicable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application for an IND, which must become effective before human clinical studies may begin;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IRB or ethics committee at each clinical study site before each study may be initiated;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studies according to the FDA’s regulations commonly referred to as GCPs and any additional requirements for the protection of human research subjects and their health information, to establish the safety and efficacy of the proposed biological product for its intended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 BLA for marketing approval that includes substantive evidence of safety, purity, and potency from results of nonclinical testing and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and purity and, if applicable, the FDA’s current good tissue practices (“GTPs”) for the use of human cellular and tissue products;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audit of the nonclinical and clinical study sites that generated the data in support of the BLA;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for FDA review of the BLA (unless a fee waiver applies); and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6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or licensure, of the BLA.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In addition to the submission of an IND to the FDA before initiation of a clinical trial in the United States, certain human clinical trials involving recombinant or synthetic nucleic acid molecules are subject to oversight of institutional biosafety committees (“IBCs”) as set forth in the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w:t>
      </w:r>
    </w:p>
    <w:p>
      <w:pPr>
        <w:pStyle w:val="TextBody"/>
        <w:bidi w:val="0"/>
        <w:spacing w:before="240" w:after="0"/>
        <w:jc w:val="left"/>
        <w:rPr>
          <w:rFonts w:ascii="Times New Roman" w:hAnsi="Times New Roman"/>
          <w:sz w:val="20"/>
        </w:rPr>
      </w:pPr>
      <w:r>
        <w:rPr>
          <w:rFonts w:ascii="Times New Roman" w:hAnsi="Times New Roman"/>
          <w:sz w:val="20"/>
        </w:rPr>
        <w:t xml:space="preserve">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AVROBIO cannot be sure that submission of an IND will result in the FDA allowing clinical studies to begin, or that, once begun, issues will not arise that suspend or terminate such studies. </w:t>
      </w:r>
    </w:p>
    <w:p>
      <w:pPr>
        <w:pStyle w:val="TextBody"/>
        <w:bidi w:val="0"/>
        <w:spacing w:before="240" w:after="0"/>
        <w:jc w:val="left"/>
        <w:rPr>
          <w:rFonts w:ascii="Times New Roman" w:hAnsi="Times New Roman"/>
          <w:sz w:val="20"/>
        </w:rPr>
      </w:pPr>
      <w:r>
        <w:rPr>
          <w:rFonts w:ascii="Times New Roman" w:hAnsi="Times New Roman"/>
          <w:sz w:val="20"/>
        </w:rPr>
        <w:t xml:space="preserve">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w:t>
      </w:r>
    </w:p>
    <w:p>
      <w:pPr>
        <w:pStyle w:val="TextBody"/>
        <w:bidi w:val="0"/>
        <w:spacing w:before="240" w:after="0"/>
        <w:jc w:val="left"/>
        <w:rPr>
          <w:rFonts w:ascii="Times New Roman" w:hAnsi="Times New Roman"/>
          <w:sz w:val="20"/>
        </w:rPr>
      </w:pPr>
      <w:r>
        <w:rPr>
          <w:rFonts w:ascii="Times New Roman" w:hAnsi="Times New Roman"/>
          <w:sz w:val="20"/>
        </w:rPr>
        <w:t xml:space="preserve">Clinical studies typically are conducted in three sequential phases that may overlap or be combined: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The biological product is evaluated in a limited patient population to identify possible adverse effects and safety risks, to preliminarily evaluate the efficacy of the product for specific targeted diseases and to determine dosage tolerance, optimal dosage and dosing schedule.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approval and product labeling.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unless otherwise agreed by the FDA, observe subjects for potential gene therapy-related delayed adverse events for a 15-year period, including a minimum of five years of annual examinations followed by ten years of annual queries, either in person or by questionnaire, of study subjects. </w:t>
      </w:r>
    </w:p>
    <w:p>
      <w:pPr>
        <w:pStyle w:val="TextBody"/>
        <w:bidi w:val="0"/>
        <w:spacing w:before="240" w:after="0"/>
        <w:jc w:val="left"/>
        <w:rPr>
          <w:rFonts w:ascii="Times New Roman" w:hAnsi="Times New Roman"/>
          <w:sz w:val="20"/>
        </w:rPr>
      </w:pPr>
      <w:r>
        <w:rPr>
          <w:rFonts w:ascii="Times New Roman" w:hAnsi="Times New Roman"/>
          <w:sz w:val="20"/>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 </w:t>
      </w:r>
    </w:p>
    <w:p>
      <w:pPr>
        <w:pStyle w:val="TextBody"/>
        <w:bidi w:val="0"/>
        <w:spacing w:before="240" w:after="0"/>
        <w:jc w:val="left"/>
        <w:rPr>
          <w:rFonts w:ascii="Times New Roman" w:hAnsi="Times New Roman"/>
          <w:sz w:val="20"/>
        </w:rPr>
      </w:pPr>
      <w:r>
        <w:rPr>
          <w:rFonts w:ascii="Times New Roman" w:hAnsi="Times New Roman"/>
          <w:sz w:val="20"/>
        </w:rPr>
        <w:t xml:space="preserve">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U.S. Review and Approval Processes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 </w:t>
      </w:r>
    </w:p>
    <w:p>
      <w:pPr>
        <w:pStyle w:val="TextBody"/>
        <w:bidi w:val="0"/>
        <w:spacing w:before="240" w:after="0"/>
        <w:jc w:val="left"/>
        <w:rPr>
          <w:rFonts w:ascii="Times New Roman" w:hAnsi="Times New Roman"/>
          <w:sz w:val="20"/>
        </w:rPr>
      </w:pPr>
      <w:r>
        <w:rPr>
          <w:rFonts w:ascii="Times New Roman" w:hAnsi="Times New Roman"/>
          <w:sz w:val="20"/>
        </w:rPr>
        <w:t xml:space="preserve">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GTPs. These are FDA regulations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AVROBIO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 </w:t>
      </w:r>
    </w:p>
    <w:p>
      <w:pPr>
        <w:pStyle w:val="TextBody"/>
        <w:bidi w:val="0"/>
        <w:spacing w:before="240" w:after="0"/>
        <w:jc w:val="left"/>
        <w:rPr>
          <w:rFonts w:ascii="Times New Roman" w:hAnsi="Times New Roman"/>
          <w:sz w:val="20"/>
        </w:rPr>
      </w:pPr>
      <w:r>
        <w:rPr>
          <w:rFonts w:ascii="Times New Roman" w:hAnsi="Times New Roman"/>
          <w:sz w:val="20"/>
        </w:rPr>
        <w:t xml:space="preserve">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Orphan Drug Designation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AVROBIO’s products for seven years if a competitor obtains approval of the same biological product as defined by the FDA or if AVROBIO’s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 </w:t>
      </w:r>
    </w:p>
    <w:p>
      <w:pPr>
        <w:pStyle w:val="TextBody"/>
        <w:bidi w:val="0"/>
        <w:spacing w:before="240" w:after="0"/>
        <w:jc w:val="left"/>
        <w:rPr>
          <w:rFonts w:ascii="Times New Roman" w:hAnsi="Times New Roman"/>
          <w:sz w:val="20"/>
        </w:rPr>
      </w:pPr>
      <w:r>
        <w:rPr>
          <w:rFonts w:ascii="Times New Roman" w:hAnsi="Times New Roman"/>
          <w:sz w:val="20"/>
        </w:rPr>
        <w:t xml:space="preserve">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 </w:t>
      </w:r>
    </w:p>
    <w:p>
      <w:pPr>
        <w:pStyle w:val="TextBody"/>
        <w:bidi w:val="0"/>
        <w:spacing w:before="240" w:after="0"/>
        <w:jc w:val="left"/>
        <w:rPr>
          <w:rFonts w:ascii="Times New Roman" w:hAnsi="Times New Roman"/>
          <w:sz w:val="20"/>
        </w:rPr>
      </w:pPr>
      <w:r>
        <w:rPr>
          <w:rFonts w:ascii="Times New Roman" w:hAnsi="Times New Roman"/>
          <w:sz w:val="20"/>
        </w:rPr>
        <w:t xml:space="preserve">Under the Food and Drug Omnibus Reform Act of 2022 (“FDORA”), a platform technology incorporated within or utilized by a biological product is eligible for designation as a designated platform technology if (1) the platform technology is incorporated in, or utilized by, a drug approved under a BLA; (2) preliminary evidence submitted by the sponsor of the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Designated platform technology status does not ensure that a drug will be developed more quickly or receive FDA approval. In addition, the FDA may revoke a designation if the FDA determines that a designated platform technology no longer meets the criteria for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Under the Food and Drug Omnibus Reform Act of 2022 (“FDORA”),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of publication within 120 days of marketing approval be submitted to the agency for review during the pre-approval review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Regenerative Medicine Advanced Therapies Designation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21st Century Cures Act, enacted in December 2016, Congress amended the FD&amp;C Act to facilitate an efficient development program for, and expedite review of RMATs, which include cell and gene therapies, therapeutic tissue engineering products, human cell and tissue products, and combination products using any such therapies or products. RMATs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the FDA designate a drug as a RMAT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the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the FDA’s other expedited development programs, RMAT designation does not change the standards for approval but may expedite the development or approval process.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AVROBIO has relied, and expects to continue to rely, should it resume development of its product candidates, on third parties for the production of clinical and commercial quantities of any products that AVROBIO may commercialize. Manufacturers of AVROBIO’s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AVROBIO also must, if it were to resume development of its product candidates,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AVROBIO. </w:t>
      </w:r>
    </w:p>
    <w:p>
      <w:pPr>
        <w:pStyle w:val="TextBody"/>
        <w:bidi w:val="0"/>
        <w:spacing w:before="240" w:after="0"/>
        <w:jc w:val="left"/>
        <w:rPr>
          <w:rFonts w:ascii="Times New Roman" w:hAnsi="Times New Roman"/>
          <w:sz w:val="20"/>
        </w:rPr>
      </w:pPr>
      <w:r>
        <w:rPr>
          <w:rFonts w:ascii="Times New Roman" w:hAnsi="Times New Roman"/>
          <w:sz w:val="20"/>
        </w:rPr>
        <w:t xml:space="preserve">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cGMPs and other laws. Manufacturers and other parties involved in the drug supply chain for prescription drug products must also comply with product tracking and tracing requirements and notify the FDA of counterfeit, diverted, stolen and intentionally adulterate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Patent Term Restoration and Marketing Exclusivity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the FDA approval of the use of AVROBIO’s product candidates, if AVROBIO were to resume development of its product candidates, some of AVROBIO’s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should AVROBIO resume development of its product candidates, AVROBIO may intend to apply for restoration of patent term for one of its patents, if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to add patent life beyond its current expiration date, depending on the expected length of the clinical studies and other factors involved in the filing of the relevant BLA. </w:t>
      </w:r>
    </w:p>
    <w:p>
      <w:pPr>
        <w:pStyle w:val="TextBody"/>
        <w:bidi w:val="0"/>
        <w:spacing w:before="240" w:after="0"/>
        <w:jc w:val="left"/>
        <w:rPr>
          <w:rFonts w:ascii="Times New Roman" w:hAnsi="Times New Roman"/>
          <w:sz w:val="20"/>
        </w:rPr>
      </w:pPr>
      <w:r>
        <w:rPr>
          <w:rFonts w:ascii="Times New Roman" w:hAnsi="Times New Roman"/>
          <w:sz w:val="20"/>
        </w:rPr>
        <w:t xml:space="preserve">A biological product can obtain pediatric market exclusivity in the United States.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 </w:t>
      </w:r>
    </w:p>
    <w:p>
      <w:pPr>
        <w:pStyle w:val="TextBody"/>
        <w:bidi w:val="0"/>
        <w:spacing w:before="240" w:after="0"/>
        <w:jc w:val="left"/>
        <w:rPr>
          <w:rFonts w:ascii="Times New Roman" w:hAnsi="Times New Roman"/>
          <w:sz w:val="20"/>
        </w:rPr>
      </w:pPr>
      <w:r>
        <w:rPr>
          <w:rFonts w:ascii="Times New Roman" w:hAnsi="Times New Roman"/>
          <w:sz w:val="20"/>
        </w:rPr>
        <w:t xml:space="preserve">The 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 </w:t>
      </w:r>
    </w:p>
    <w:p>
      <w:pPr>
        <w:pStyle w:val="TextBody"/>
        <w:bidi w:val="0"/>
        <w:spacing w:before="240" w:after="0"/>
        <w:jc w:val="left"/>
        <w:rPr>
          <w:rFonts w:ascii="Times New Roman" w:hAnsi="Times New Roman"/>
          <w:sz w:val="20"/>
        </w:rPr>
      </w:pPr>
      <w:r>
        <w:rPr>
          <w:rFonts w:ascii="Times New Roman" w:hAnsi="Times New Roman"/>
          <w:sz w:val="20"/>
        </w:rPr>
        <w:t xml:space="preserve">A reference biological product is granted four- and 12-year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 </w:t>
      </w:r>
    </w:p>
    <w:p>
      <w:pPr>
        <w:pStyle w:val="TextBody"/>
        <w:bidi w:val="0"/>
        <w:spacing w:before="240" w:after="0"/>
        <w:jc w:val="left"/>
        <w:rPr>
          <w:rFonts w:ascii="Times New Roman" w:hAnsi="Times New Roman"/>
          <w:sz w:val="20"/>
        </w:rPr>
      </w:pPr>
      <w:r>
        <w:rPr>
          <w:rFonts w:ascii="Times New Roman" w:hAnsi="Times New Roman"/>
          <w:sz w:val="20"/>
        </w:rPr>
        <w:t xml:space="preserve">The first biological product determined to be interchangeable with a branded reference product for any condition of use is also eligible for a period of exclusivity,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amongst multiple first interchangeable products, lasts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state and federal laws regarding environmental protection and hazardous substances, including the Occupational Safety and Health Act, the Resource Conservancy and Recovery Act and the Toxic Substances Control Act, affect AVROBIO’s business. These and other laws govern AVROBIO’s use, handling and disposal of various biological, chemical and radioactive substances used in, and wastes generated by, AVROBIO’s operations. If AVROBIO’s operations result in contamination of the environment or expose individuals to hazardous substances, AVROBIO could be liable for damages and governmental fines. AVROBIO believes that it is in material compliance with applicable environmental laws and that continued compliance therewith will not have a material adverse effect on AVROBIO’s business. AVROBIO cannot predict, however, how changes in these laws may affect its future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Foreign Corrupt Practices Act </w:t>
      </w:r>
    </w:p>
    <w:p>
      <w:pPr>
        <w:pStyle w:val="TextBody"/>
        <w:bidi w:val="0"/>
        <w:spacing w:before="120" w:after="0"/>
        <w:jc w:val="left"/>
        <w:rPr>
          <w:rFonts w:ascii="Times New Roman" w:hAnsi="Times New Roman"/>
          <w:sz w:val="20"/>
        </w:rPr>
      </w:pPr>
      <w:r>
        <w:rPr>
          <w:rFonts w:ascii="Times New Roman" w:hAnsi="Times New Roman"/>
          <w:sz w:val="20"/>
        </w:rPr>
        <w:t xml:space="preserve">The U.S. Foreign Corrupt Practices Act, to which AVROBIO is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AVROBIO obtains FDA approval for a product, AVROBIO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trial application much like the IND prior to the commencement of human clinical studies. In the European Union, for example, a CTA must be submitted for each clinical trial to each participating country’s national competent authority and an independent ethics committee, much like the FDA and an IRB, respectively. Under the Clinical Trials Regulation (EU) No 536/2014, which replaced the Clinical Trials Directive 2001/20/EC on January 31, 2022, a single application is now made through the Clinical Trials Information System (“CTIS”) for clinical trial authorization in up to 30 EU/EEA countries at the same time and with a single set of documentation. 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To obtain regulatory approval of a product in the European Union, AVROBIO must submit a marketing authorization application. The centralized procedure for obtaining a marketing authorization in the European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Union is mandatory for certain types of products, such as products produced by biotechnological processes,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A centralized marketing authorization is issued by the European Commission through the centralized procedure, based on the opinion of the Committee for Medicinal Products for Human Use (CHMP) of the EMA, and is valid throughout the entire territory of the European Union and in the additional Member States of the EEA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also provides opportunities for market exclusivity. For example, in the European Union, upon receiving a marketing authorization, innovative medicinal products approved on the basis of a complete and independent data package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Even if an innovative medicinal product gains the prescribed period of data exclusivity, another company could nevertheless also market another version of the product if such company obtained a marketing authorization based on an application with a complete and independent data package of pharmaceutical tests, preclinical tests and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is unlikely to generate sufficient return in the European Union to justify the necessary investment in its development;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during which a marketing authorization may not be granted in the European Union for a “similar medicinal product” to the authorized orphan product. A “similar medicinal product” is defined as a medicinal product containing a similar active substance or substances as contained in an authorized orphan medicinal product, and which is intended for the same therapeutic indication. </w:t>
      </w:r>
    </w:p>
    <w:p>
      <w:pPr>
        <w:pStyle w:val="TextBody"/>
        <w:bidi w:val="0"/>
        <w:spacing w:before="240" w:after="0"/>
        <w:jc w:val="left"/>
        <w:rPr>
          <w:rFonts w:ascii="Times New Roman" w:hAnsi="Times New Roman"/>
          <w:sz w:val="20"/>
        </w:rPr>
      </w:pPr>
      <w:r>
        <w:rPr>
          <w:rFonts w:ascii="Times New Roman" w:hAnsi="Times New Roman"/>
          <w:sz w:val="20"/>
        </w:rPr>
        <w:t xml:space="preserve">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medicinal product for the same indication as an authorized orphan product at any time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second applicant can establish that its product, although similar to the authorized orphan product, is safer, more effective or otherwise clinically superior;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authorization holder for the authorized orphan product consents to a second orphan medicinal product application;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bidi w:val="0"/>
        <w:jc w:val="left"/>
        <w:rPr/>
      </w:pPr>
      <w:r>
        <w:rPr/>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authorization holder for the authorized orphan product cannot supply enough orphan medicinal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The aforementioned European Union rules are generally applicable in the EEA. </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European Union law. </w:t>
      </w:r>
    </w:p>
    <w:p>
      <w:pPr>
        <w:pStyle w:val="TextBody"/>
        <w:bidi w:val="0"/>
        <w:spacing w:before="240" w:after="0"/>
        <w:jc w:val="left"/>
        <w:rPr>
          <w:rFonts w:ascii="Times New Roman" w:hAnsi="Times New Roman"/>
          <w:sz w:val="20"/>
        </w:rPr>
      </w:pPr>
      <w:r>
        <w:rPr>
          <w:rFonts w:ascii="Times New Roman" w:hAnsi="Times New Roman"/>
          <w:sz w:val="20"/>
        </w:rPr>
        <w:t xml:space="preserve">The UK officially withdrew from the European Union on January 31, 2020 and the European Union and the UK signed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currently continues to apply in Northern Ireland). The regulatory regime in Great Britain therefore aligns in many ways with current European Union regulations, however it is possible that these regimes will diverge more significantly in the future now that Great Britain’s regulatory system is independent from the European Union. For example, the UK has implemented the now repealed Clinical Trials Directive 2001/20/EC into national law through the Medicines for Human Use (Clinical Trials) Regulations 2004 (as amended). However the Medicines and Healthcare products Regulatory Agency, or MHRA, the UK’s medicines regulator, published details of its legislative proposals designed to improve and strengthen the UK clinical trials legislation on March 21, 2023. The legislative proposals were published in response to a consultation which ran from January 17, 2022 to March 14, 2022. The MHRA will now work with lawyers to draft such new legislation. Great Britain is no longer covered by the European Union’s procedures for the grant of marketing authorizations (Northern Ireland is covered by the centralized authorization procedure for the time being) and a separate marketing authorization is therefore required to market drugs in Great Britain. On January 1, 2024, a new international recognition framework was put in place by the MHRA, under which the MHRA may have regard to decisions on the approval of marketing authorizations made by the EMA and certain other regulators. The MHRA also has the power to have regard to marketing authorizations approved in EU Member States through decentralized or mutual recognition procedures with a view to more quickly granting a marketing authorization in the United Kingdom or Great Britain. </w:t>
      </w:r>
    </w:p>
    <w:p>
      <w:pPr>
        <w:pStyle w:val="TextBody"/>
        <w:bidi w:val="0"/>
        <w:spacing w:before="240" w:after="0"/>
        <w:jc w:val="left"/>
        <w:rPr>
          <w:rFonts w:ascii="Times New Roman" w:hAnsi="Times New Roman"/>
          <w:sz w:val="20"/>
        </w:rPr>
      </w:pPr>
      <w:r>
        <w:rPr>
          <w:rFonts w:ascii="Times New Roman" w:hAnsi="Times New Roman"/>
          <w:sz w:val="20"/>
        </w:rPr>
        <w:t xml:space="preserve">Since January 1, 2021, a separate process for orphan designation has applied in Great Britain. There is now no pre-marketing authorization orphan designation (as there is in the European Union) in Great Britain and the application for orphan designation will be reviewed by the MHRA at the time of a marketing authorization application for a UK or Great Britain marketing authorization. The criteria for orphan designation are the same as in the European Union, save that they apply to Great Britain only (e.g., there must be no satisfactory method of diagnosis, prevention or treatment of the condition concerned in Great Britain, as opposed to the European Union, and the prevalence of the condition must be no more than 5 in 10,000 persons in Great Britain).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European Union will enact legislative measures to enact it into law. On June 9, 2023, the MHRA announced that the medicines aspects of the Windsor Framework will apply from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GCPs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AVROBIO fails to comply with applicable foreign regulatory requirements, AVROBIO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FDA restrictions on the marketing of pharmaceutical products, AVROBIO may be subject to various federal and state laws targeting fraud and abuse in the healthcare industry. These laws may impact, among other things, AVROBIO’s business or financial arrangements and relationships through which AVROBIO markets, sells and distributes the gene therapies for which AVROBIO obtains approval. In addition, AVROBIO may be subject to patient privacy regulation by both the federal government and the states in which AVROBIO conducts its business. The laws that may affect AVROBIO’s ability to operate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HHS information related to payments or other transfers of value made to physicians (currently defined to include doctors, dentists, optometrists, podiatrists and chiropractors), certain other licensed health practitioners and teaching hospitals, as well as ownership and investment interests held by the physicians described above and their immediate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government price reporting laws, which require Tectonic to calculate and report complex pricing metrics in an accurate and timely manner to government programs;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AVROBIO is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state requirements and if AVROBIO fails to comply with an applicable state law requirement AVROBIO could be subject to penalties. Finally, there are state and foreign laws governing the privacy and security of health information, many of which differ from each other in significant ways and often are not preempted by HIPAA,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safe harbors available, it is possible that some of AVROBIO’s business activities could be subject to challenge under one or more of such laws. </w:t>
      </w:r>
    </w:p>
    <w:p>
      <w:pPr>
        <w:pStyle w:val="TextBody"/>
        <w:bidi w:val="0"/>
        <w:spacing w:before="240" w:after="0"/>
        <w:jc w:val="left"/>
        <w:rPr>
          <w:rFonts w:ascii="Times New Roman" w:hAnsi="Times New Roman"/>
          <w:sz w:val="20"/>
        </w:rPr>
      </w:pPr>
      <w:r>
        <w:rPr>
          <w:rFonts w:ascii="Times New Roman" w:hAnsi="Times New Roman"/>
          <w:sz w:val="20"/>
        </w:rPr>
        <w:t xml:space="preserve">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 </w:t>
      </w:r>
    </w:p>
    <w:p>
      <w:pPr>
        <w:pStyle w:val="TextBody"/>
        <w:bidi w:val="0"/>
        <w:spacing w:before="240" w:after="0"/>
        <w:jc w:val="left"/>
        <w:rPr>
          <w:rFonts w:ascii="Times New Roman" w:hAnsi="Times New Roman"/>
          <w:sz w:val="20"/>
        </w:rPr>
      </w:pPr>
      <w:r>
        <w:rPr>
          <w:rFonts w:ascii="Times New Roman" w:hAnsi="Times New Roman"/>
          <w:sz w:val="20"/>
        </w:rPr>
        <w:t xml:space="preserve">Law enforcement authorities are increasingly focused on enforcing fraud and abuse laws, and it is possible that some of AVROBIO’s practices may be challenged under these laws. Efforts to ensure that AVROBIO’s current and future business arrangements with third parties, and AVROBIO’s business generally, will comply with applicable healthcare laws and regulations will involve substantial costs. It is possible that governmental authorities will conclude that AVROBIO’s business practices, including AVROBIO’s arrangements with physicians and other healthcare providers, some of whom may receive stock options as compensation for services provided, may not comply with current or future statutes, regulations, agency guidance or case law involving applicable fraud and abuse or other healthcare laws and regulations. If any such actions are instituted against AVROBIO, and AVROBIO is not successful in defending itself or asserting AVROBIO’s rights, those actions could have a significant impact on AVROBIO’s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AVROBIO’s operations, any of which could adversely affect AVROBIO’s ability to operate AVROBIO’s business and AVROBIO’s results of operations. In addition, the approval and commercialization of any of AVROBIO’s gene therapies outside the United States will also likely subject AVROBIO to foreign equivalents of the healthcare laws mentioned above, among other foreign laws.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physicians or other healthcare providers or entities with whom AVROBIO does business are found to be not in compliance with applicable laws, they may be subject to criminal, civil or administrative sanctions, including exclusions from government funded healthcare programs, which may also adversely affect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Regulators globally are also imposing greater monetary fines for privacy violations. For example, non-compliance with the EU GDPR may result in monetary penalties of up to €20 million or 4% of worldwide revenue, whichever is higher.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and UK Personal Data Collection </w:t>
      </w:r>
    </w:p>
    <w:p>
      <w:pPr>
        <w:pStyle w:val="TextBody"/>
        <w:bidi w:val="0"/>
        <w:spacing w:before="120" w:after="0"/>
        <w:jc w:val="left"/>
        <w:rPr>
          <w:rFonts w:ascii="Times New Roman" w:hAnsi="Times New Roman"/>
          <w:sz w:val="20"/>
        </w:rPr>
      </w:pPr>
      <w:r>
        <w:rPr>
          <w:rFonts w:ascii="Times New Roman" w:hAnsi="Times New Roman"/>
          <w:sz w:val="20"/>
        </w:rPr>
        <w:t xml:space="preserve">The collection and use of personal data (including health data) in the European Economic Area (“EEA”) and United Kingdom (“UK”) is governed by the provisions of the EU General Data Protection Regulation (“EU GDPR”) with respect to the EEA and the UK General Data Protection Regulation and UK Data Protection Act 2018 with respect to the UK (“UK GDPR” and collectively with the EU GDPR referred to as the “GDPR,” unless specified otherwise). The GDPR applies to any company established in the EEA and UK, as well as to those outside the EEA and UK, if they collect and use personal data in connection with the offering of goods or services to individuals in the European Union or the monitoring of their behavior. The GDPR is wide-ranging in scope and imposes numerous requirements on companies that process personal data, including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ensuring a legal basis or condition applies to the to processing of personal data, stricter requirements relation to the processing of sensitive data (such as health data), providing information to individuals regarding data processing activities, where necessary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also imposes strict rules on the transfer of personal data outside of the EEA and UK to countries that do not ensure an adequate level of protection, like the United States in certain circumstances unless a valid GDPR transfer mechanism (for example, the European Commission approved Standard Contractual Clauses (the “SCCs”), and the UK IDTA has been put in place. Where relying on the SCCs /UK IDTA for data transfers, AVROBIO may also be required to carry out transfer impact assessments to assess whether the recipient is subject to local laws which allow public authority access to personal data. Further, the EU and United States have adopted its adequacy decision for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Non-compliance with the GDPR may result in enforcement action, including monetary penalties of up to €20 million (£ 17.5 million for the UK), or 4% of worldwide revenue, whichever is higher, and confers a private right of action on data subjects and consumer associations to lodge complaints with supervisory authorities, seek judicial remedies, and obtain compensation for damages resulting from violations of the GDPR. The GDPR, supplemental laws/regulations supplementing the GDPR and other changes in laws or regulations associated with the enhanced protection of certain types of personal data, such as healthcare data or other sensitive information, could greatly increase AVROBIO’s cost of providing AVROBIO’s products and services (including with respect to conducting clinical trial in the EEA and UK) or even prevent AVROBIO from offering certain services in jurisdictions that AVROBIO may operate in, should AVROBIO resume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Although the UK is regarded as a third country under the EU GDPR, the EEA and UK recognize one another as providing adequate protection under the EU GDPR and, therefore, transfers of personal data between the EEA and the UK remain unrestricted. The UK GDPR and EU GDPR are currently still closely aligned but operate independently from each other. The UK Government has introduced a Data Protection and Digital Information Bill into the UK legislative process to reform the UK data protection legal framework which may have an impact on the current alignment between the EU GDPR and UK GDPR if passed.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other third-party payors have attempted to control costs by limiting coverage and the amount of reimbursement for particular medical products. For example, in 2010, the ACA was enacted, which, among other things, increased the minimum Medicaid rebates owed by most manufacturers under the Medicaid Drug Rebate Program; extended the Medicaid Drug Rebate Program to utilization of prescriptions of individuals enrolled in Medicaid managed care plans; created a new Medicare Part D coverage gap discount program, in which manufacturers must agree to offer 70% point-of-sale discounts off negotiated prices of applicable brand drugs to eligible beneficiaries during their coverage gap period, as a condition for manufacturers’ outpatient drugs coverage under Medicare Part D; subjects drug manufacturers to annual fees based on pharmaceutical companies’ share of sales to federal healthcare programs; created a Patient Centered Outcomes Research Institute to oversee, identify priorities in and conduct comparative clinical effectiveness research, along with funding for such research; and established the Center for Medicare Innovation at Centers for Medicare &amp; Medicaid Services, or CMS, to test innovative payment and service delivery models to lower Medicare and Medicaid spending.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other legislative and regulatory changes have been proposed and adopted in the United States since the ACA was enacted: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Budget Control Act of 2011 and subsequent legislation, among other things, created measures for spending reductions by Congress that include aggregate reductions of Medicare payments to providers of 2% per fiscal year, which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 American Taxpayer Relief Act of 2012 further reduced Medicare payments to several types of providers and increased the statute of limitations period for the government to recover overpayment to providers from three to five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May 23, 2019, CMS published a final rule to allow Medicare Advantage Plans the option of using step therapy for Part B drugs beginning January 1, 2020.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The IRA includes several provisions that could impact AVROBIO’s business to varying degrees, should AVROBIO resume development of its product candidates,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AVROBIO’s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President Biden has issued multiple executive orders that have sought to reduce prescription drug costs. In February 2023, the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0"/>
        <w:jc w:val="left"/>
        <w:rPr>
          <w:rFonts w:ascii="Times New Roman" w:hAnsi="Times New Roman"/>
          <w:sz w:val="20"/>
        </w:rPr>
      </w:pPr>
      <w:r>
        <w:rPr>
          <w:rFonts w:ascii="Times New Roman" w:hAnsi="Times New Roman"/>
          <w:sz w:val="20"/>
        </w:rPr>
        <w:t xml:space="preserve">AVROBIO expects that additional foreign, federal and state healthcare reform measures will be adopted in the future, any of which could limit the amounts that foreign federal and state governments will pay for healthcare products and services, which could result in limited coverage and reimbursement and reduced demand for AVROBIO’s products, if approved, or additional pricing pressures, should AVROBIO resume development of its product candidates. </w:t>
      </w:r>
    </w:p>
    <w:p>
      <w:pPr>
        <w:pStyle w:val="TextBody"/>
        <w:bidi w:val="0"/>
        <w:spacing w:before="360" w:after="0"/>
        <w:jc w:val="left"/>
        <w:rPr>
          <w:rFonts w:ascii="Times New Roman" w:hAnsi="Times New Roman"/>
          <w:b/>
          <w:sz w:val="20"/>
        </w:rPr>
      </w:pPr>
      <w:bookmarkStart w:id="119" w:name="toc770053_123"/>
      <w:bookmarkEnd w:id="119"/>
      <w:r>
        <w:rPr>
          <w:rFonts w:ascii="Times New Roman" w:hAnsi="Times New Roman"/>
          <w:b/>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While there have been some HSC gene therapies that have obtained coverage and reimbursement, significant uncertainty exists as to the coverage and reimbursement status of any gene therapies for which AVROBIO obtains regulatory approval. In the United States and markets in other countries, sales of any gene therapies for which AVROBIO receives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AVROBIO’s gene therapies could reduce physician utilization of AVROBIO’s products once approved and have a material adverse effect on AVROBIO’s sales, results of operations and financial condition. Moreover, a payor’s decision to provide coverage for a product does not imply that an adequate reimbursement rate will be approved. Adequate third-party reimbursement may not be available to enable AVROBIO to maintain price levels sufficient to realize an appropriate return on AVROBIO’s investment in product development.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w:t>
      </w:r>
    </w:p>
    <w:p>
      <w:pPr>
        <w:pStyle w:val="TextBody"/>
        <w:bidi w:val="0"/>
        <w:spacing w:before="240" w:after="0"/>
        <w:jc w:val="left"/>
        <w:rPr>
          <w:rFonts w:ascii="Times New Roman" w:hAnsi="Times New Roman"/>
          <w:sz w:val="20"/>
        </w:rPr>
      </w:pPr>
      <w:r>
        <w:rPr>
          <w:rFonts w:ascii="Times New Roman" w:hAnsi="Times New Roman"/>
          <w:sz w:val="20"/>
        </w:rPr>
        <w:t xml:space="preserve">As a result, should AVROBIO resume development of its product candidates, the coverage determination process will require AVROBIO to provide scientific and clinical support for the use of AVROBIO’s products to each payor separately and will be a time-consuming process. In addition, many pharmaceutical manufacturers must calculate and report certain price reporting metrics to the government, such as average sales price, or ASP, and best price. Penalties may apply in some cases when such metrics are not submitted accurately and timely. </w:t>
      </w:r>
    </w:p>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 and examining the medical necessity and cost-effectiveness of medical products and services, in addition to their safety and efficacy. In order to obtain and maintain coverage and reimbursement for any product, AVROBIO may need to conduct expensive clinical trials in order to demonstrate the medical necessity and cost-effectiveness of such product, in addition to the costs required to obtain regulatory approvals. If third-party payors do not consider a product to be cost-effective compared to other available therapies, they may not cover the product as a benefit under their plans or, if they do, the level of payment may not be sufficient to allow a company to sell its products at a profit. Factors payors consider in determining reimbursement are based on whether the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bidi w:val="0"/>
        <w:jc w:val="left"/>
        <w:rPr/>
      </w:pPr>
      <w:r>
        <w:rPr/>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 </w:t>
      </w:r>
    </w:p>
    <w:p>
      <w:pPr>
        <w:pStyle w:val="TextBody"/>
        <w:bidi w:val="0"/>
        <w:spacing w:before="360" w:after="0"/>
        <w:jc w:val="left"/>
        <w:rPr>
          <w:rFonts w:ascii="Times New Roman" w:hAnsi="Times New Roman"/>
          <w:b/>
          <w:sz w:val="20"/>
        </w:rPr>
      </w:pPr>
      <w:bookmarkStart w:id="120" w:name="toc770053_124"/>
      <w:bookmarkEnd w:id="120"/>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March 15, 2024, AVROBIO had 13 full-time employees, two of whom have Ph.D. or M.D. degrees. Of these full-time employees, two employees are engaged in research and development activities and 11 employees are engaged in finance, legal, human resources, facilities and general management. AVROBIO has no collective bargaining agreements with AVROBIO’s employees and AVROBIO has not experienced any work stoppages. AVROBIO considers its relationship with its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AVROBIO’s human capital resources objectives have included, as applicable, retaining and incentivizing its existing employees. The principal purposes of AVROBIO’s incentive plans and retention awards have been to retain, incentivize and motivate selected employees through the granting of stock- and cash-based awards, as well as through severance benefits. </w:t>
      </w:r>
    </w:p>
    <w:p>
      <w:pPr>
        <w:pStyle w:val="TextBody"/>
        <w:bidi w:val="0"/>
        <w:spacing w:before="360" w:after="0"/>
        <w:jc w:val="left"/>
        <w:rPr>
          <w:rFonts w:ascii="Times New Roman" w:hAnsi="Times New Roman"/>
          <w:b/>
          <w:sz w:val="20"/>
        </w:rPr>
      </w:pPr>
      <w:bookmarkStart w:id="121" w:name="toc770053_125"/>
      <w:bookmarkEnd w:id="121"/>
      <w:r>
        <w:rPr>
          <w:rFonts w:ascii="Times New Roman" w:hAnsi="Times New Roman"/>
          <w:b/>
          <w:sz w:val="20"/>
        </w:rPr>
        <w:t xml:space="preserve">AVROBIO’s 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AVROBIO was incorporated under the laws of the State of Delaware in November 2015 under the name AvroBio, Inc. AVROBIO’s corporate name was changed to AVROBIO, Inc. in June 2017. AVROBIO completed its IPO in June 2018. </w:t>
      </w:r>
    </w:p>
    <w:p>
      <w:pPr>
        <w:pStyle w:val="TextBody"/>
        <w:bidi w:val="0"/>
        <w:spacing w:before="240" w:after="0"/>
        <w:jc w:val="left"/>
        <w:rPr>
          <w:rFonts w:ascii="Times New Roman" w:hAnsi="Times New Roman"/>
          <w:sz w:val="20"/>
        </w:rPr>
      </w:pPr>
      <w:r>
        <w:rPr>
          <w:rFonts w:ascii="Times New Roman" w:hAnsi="Times New Roman"/>
          <w:sz w:val="20"/>
        </w:rPr>
        <w:t xml:space="preserve">AVROBIO is a “smaller reporting company” as defined in the Exchange Act. AVROBIO may continue to take advantage of certain of the scaled disclosures available to smaller reporting companies until the fiscal year following the determination that its voting and non-voting common stock held by non-affiliates is more than $250 million measured on the last business day of its second fiscal quarter, or its annual revenues are more than $100 million during the most recently completed fiscal year and its voting and non-voting common stock held by non-affiliates is more than $700 million measured on the last business day of its second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AVROBIO’s principal executive offices are located at One Broadway, 14th Floor, Cambridge, Massachusetts 02142, and its telephone number is (617) 914-8420. AVROBIO’s website address is </w:t>
      </w:r>
      <w:r>
        <w:rPr>
          <w:rFonts w:ascii="Times New Roman" w:hAnsi="Times New Roman"/>
          <w:i/>
          <w:sz w:val="20"/>
        </w:rPr>
        <w:t>www.avrobio.com</w:t>
      </w:r>
      <w:r>
        <w:rPr>
          <w:rFonts w:ascii="Times New Roman" w:hAnsi="Times New Roman"/>
          <w:sz w:val="20"/>
        </w:rPr>
        <w:t xml:space="preserve">. AVROBIO’s website and the information contained on, or that can be accessed through, the website will not be deemed to be incorporated by reference in, and are not considered part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122" w:name="toc770053_126"/>
      <w:bookmarkEnd w:id="122"/>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AVROBIO’s Internet address is </w:t>
      </w:r>
      <w:r>
        <w:rPr>
          <w:rFonts w:ascii="Times New Roman" w:hAnsi="Times New Roman"/>
          <w:i/>
          <w:sz w:val="20"/>
        </w:rPr>
        <w:t>www.avrobio.com</w:t>
      </w:r>
      <w:r>
        <w:rPr>
          <w:rFonts w:ascii="Times New Roman" w:hAnsi="Times New Roman"/>
          <w:sz w:val="20"/>
        </w:rPr>
        <w:t xml:space="preserve">. AVROBIO’s Annual Reports on Form 10-K, Quarterly Reports on Form 10-Q, Current Reports on Form 8-K, including exhibits, proxy and information statements and amendments to those reports filed or furnished pursuant to Sections 13(a) and 15(d) of the Exchange Act are available through the “Investors” portion of its website free of charge as soon as reasonably practicable after AVROBIO electronically files such material with, or furnishes it to, the SEC. Information on its website is not part of this proxy statement/prospectus or any of its other securities filings unless specifically incorporated herein by reference. In addition, its filings with the SEC may be accessed through the SEC’s Electronic Data Gathering, Analysis and Retrieval system at </w:t>
      </w:r>
      <w:r>
        <w:rPr>
          <w:rFonts w:ascii="Times New Roman" w:hAnsi="Times New Roman"/>
          <w:i/>
          <w:sz w:val="20"/>
        </w:rPr>
        <w:t>www.sec.gov</w:t>
      </w:r>
      <w:r>
        <w:rPr>
          <w:rFonts w:ascii="Times New Roman" w:hAnsi="Times New Roman"/>
          <w:sz w:val="20"/>
        </w:rPr>
        <w:t xml:space="preserve">. All statements made in any of its securities filings, including all forward-looking statements or information, are made as of the date of the document in which the statement is included, and AVROBIO does not assume or undertake any obligation to update any of those statements or documents unless it is required to do so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3" w:name="toc770053_127"/>
      <w:bookmarkEnd w:id="123"/>
      <w:r>
        <w:rPr>
          <w:rFonts w:ascii="Times New Roman" w:hAnsi="Times New Roman"/>
          <w:b/>
          <w:sz w:val="20"/>
        </w:rPr>
        <w:t xml:space="preserve">TECTONIC’S BUSINESS </w:t>
      </w:r>
    </w:p>
    <w:p>
      <w:pPr>
        <w:pStyle w:val="TextBody"/>
        <w:bidi w:val="0"/>
        <w:spacing w:before="240" w:after="0"/>
        <w:jc w:val="left"/>
        <w:rPr>
          <w:rFonts w:ascii="Times New Roman" w:hAnsi="Times New Roman"/>
          <w:b/>
          <w:sz w:val="20"/>
        </w:rPr>
      </w:pPr>
      <w:bookmarkStart w:id="124" w:name="toc770053_128"/>
      <w:bookmarkEnd w:id="124"/>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 </w:t>
      </w:r>
    </w:p>
    <w:p>
      <w:pPr>
        <w:pStyle w:val="TextBody"/>
        <w:bidi w:val="0"/>
        <w:spacing w:before="240" w:after="0"/>
        <w:jc w:val="left"/>
        <w:rPr>
          <w:rFonts w:ascii="Times New Roman" w:hAnsi="Times New Roman"/>
          <w:sz w:val="20"/>
        </w:rPr>
      </w:pPr>
      <w:r>
        <w:rPr>
          <w:rFonts w:ascii="Times New Roman" w:hAnsi="Times New Roman"/>
          <w:sz w:val="2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To unlock the potential for biologic therapeutics to broaden the clinical utility of GPCRs, Tectonic uses its proprietary GEODe™ technology platform in an attempt to overcome the known challenges of GPCR-targeted drug discovery. The initial platform components, first generation yeast library design and initial yeast selection protocols, were developed in Andrew Kruse’s lab at Harvard Medical School. However, over the last few years the Tectonic team has made many improvements and modifications to all aspect of the platform including second and third generation library designs, optimized GPCR engineering strategies and yeast selection protocols better suited to GPCR antibody discovery. These modifications have resulted in selection campaigns that have a higher hit rate with molecules that have higher affinity and potency compared to hits identified from initial antibody selection campaigns. The GEODe™ platform includes components aimed at optimizing the expression, purification, and stabilization of GPCRs and pairs these advances with Tectonic’s protein engineering and structural biology capabilities. While the current libraries, receptor engineering and selection strategies are producing GPCR-targeted antibodies, the Tectonic team continues to evolve and modify aspects of the platform, which the Tectonic team believes will lead to even better results. </w:t>
      </w:r>
    </w:p>
    <w:p>
      <w:pPr>
        <w:pStyle w:val="TextBody"/>
        <w:bidi w:val="0"/>
        <w:spacing w:before="240" w:after="0"/>
        <w:jc w:val="left"/>
        <w:rPr>
          <w:rFonts w:ascii="Times New Roman" w:hAnsi="Times New Roman"/>
          <w:sz w:val="20"/>
        </w:rPr>
      </w:pPr>
      <w:r>
        <w:rPr>
          <w:rFonts w:ascii="Times New Roman" w:hAnsi="Times New Roman"/>
          <w:sz w:val="20"/>
        </w:rPr>
        <w:t xml:space="preserve">Tectonic’s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Tectonic believes TX45’s pharmacological profile, the direct result of applying Tectonic’s protein engineering capabilities, has the potential to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 HFpEF hereafter, as the initial disease setting. Tectonic hypothesizes that in this setting, treatment with relaxin could improve hemodynamics though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the platform may never result in the regulatory approval of a product candidate. See “</w:t>
      </w:r>
      <w:r>
        <w:rPr>
          <w:rFonts w:ascii="Times New Roman" w:hAnsi="Times New Roman"/>
          <w:i/>
          <w:sz w:val="20"/>
        </w:rPr>
        <w:t>Risk Factors – Risks Related to Tectonic – Risks Related to the Discovery, Development and Regulatory Approval of Tectonic’s Product Candidates – Tectonic has limited experience in therapeutic discovery and development and its GEODe™ platform may never result in the regulatory approval of a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Group 2 PH is a subtype of PH which develops secondary to left heart disease (“LHD”). This is a common, chronic, life-threatening condition of complex diseases causes, or etiology, for which there are presently no FDA-approved medications. Group 2 PH / HFpEF is characterized by declining cardiac function, fibrotic tissue remodeling, in the heart, and in some patients, in the pulmonary vasculature as well. Tectonic has elected to prioritize development of TX45 in Group 2 PH / HFpEF because of the high unmet medical need in this population and the specific physiological actions of relaxin described above that suggest that it could address the key pathophysiology of the disease which involves both impairment of left ventricular function and high resistance in the pulmonary vasculature. There are no FDA approved therapies in Group 2 PH. Further, prior clinical data in patients with acute and chronic heart failure treated with a continuous infusion of a short half-life relaxin is supportive of the potential utility of relaxin administration in these patients. Clinical trials are planned to evaluate the hypothesis that relaxin could provide efficacy in patients with Group 2 PH/HFpEF. Beyond Group 2 PH / HFpEF, Tectonic believes there are additional areas where TX45 could potentially provide benefit to patients with diseases that result in the chronic deterioration of cardiac, lung and/or kidney function due to vascoconstriction and fibrotic remodeling. </w:t>
      </w:r>
    </w:p>
    <w:p>
      <w:pPr>
        <w:pStyle w:val="TextBody"/>
        <w:bidi w:val="0"/>
        <w:spacing w:before="240" w:after="0"/>
        <w:jc w:val="left"/>
        <w:rPr>
          <w:rFonts w:ascii="Times New Roman" w:hAnsi="Times New Roman"/>
          <w:sz w:val="20"/>
        </w:rPr>
      </w:pPr>
      <w:r>
        <w:rPr>
          <w:rFonts w:ascii="Times New Roman" w:hAnsi="Times New Roman"/>
          <w:sz w:val="20"/>
        </w:rPr>
        <w:t xml:space="preserve">As of January 18, 2024, all subjects within the first three cohorts of the single ascending dose portion of Tectonic’s Phase 1 clinical trial have been dosed with TX45. To date, TX45 has been generally well tolerated. Modeling of data available as of mid-January 2024 from these cohorts suggests that a single 1-2 mL injection of TX45 given once monthly (corresponding to a 150 mg and/or 300 mg dose) could be the target dose regimen. Decisions on dose and dosing frequency for the Phase 2 study will be based on a more complete dataset which will be available in mid-2024. </w:t>
      </w:r>
    </w:p>
    <w:p>
      <w:pPr>
        <w:pStyle w:val="TextBody"/>
        <w:bidi w:val="0"/>
        <w:spacing w:before="240" w:after="0"/>
        <w:jc w:val="left"/>
        <w:rPr>
          <w:rFonts w:ascii="Times New Roman" w:hAnsi="Times New Roman"/>
          <w:sz w:val="20"/>
        </w:rPr>
      </w:pPr>
      <w:r>
        <w:rPr>
          <w:rFonts w:ascii="Times New Roman" w:hAnsi="Times New Roman"/>
          <w:sz w:val="20"/>
        </w:rPr>
        <w:t xml:space="preserve">Tectonic’s second program is aimed at the discovery and development of a GPCR targeting biotherapeutic as a potential treatment for Hereditary Hemorrhagic Telangiectasia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 </w:t>
      </w:r>
    </w:p>
    <w:p>
      <w:pPr>
        <w:pStyle w:val="TextBody"/>
        <w:bidi w:val="0"/>
        <w:spacing w:before="240" w:after="0"/>
        <w:jc w:val="left"/>
        <w:rPr>
          <w:rFonts w:ascii="Times New Roman" w:hAnsi="Times New Roman"/>
          <w:sz w:val="20"/>
        </w:rPr>
      </w:pPr>
      <w:r>
        <w:rPr>
          <w:rFonts w:ascii="Times New Roman" w:hAnsi="Times New Roman"/>
          <w:sz w:val="20"/>
        </w:rPr>
        <w:t xml:space="preserve">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target GPCR for Tectonic’s HHT program is a receptor for an angiogenic factor known to be upregulated in animal models of HHT. By blocking the signaling of this receptor, Tectonic anticipates it could decrease bleeding resulting from the abnormal angiogenesis seen in HHT. </w:t>
      </w:r>
    </w:p>
    <w:p>
      <w:pPr>
        <w:pStyle w:val="TextBody"/>
        <w:bidi w:val="0"/>
        <w:spacing w:before="240" w:after="0"/>
        <w:jc w:val="left"/>
        <w:rPr>
          <w:rFonts w:ascii="Times New Roman" w:hAnsi="Times New Roman"/>
          <w:sz w:val="20"/>
        </w:rPr>
      </w:pPr>
      <w:r>
        <w:rPr>
          <w:rFonts w:ascii="Times New Roman" w:hAnsi="Times New Roman"/>
          <w:sz w:val="20"/>
        </w:rPr>
        <w:t xml:space="preserve">Tectonic’s third program is aimed at the discovery and development of potential therapies for fibrotic diseases and employs a bi-specific format for the construction of a molecule with a differentiated mechanism of action. The strategy leverages two targets, one with previous human proof of concept and one novel target.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targets are expressed on overlapping cell types with complementary and nonoverlapping modes of action that when inhibited simultaneously could enhance the therapeutic potential over inhibition of either target on its own. </w:t>
      </w:r>
    </w:p>
    <w:p>
      <w:pPr>
        <w:pStyle w:val="TextBody"/>
        <w:bidi w:val="0"/>
        <w:spacing w:before="240" w:after="0"/>
        <w:jc w:val="left"/>
        <w:rPr>
          <w:rFonts w:ascii="Times New Roman" w:hAnsi="Times New Roman"/>
          <w:sz w:val="20"/>
        </w:rPr>
      </w:pPr>
      <w:r>
        <w:rPr>
          <w:rFonts w:ascii="Times New Roman" w:hAnsi="Times New Roman"/>
          <w:sz w:val="20"/>
        </w:rPr>
        <w:t xml:space="preserve">Tectonic has strategically prioritized the selection of development indications for product candidates in its pipeline that it believes will offer an efficient path to Phase 2 clinical proof of concept, with outcomes measurable with 50-200 patients per indication, and which require treatment over a period of three -six months. Over the next three years, Tectonic anticipates that several significant milestones could be achieved for its lead asset TX45, including, completion of the ongoing Phase 1a dose escalation trial in mid-2024, proof of concept hemodynamic data in patients with Group 2 PH/HFpEF in 2025, and data from a randomized trial in patients with Group 2 PH/HFpEF in 2026. During this time, a development candidate from Tectonic’s HHT program may also advance into clinical studies in the fourth quarter of 2025 or the first quarter of 2026 and could progress into efficacy studies in patients in late 2026 or early 2027. </w:t>
      </w:r>
    </w:p>
    <w:p>
      <w:pPr>
        <w:pStyle w:val="TextBody"/>
        <w:bidi w:val="0"/>
        <w:spacing w:before="240" w:after="0"/>
        <w:jc w:val="left"/>
        <w:rPr>
          <w:rFonts w:ascii="Times New Roman" w:hAnsi="Times New Roman"/>
          <w:sz w:val="20"/>
        </w:rPr>
      </w:pPr>
      <w:r>
        <w:rPr>
          <w:rFonts w:ascii="Times New Roman" w:hAnsi="Times New Roman"/>
          <w:sz w:val="20"/>
        </w:rPr>
        <w:t xml:space="preserve">Tectonic’s GEODeTM platform has been optimized over the last three years and is in the early stages of being used to discover biologic drugs targeting GPCRs. Tectonic plans to deploy its GEODeTM platform to generate additional pipeline assets by identifying and optimizing new GPCR targeted biologics that have the potential to address areas of substantial unmet need. </w:t>
      </w:r>
    </w:p>
    <w:p>
      <w:pPr>
        <w:pStyle w:val="TextBody"/>
        <w:bidi w:val="0"/>
        <w:spacing w:before="360" w:after="0"/>
        <w:jc w:val="left"/>
        <w:rPr>
          <w:rFonts w:ascii="Times New Roman" w:hAnsi="Times New Roman"/>
          <w:b/>
          <w:sz w:val="20"/>
        </w:rPr>
      </w:pPr>
      <w:bookmarkStart w:id="125" w:name="toc770053_129"/>
      <w:bookmarkEnd w:id="125"/>
      <w:r>
        <w:rPr>
          <w:rFonts w:ascii="Times New Roman" w:hAnsi="Times New Roman"/>
          <w:b/>
          <w:sz w:val="20"/>
        </w:rPr>
        <w:t xml:space="preserve">Tectonic’s Founders and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was co-founded in June 2019 by Timothy A. Springer, Latham Family Professor, Harvard Medical School and Professor of Medicine, Children’s Hospital Boston, and Andrew Kruse, Professor of Biological Chemistry and Molecular Pharmacology, Harvard Medical School. These individuals are world-renowned scientists in their respective fields. Professor Springer has also been a founder of and/or founding investor in several successful biotechnology companies including LeukoSite, Moderna, Seismic Therapeutic, Morphic Therapeutic and Scholar Rock and remains highly active in the biotechnology sector. </w:t>
      </w:r>
    </w:p>
    <w:p>
      <w:pPr>
        <w:pStyle w:val="TextBody"/>
        <w:bidi w:val="0"/>
        <w:spacing w:before="240" w:after="0"/>
        <w:jc w:val="left"/>
        <w:rPr>
          <w:rFonts w:ascii="Times New Roman" w:hAnsi="Times New Roman"/>
          <w:sz w:val="20"/>
        </w:rPr>
      </w:pPr>
      <w:r>
        <w:rPr>
          <w:rFonts w:ascii="Times New Roman" w:hAnsi="Times New Roman"/>
          <w:sz w:val="20"/>
        </w:rPr>
        <w:t xml:space="preserve">Tectonic has assembled a highly qualified management team with broad experience in corporate strategy, drug discovery, clinical development, business development and finance to execute on its mission to develop GPCR-targeted biologic medicines. They are industry veterans who have worked at many of the largest, global Pharmaceutical Companies. The Tectonic management team and its scientific co-founders have played key roles in drug discovery or development programs that have resulted in over 20 initial drug approvals, including Keytruda® and Dupixent®. Other drugs that the founders and management team have played key roles in the discovery or development of include: Abecma®, Amevive®, Arcoxia®, Bavencio®, Braftovi®, Breyanzi®, Campath®, Camzyos®, Claritin®, Emend®, Entresto®, Entyvio®, Grastek®, Inrebic®, Mavenclad®, Mayzent®, Nasonex®, Odomzo®, Praluent®, Raptiva®, Reblozyl®, Remicade®, Simponi®, Singulair®, Tepmetko®, Velcade®, Zeposia®, and Zykadia®. </w:t>
      </w:r>
    </w:p>
    <w:p>
      <w:pPr>
        <w:pStyle w:val="TextBody"/>
        <w:bidi w:val="0"/>
        <w:spacing w:before="360" w:after="0"/>
        <w:jc w:val="left"/>
        <w:rPr>
          <w:rFonts w:ascii="Times New Roman" w:hAnsi="Times New Roman"/>
          <w:b/>
          <w:sz w:val="20"/>
        </w:rPr>
      </w:pPr>
      <w:bookmarkStart w:id="126" w:name="toc770053_130"/>
      <w:bookmarkEnd w:id="126"/>
      <w:r>
        <w:rPr>
          <w:rFonts w:ascii="Times New Roman" w:hAnsi="Times New Roman"/>
          <w:b/>
          <w:sz w:val="20"/>
        </w:rPr>
        <w:t xml:space="preserve">Background on GPCRs </w:t>
      </w:r>
    </w:p>
    <w:p>
      <w:pPr>
        <w:pStyle w:val="TextBody"/>
        <w:bidi w:val="0"/>
        <w:spacing w:before="120" w:after="0"/>
        <w:jc w:val="left"/>
        <w:rPr>
          <w:rFonts w:ascii="Times New Roman" w:hAnsi="Times New Roman"/>
          <w:sz w:val="20"/>
        </w:rPr>
      </w:pPr>
      <w:r>
        <w:rPr>
          <w:rFonts w:ascii="Times New Roman" w:hAnsi="Times New Roman"/>
          <w:sz w:val="20"/>
        </w:rPr>
        <w:t xml:space="preserve">GPCRs are a family of over 800 proteins found on the surface of cells throughout the body that mediate the body’s response to extracellular stimuli by initiating a series of enzymatic reactions on the inside of cells which result in changes to cellular physiology. The diversity, functional specificity and localization to particular cell or tissue types makes GPCRs an especially compelling class of drug targets. Over 30% of approved drugs spanning a wide range of therapeutic areas, including metabolic diseases, inflammation, respiratory diseases, neurology and cancer, exert their action by modulating GPCRs. The targets for these medicines, however, represent only approximately 12% of known GPCRs, leaving at least as many GPCRs that are considered druggable still unexploited. GPCRs have a complex topology which has made both the protein production and purification of GPCRs outside of their natural environment in the cellular lipid membrane, as well as the identification of viable drug candidates to target them, challenging.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structure of the RXFP1 GPCR activated by relaxin (also called relaxin-2) is shown below (</w:t>
      </w:r>
      <w:r>
        <w:rPr>
          <w:rFonts w:ascii="Times New Roman" w:hAnsi="Times New Roman"/>
          <w:b/>
          <w:sz w:val="20"/>
        </w:rPr>
        <w:t>Figure 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83105" cy="908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83105" cy="9080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Figure 1 – Model of RXFP1 activation by Relaxin-2 </w:t>
      </w:r>
    </w:p>
    <w:p>
      <w:pPr>
        <w:pStyle w:val="TextBody"/>
        <w:bidi w:val="0"/>
        <w:spacing w:before="120" w:after="0"/>
        <w:jc w:val="left"/>
        <w:rPr>
          <w:rFonts w:ascii="Times New Roman" w:hAnsi="Times New Roman"/>
          <w:b/>
          <w:sz w:val="20"/>
        </w:rPr>
      </w:pPr>
      <w:bookmarkStart w:id="127" w:name="toc770053_131"/>
      <w:bookmarkEnd w:id="127"/>
      <w:r>
        <w:rPr>
          <w:rFonts w:ascii="Times New Roman" w:hAnsi="Times New Roman"/>
          <w:b/>
          <w:sz w:val="20"/>
        </w:rPr>
        <w:t xml:space="preserve">Background on Relaxin / RXFP1 Biology </w:t>
      </w:r>
    </w:p>
    <w:p>
      <w:pPr>
        <w:pStyle w:val="TextBody"/>
        <w:bidi w:val="0"/>
        <w:spacing w:before="120" w:after="0"/>
        <w:jc w:val="left"/>
        <w:rPr>
          <w:rFonts w:ascii="Times New Roman" w:hAnsi="Times New Roman"/>
          <w:sz w:val="20"/>
        </w:rPr>
      </w:pPr>
      <w:r>
        <w:rPr>
          <w:rFonts w:ascii="Times New Roman" w:hAnsi="Times New Roman"/>
          <w:sz w:val="20"/>
        </w:rPr>
        <w:t xml:space="preserve">Relaxin is a naturally occurring peptide hormone that was first identified in 1926 in the setting of pregnancy where it is upregulated to allow for hemodynamic adaptation and increased cardiac output in response to the increased demands to the developing fetus and to allow for loosening of the pelvic ligaments prior to delivery. Relaxin is a member of the insulin superfamily of peptide hormones, and it consists of two peptide chains linked by disulfide bonds. A representation of its structure is shown in Figure 2. Notably, activation of the RXFP1 receptor by relaxin does not result in internalization of the receptor, as is observed with many other GPCRs, which suggests there would be no receptor desensitization with chronic therapy using a relaxin-based agent.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945515" cy="7721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45515" cy="77216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Figure 2 – Ribbon Diagram Representation of Relaxin-2 </w:t>
      </w:r>
    </w:p>
    <w:p>
      <w:pPr>
        <w:pStyle w:val="TextBody"/>
        <w:bidi w:val="0"/>
        <w:spacing w:before="120" w:after="0"/>
        <w:jc w:val="left"/>
        <w:rPr>
          <w:rFonts w:ascii="Times New Roman" w:hAnsi="Times New Roman"/>
          <w:sz w:val="20"/>
        </w:rPr>
      </w:pPr>
      <w:r>
        <w:rPr>
          <w:rFonts w:ascii="Times New Roman" w:hAnsi="Times New Roman"/>
          <w:sz w:val="20"/>
        </w:rPr>
        <w:t xml:space="preserve">Relaxin has long been of interest as a therapeutic agent for the treatment of cardiovascular disease because of its natural effects on hemodynamic function. The development of relaxin-based therapeutics, however, has been limited by the short half-life of the native peptide hormone, which has necessitated continuous intravenous or subcutaneous administration to establish and maintain target therapeutic levels of the compound in circulation. </w:t>
      </w:r>
    </w:p>
    <w:p>
      <w:pPr>
        <w:pStyle w:val="TextBody"/>
        <w:bidi w:val="0"/>
        <w:spacing w:before="240" w:after="0"/>
        <w:jc w:val="left"/>
        <w:rPr>
          <w:rFonts w:ascii="Times New Roman" w:hAnsi="Times New Roman"/>
          <w:sz w:val="20"/>
        </w:rPr>
      </w:pPr>
      <w:r>
        <w:rPr>
          <w:rFonts w:ascii="Times New Roman" w:hAnsi="Times New Roman"/>
          <w:sz w:val="20"/>
        </w:rPr>
        <w:t xml:space="preserve">Previous efforts to develop recombinant native human relaxin (serelaxin) to treat acute heart failure (AHF) have shown many signs of clinical benefit. For example, a meta-analysis published by Teerlink et al. in the European Journal of Heart Failure in 2019 assessed the results of six randomized, double-blind, placebo-controlled studies with greater than 11,000 patients enrolled to evaluate serelaxin in AHF. This analysis showed a highly statistically significant benefit in five-day worsening of heart failure and improved renal function (Table 1). Despite these intriguing signals, no relaxin-based therapeutic has been approved by the FDA. One of two pivotal studies, RELAX-AHF2, included a co-primary six-month cardiovascular mortality endpoint and failed. The Company believes it was ambitious to expect that a two-day infusion of the compound, with its short half-life and mechanism of action, would demonstrate clinical benefit at day 5, let alone six months after the infusion as required for the six-month cardiovascular mortality endpoint. Tectonic believes these attempts have fallen short due to the short half-life of relaxin precluding its development in chronic settings where the full benefit of its impact on both vasodilation and fibrosis can be felt over longer time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bidi w:val="0"/>
        <w:jc w:val="left"/>
        <w:rPr/>
      </w:pPr>
      <w:r>
        <w:rPr/>
      </w:r>
    </w:p>
    <w:tbl>
      <w:tblPr>
        <w:tblW w:w="6920" w:type="dxa"/>
        <w:jc w:val="left"/>
        <w:tblInd w:w="0" w:type="dxa"/>
        <w:tblLayout w:type="fixed"/>
        <w:tblCellMar>
          <w:top w:w="0" w:type="dxa"/>
          <w:left w:w="0" w:type="dxa"/>
          <w:bottom w:w="0" w:type="dxa"/>
          <w:right w:w="0" w:type="dxa"/>
        </w:tblCellMar>
      </w:tblPr>
      <w:tblGrid>
        <w:gridCol w:w="1610"/>
        <w:gridCol w:w="120"/>
        <w:gridCol w:w="2840"/>
        <w:gridCol w:w="120"/>
        <w:gridCol w:w="905"/>
        <w:gridCol w:w="120"/>
        <w:gridCol w:w="120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Relative Risk [95% CI]</w:t>
            </w:r>
          </w:p>
        </w:tc>
        <w:tc>
          <w:tcPr>
            <w:tcW w:w="12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b/>
              </w:rPr>
            </w:pPr>
            <w:r>
              <w:rPr>
                <w:b/>
              </w:rPr>
              <w:t>N (drug)</w:t>
            </w:r>
          </w:p>
        </w:tc>
        <w:tc>
          <w:tcPr>
            <w:tcW w:w="12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N (placebo)</w:t>
            </w:r>
          </w:p>
        </w:tc>
      </w:tr>
      <w:tr>
        <w:trPr/>
        <w:tc>
          <w:tcPr>
            <w:tcW w:w="1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Pre-RELAX AHF</w:t>
            </w:r>
          </w:p>
        </w:tc>
        <w:tc>
          <w:tcPr>
            <w:tcW w:w="120"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center"/>
              <w:rPr/>
            </w:pPr>
            <w:r>
              <w:rPr/>
              <w:t>0.56 [0.22 – 1.45]</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42</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61</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RELAX-AHF</w:t>
            </w:r>
          </w:p>
        </w:tc>
        <w:tc>
          <w:tcPr>
            <w:tcW w:w="12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0.54 [0.37 – 0.78]</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581</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580</w:t>
            </w:r>
          </w:p>
        </w:tc>
      </w:tr>
      <w:tr>
        <w:trPr/>
        <w:tc>
          <w:tcPr>
            <w:tcW w:w="1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RELAX-AHF-2</w:t>
            </w:r>
          </w:p>
        </w:tc>
        <w:tc>
          <w:tcPr>
            <w:tcW w:w="120"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center"/>
              <w:rPr/>
            </w:pPr>
            <w:r>
              <w:rPr/>
              <w:t>0.90 [0.76 – 1.07]</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3274</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3271</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RELAX-AHF-EU</w:t>
            </w:r>
          </w:p>
        </w:tc>
        <w:tc>
          <w:tcPr>
            <w:tcW w:w="12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0.71 [0.52 – 0.98]</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1756</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894</w:t>
            </w:r>
          </w:p>
        </w:tc>
      </w:tr>
      <w:tr>
        <w:trPr/>
        <w:tc>
          <w:tcPr>
            <w:tcW w:w="1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RELAX-AHF-ASIA</w:t>
            </w:r>
          </w:p>
        </w:tc>
        <w:tc>
          <w:tcPr>
            <w:tcW w:w="120"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center"/>
              <w:rPr/>
            </w:pPr>
            <w:r>
              <w:rPr/>
              <w:t>0.42 [0.21 – 0.84]</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437</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433</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RELAX Japan</w:t>
            </w:r>
          </w:p>
        </w:tc>
        <w:tc>
          <w:tcPr>
            <w:tcW w:w="12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0.33 [0.04 – 2.85]</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15</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15</w:t>
            </w:r>
          </w:p>
        </w:tc>
      </w:tr>
      <w:tr>
        <w:trPr/>
        <w:tc>
          <w:tcPr>
            <w:tcW w:w="16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Meta-Analysis</w:t>
            </w:r>
          </w:p>
        </w:tc>
        <w:tc>
          <w:tcPr>
            <w:tcW w:w="120"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center"/>
              <w:rPr/>
            </w:pPr>
            <w:r>
              <w:rPr>
                <w:b/>
              </w:rPr>
              <w:t>0.77 [0.67 – 0.89]</w:t>
            </w:r>
            <w:r>
              <w:rPr/>
              <w:t xml:space="preserve"> </w:t>
            </w:r>
            <w:r>
              <w:rPr>
                <w:b/>
              </w:rPr>
              <w:t>p = 0.0002</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6090*</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5239</w:t>
            </w:r>
          </w:p>
        </w:tc>
      </w:tr>
    </w:tbl>
    <w:p>
      <w:pPr>
        <w:pStyle w:val="TextBody"/>
        <w:bidi w:val="0"/>
        <w:spacing w:before="360" w:after="0"/>
        <w:jc w:val="left"/>
        <w:rPr>
          <w:rFonts w:ascii="Times New Roman" w:hAnsi="Times New Roman"/>
          <w:sz w:val="20"/>
        </w:rPr>
      </w:pPr>
      <w:r>
        <w:rPr>
          <w:rFonts w:ascii="Times New Roman" w:hAnsi="Times New Roman"/>
          <w:b/>
          <w:sz w:val="20"/>
        </w:rPr>
        <w:t xml:space="preserve">Table 1 – Effects of serelaxin on worsening heart failure (WHF) – fixed-effect (FE) meta-analysis; serelaxin 30 </w:t>
      </w:r>
      <w:r>
        <w:rPr>
          <w:rFonts w:ascii="SYMBOL" w:hAnsi="SYMBOL"/>
          <w:sz w:val="20"/>
        </w:rPr>
        <w:t>m</w:t>
      </w:r>
      <w:r>
        <w:rPr>
          <w:rFonts w:ascii="Times New Roman" w:hAnsi="Times New Roman"/>
          <w:b/>
          <w:sz w:val="20"/>
        </w:rPr>
        <w:t xml:space="preserve">g/kg/day vs. placebo; CI, confidence interval </w:t>
      </w:r>
    </w:p>
    <w:p>
      <w:pPr>
        <w:pStyle w:val="TextBody"/>
        <w:bidi w:val="0"/>
        <w:spacing w:before="120" w:after="0"/>
        <w:jc w:val="left"/>
        <w:rPr>
          <w:rFonts w:ascii="Times New Roman" w:hAnsi="Times New Roman"/>
          <w:sz w:val="20"/>
        </w:rPr>
      </w:pPr>
      <w:r>
        <w:rPr>
          <w:rFonts w:ascii="Times New Roman" w:hAnsi="Times New Roman"/>
          <w:sz w:val="20"/>
        </w:rPr>
        <w:t xml:space="preserve">To address the pharmacological limitations of the native relaxin hormone and enable its development beyond AHF, Tectonic has engineered a single-chain relaxin-Fc fusion protein, TX45, that features differentiated pharmacokinetic and biophysical properties to enhance key pharmacodynamic properties. TX45 was developed in a subcutaneous formulation with the goal of chronic administration via intermittent subcutaneous injection. As noted above, to interrogate the therapeutic potential of relaxin, Tectonic has identified Group 2 PH / HFpEF as the initial indication. Tectonic believes that in this setting, treatment with relaxin could improve hemodynamics and result in beneficial remodeling in both the pulmonary vessels and the heart, making it potentially ideally suited for this indication. Clinical trials are needed to confirm this hypothesis. </w:t>
      </w:r>
    </w:p>
    <w:p>
      <w:pPr>
        <w:pStyle w:val="TextBody"/>
        <w:bidi w:val="0"/>
        <w:spacing w:before="360" w:after="0"/>
        <w:jc w:val="left"/>
        <w:rPr>
          <w:rFonts w:ascii="Times New Roman" w:hAnsi="Times New Roman"/>
          <w:b/>
          <w:sz w:val="20"/>
        </w:rPr>
      </w:pPr>
      <w:bookmarkStart w:id="128" w:name="toc770053_132"/>
      <w:bookmarkEnd w:id="128"/>
      <w:r>
        <w:rPr>
          <w:rFonts w:ascii="Times New Roman" w:hAnsi="Times New Roman"/>
          <w:b/>
          <w:sz w:val="20"/>
        </w:rPr>
        <w:t xml:space="preserve">Background on Group 2 PH </w:t>
      </w:r>
    </w:p>
    <w:p>
      <w:pPr>
        <w:pStyle w:val="TextBody"/>
        <w:bidi w:val="0"/>
        <w:spacing w:before="120" w:after="0"/>
        <w:jc w:val="left"/>
        <w:rPr>
          <w:rFonts w:ascii="Times New Roman" w:hAnsi="Times New Roman"/>
          <w:sz w:val="20"/>
        </w:rPr>
      </w:pPr>
      <w:r>
        <w:rPr>
          <w:rFonts w:ascii="Times New Roman" w:hAnsi="Times New Roman"/>
          <w:sz w:val="20"/>
        </w:rPr>
        <w:t xml:space="preserve">PH is a serious, life-threatening condition that affects hundreds of thousands of patients in the United States. In PH, the blood pressure in the pulmonary arteries is increased, exerting severe strain on the right side of the heart, which adapts poorly to the increased pressure. PH gradually causes worsening exercise capacity, shortness of breath and right-sided heart failure which can lead to death. </w:t>
      </w:r>
    </w:p>
    <w:p>
      <w:pPr>
        <w:pStyle w:val="TextBody"/>
        <w:bidi w:val="0"/>
        <w:spacing w:before="240" w:after="0"/>
        <w:jc w:val="left"/>
        <w:rPr>
          <w:rFonts w:ascii="Times New Roman" w:hAnsi="Times New Roman"/>
          <w:sz w:val="20"/>
        </w:rPr>
      </w:pPr>
      <w:r>
        <w:rPr>
          <w:rFonts w:ascii="Times New Roman" w:hAnsi="Times New Roman"/>
          <w:sz w:val="20"/>
        </w:rPr>
        <w:t xml:space="preserve">The World Health Organization has specified 5 different groups of PH (Table 2). Group 1 PH is also known as pulmonary arterial hypertension (PAH) and is caused by spontaneous thickening and fibrosis of the pulmonary arteries and arterioles without underlying significant cardiac, lung parenchymal, or chronic thromboembolic disease. Group 2 PH is due to left-sided heart disease (PH-LHD). Although several Group 1 PH medications have been explored in Group 2 PH, no medications have yet been approved by the FDA for its treatment. </w:t>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 xml:space="preserve">Table 2 – WHO Classification of Pulmonary Hypertension </w:t>
      </w:r>
    </w:p>
    <w:p>
      <w:pPr>
        <w:pStyle w:val="TextBody"/>
        <w:bidi w:val="0"/>
        <w:spacing w:before="120" w:after="0"/>
        <w:jc w:val="center"/>
        <w:rPr>
          <w:rFonts w:ascii="Times New Roman" w:hAnsi="Times New Roman"/>
          <w:sz w:val="20"/>
        </w:rPr>
      </w:pPr>
      <w:r>
        <w:rPr>
          <w:rFonts w:ascii="Times New Roman" w:hAnsi="Times New Roman"/>
          <w:sz w:val="20"/>
        </w:rPr>
        <w:t xml:space="preserve">Consists of 5 Distinct Diseases; Group 2 PH is of Greatest Interest for Fc-relaxin First Indication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6"/>
        <w:gridCol w:w="60"/>
        <w:gridCol w:w="1706"/>
        <w:gridCol w:w="60"/>
        <w:gridCol w:w="1940"/>
        <w:gridCol w:w="60"/>
        <w:gridCol w:w="2447"/>
        <w:gridCol w:w="60"/>
        <w:gridCol w:w="2046"/>
      </w:tblGrid>
      <w:tr>
        <w:trPr/>
        <w:tc>
          <w:tcPr>
            <w:tcW w:w="1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182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1(PAH)</w:t>
            </w:r>
          </w:p>
        </w:tc>
        <w:tc>
          <w:tcPr>
            <w:tcW w:w="60" w:type="dxa"/>
            <w:tcBorders/>
            <w:vAlign w:val="center"/>
          </w:tcPr>
          <w:p>
            <w:pPr>
              <w:pStyle w:val="TableContents"/>
              <w:bidi w:val="0"/>
              <w:spacing w:before="0" w:after="283"/>
              <w:jc w:val="left"/>
              <w:rPr/>
            </w:pPr>
            <w:r>
              <w:rPr/>
              <w:t> </w:t>
            </w:r>
          </w:p>
        </w:tc>
        <w:tc>
          <w:tcPr>
            <w:tcW w:w="170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2 (PH-LHD)</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3 (PH-LD)</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4 (CTEPH)</w:t>
            </w:r>
          </w:p>
        </w:tc>
        <w:tc>
          <w:tcPr>
            <w:tcW w:w="60" w:type="dxa"/>
            <w:tcBorders/>
            <w:vAlign w:val="center"/>
          </w:tcPr>
          <w:p>
            <w:pPr>
              <w:pStyle w:val="TableContents"/>
              <w:bidi w:val="0"/>
              <w:spacing w:before="0" w:after="283"/>
              <w:jc w:val="left"/>
              <w:rPr/>
            </w:pPr>
            <w:r>
              <w:rPr/>
              <w:t> </w:t>
            </w:r>
          </w:p>
        </w:tc>
        <w:tc>
          <w:tcPr>
            <w:tcW w:w="204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5 (Misc.)</w:t>
            </w:r>
          </w:p>
        </w:tc>
      </w:tr>
      <w:tr>
        <w:trPr/>
        <w:tc>
          <w:tcPr>
            <w:tcW w:w="1826" w:type="dxa"/>
            <w:tcBorders/>
            <w:vAlign w:val="center"/>
          </w:tcPr>
          <w:p>
            <w:pPr>
              <w:pStyle w:val="TableContents"/>
              <w:bidi w:val="0"/>
              <w:spacing w:before="0" w:after="0"/>
              <w:jc w:val="left"/>
              <w:rPr/>
            </w:pPr>
            <w:r>
              <w:rPr/>
              <w:t>•  </w:t>
            </w:r>
            <w:r>
              <w:rPr>
                <w:rFonts w:ascii="Times New Roman" w:hAnsi="Times New Roman"/>
                <w:sz w:val="20"/>
              </w:rPr>
              <w:t>Idiopathic</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Hereditary</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Connective tissue disease-associated</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Congenital heart disease-associated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Drug-induced</w:t>
            </w:r>
          </w:p>
        </w:tc>
        <w:tc>
          <w:tcPr>
            <w:tcW w:w="60" w:type="dxa"/>
            <w:tcBorders/>
            <w:vAlign w:val="center"/>
          </w:tcPr>
          <w:p>
            <w:pPr>
              <w:pStyle w:val="TableContents"/>
              <w:bidi w:val="0"/>
              <w:spacing w:before="0" w:after="283"/>
              <w:jc w:val="left"/>
              <w:rPr/>
            </w:pPr>
            <w:r>
              <w:rPr/>
              <w:t> </w:t>
            </w:r>
          </w:p>
        </w:tc>
        <w:tc>
          <w:tcPr>
            <w:tcW w:w="1706" w:type="dxa"/>
            <w:tcBorders/>
            <w:vAlign w:val="center"/>
          </w:tcPr>
          <w:p>
            <w:pPr>
              <w:pStyle w:val="TableContents"/>
              <w:bidi w:val="0"/>
              <w:spacing w:before="0" w:after="0"/>
              <w:jc w:val="left"/>
              <w:rPr/>
            </w:pPr>
            <w:r>
              <w:rPr/>
              <w:t>•  </w:t>
            </w:r>
            <w:r>
              <w:rPr>
                <w:rFonts w:ascii="Times New Roman" w:hAnsi="Times New Roman"/>
                <w:sz w:val="20"/>
              </w:rPr>
              <w:t>Due to left heart disease (HFpEF, HFrEF) or valvular heart disease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CAD, HTN, T2DM, high cholesterol are risk factors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Two Subtypes: CpcPH / IpcPH</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pPr>
            <w:r>
              <w:rPr/>
              <w:t>•  </w:t>
            </w:r>
            <w:r>
              <w:rPr>
                <w:rFonts w:ascii="Times New Roman" w:hAnsi="Times New Roman"/>
                <w:sz w:val="20"/>
              </w:rPr>
              <w:t>Due to lung disease or hypoxia</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May be due to COPD, interstitial lung disease (i.e., IPF) or obstructive sleep apnea</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0"/>
              <w:jc w:val="left"/>
              <w:rPr/>
            </w:pPr>
            <w:r>
              <w:rPr/>
              <w:t>•  </w:t>
            </w:r>
            <w:r>
              <w:rPr>
                <w:rFonts w:ascii="Times New Roman" w:hAnsi="Times New Roman"/>
                <w:sz w:val="20"/>
              </w:rPr>
              <w:t>Chronic thrombo-embolic pulmonary hypertension –i.e., as a consequence of blood clots</w:t>
            </w:r>
          </w:p>
        </w:tc>
        <w:tc>
          <w:tcPr>
            <w:tcW w:w="60"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0"/>
              <w:jc w:val="left"/>
              <w:rPr/>
            </w:pPr>
            <w:r>
              <w:rPr/>
              <w:t>•  </w:t>
            </w:r>
            <w:r>
              <w:rPr>
                <w:rFonts w:ascii="Times New Roman" w:hAnsi="Times New Roman"/>
                <w:sz w:val="20"/>
              </w:rPr>
              <w:t>Miscellaneous group with causes unclear or multiple underlying factors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129" w:name="toc770053_133"/>
      <w:bookmarkEnd w:id="129"/>
      <w:r>
        <w:rPr>
          <w:rFonts w:ascii="Times New Roman" w:hAnsi="Times New Roman"/>
          <w:b/>
          <w:sz w:val="20"/>
        </w:rPr>
        <w:t xml:space="preserve">Group 2 PH Pathophysiology and Epidemiology </w:t>
      </w:r>
    </w:p>
    <w:p>
      <w:pPr>
        <w:pStyle w:val="TextBody"/>
        <w:bidi w:val="0"/>
        <w:spacing w:before="120" w:after="0"/>
        <w:jc w:val="left"/>
        <w:rPr>
          <w:rFonts w:ascii="Times New Roman" w:hAnsi="Times New Roman"/>
          <w:sz w:val="20"/>
        </w:rPr>
      </w:pPr>
      <w:r>
        <w:rPr>
          <w:rFonts w:ascii="Times New Roman" w:hAnsi="Times New Roman"/>
          <w:sz w:val="20"/>
        </w:rPr>
        <w:t xml:space="preserve">Group 2 PH is caused by left-sided heart disease, including heart failure with preserved ejection fraction (HFpEF), heart failure with reduced ejection fraction (HFrEF), and valvular heart disease (VHD). Group 2 PH itself consists of 2 disease subtypes, isolated post capillary PH (IpcPH) or combined pre- and post- capillary PH (CpcPH). </w:t>
      </w:r>
    </w:p>
    <w:p>
      <w:pPr>
        <w:pStyle w:val="TextBody"/>
        <w:bidi w:val="0"/>
        <w:spacing w:before="240" w:after="0"/>
        <w:jc w:val="left"/>
        <w:rPr>
          <w:rFonts w:ascii="Times New Roman" w:hAnsi="Times New Roman"/>
          <w:sz w:val="20"/>
        </w:rPr>
      </w:pPr>
      <w:r>
        <w:rPr>
          <w:rFonts w:ascii="Times New Roman" w:hAnsi="Times New Roman"/>
          <w:sz w:val="20"/>
        </w:rPr>
        <w:t xml:space="preserve">In patients with left-sided heart disease, the development of pulmonary hypertension is associated with a much worse prognosis. In various forms of heart failure, the heart fails to pump sufficient blood throughout the body to meet the metabolic demands of the individual. To compensate for inadequate cardiac output, the kidneys retain excess fluid to help increase the filling of the heart (“priming the pump”) during the relaxation phase of the cardiac cycle. This attempt to increase the filling of the heart leads to increased pressure during the relaxation phase. Pulmonary hypertension can develop in this setting when the pressure is transmitted backwards from the left atrium of the heart into the pulmonary veins and pulmonary arteries. This passive backflow of high pressure leads initially to post-capillary hypertension. These patients have a subtype of Group 2 PH called Isolated post-capillary Pulmonary Hypertension (IpcPH). Over time this increased pressure can lead to the thickening and fibrosis of the pulmonary arteries and arterioles resulting in disease of the precapillary vasculature of the lung and this is demonstrated by increased pulmonary vascular resistance (PVR). When Group 2 PH results in both increased pulmonary artery pressures from the passive backflow of pressure from the left atrium along with intrinsic changes, such as thickening, fibrosis, and narrowing of the lumen of the pulmonary arteries, it is called Combined pre-and post-capillary Pulmonary Hypertension (CpcPH). To differentiate patients with IpcPH and CpcPH, a right heart catheterization is performed. Patients with elevated PVR, elevated pulmonary artery pressure (PAP) and an elevated Pulmonary Capillary Wedge Pressure (PCWP) have CpcPH, while those with just elevated PAP and PCWP and normal PVR have IpcPH. Pulmonary hypertension places a great strain on the right ventricle which is unable to compensate for this increased workload. Eventually, pulmonary hypertension causes the right ventricle to dilate and fail, ultimately leading to death. </w:t>
      </w:r>
    </w:p>
    <w:p>
      <w:pPr>
        <w:pStyle w:val="TextBody"/>
        <w:bidi w:val="0"/>
        <w:spacing w:before="220" w:after="0"/>
        <w:jc w:val="left"/>
        <w:rPr>
          <w:rFonts w:ascii="Times New Roman" w:hAnsi="Times New Roman"/>
          <w:sz w:val="20"/>
        </w:rPr>
      </w:pPr>
      <w:r>
        <w:rPr>
          <w:rFonts w:ascii="Times New Roman" w:hAnsi="Times New Roman"/>
          <w:sz w:val="20"/>
        </w:rPr>
        <w:t xml:space="preserve">There are an estimated 6 million patients with heart failure in the United States, with HFpEF representing up to ~50%, of heart failure cases. Tectonic estimates the combined Group 2 PH population with HFpEF at more than 600,000 and the respective prevalences of IpcPH and CpcPH in the HFpEF population are believed to be approximately 20% and 4%. </w:t>
      </w:r>
    </w:p>
    <w:p>
      <w:pPr>
        <w:pStyle w:val="TextBody"/>
        <w:bidi w:val="0"/>
        <w:spacing w:before="320" w:after="0"/>
        <w:jc w:val="left"/>
        <w:rPr>
          <w:rFonts w:ascii="Times New Roman" w:hAnsi="Times New Roman"/>
          <w:b/>
          <w:sz w:val="20"/>
        </w:rPr>
      </w:pPr>
      <w:r>
        <w:rPr>
          <w:rFonts w:ascii="Times New Roman" w:hAnsi="Times New Roman"/>
          <w:b/>
          <w:sz w:val="20"/>
        </w:rPr>
        <w:t xml:space="preserve">Testing of Group 1 PH (PAH) Drugs as Treatments for Group 2 PH – Implications of PDE5i Results </w:t>
      </w:r>
    </w:p>
    <w:p>
      <w:pPr>
        <w:pStyle w:val="TextBody"/>
        <w:bidi w:val="0"/>
        <w:spacing w:before="120" w:after="0"/>
        <w:jc w:val="left"/>
        <w:rPr>
          <w:rFonts w:ascii="Times New Roman" w:hAnsi="Times New Roman"/>
          <w:sz w:val="20"/>
        </w:rPr>
      </w:pPr>
      <w:r>
        <w:rPr>
          <w:rFonts w:ascii="Times New Roman" w:hAnsi="Times New Roman"/>
          <w:sz w:val="20"/>
        </w:rPr>
        <w:t xml:space="preserve">Patients suffering from CpcPH typically face worse outcomes than those with IpcPH (23% survival at five years vs. 40%-50%, respectively). Optimal treatment of heart failure may improve isolated post-capillary pulmonary hypertension to some extent. However, because of the specific pulmonary vascular pathology in CpcPH, treatment of heart failure alone is often insufficient to have a meaningful impact on this form of the disease. PDE5 inhibitors which activate the nitric oxide (NO) pathway were evaluated in three separate studies in CpCPH patients with HFpEF. In those studies, PDE5 inhibitors demonstrated improvements in hemodynamics, exercise tolerance, and a reduction in hospitalizations for heart failure. These improvements were not seen in a study with the broader group of Group 2 PH/HFpEF patients which were mainly composed of patients with IpcPH. Despite these findings, PDE5 inhibitors are not FDA approved for use in Group2 PH. </w:t>
      </w:r>
    </w:p>
    <w:p>
      <w:pPr>
        <w:pStyle w:val="TextBody"/>
        <w:bidi w:val="0"/>
        <w:spacing w:before="220" w:after="0"/>
        <w:jc w:val="left"/>
        <w:rPr>
          <w:rFonts w:ascii="Times New Roman" w:hAnsi="Times New Roman"/>
          <w:sz w:val="20"/>
        </w:rPr>
      </w:pPr>
      <w:r>
        <w:rPr>
          <w:rFonts w:ascii="Times New Roman" w:hAnsi="Times New Roman"/>
          <w:sz w:val="20"/>
        </w:rPr>
        <w:t xml:space="preserve">Several of the drugs used to treat Pulmonary Arterial Hypertension (Group 1 PH) have failed to demonstrate benefits in Group 2 PH/HFpEF. Most of these agents act as vasodilators in the lung, thereby increasing blood flow to the left side of the heart. However, pulmonary vasodilators have limited effect on the systemic circulation, and therefore, do not increase the ability of the left side of the heart to pump blood. This could worsen heart failure without improving exercise function. In contrast, PDE5 inhibitors also have a small effect on cardiac output, which may explain why they have shown the improvement in hemodynamics, exercise tolerance and hospitalizations in CpcPH as noted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PDE5 inhibitors activate the nitric oxide pathway which results in its hemodynamic effects including pulmonary vasodilation. Relaxin’s hemodynamic effects are mediated both by inhibition of endothelan-1 as well as activation of the same nitric oxide signaling pathway by which PDE5 inhibitors exert their action. In addition, relaxin exerts anti-fibrotic and anti-inflammatory effects via the mechanisms shown in Figure 3. Therefore, although unproven at this time, based on its multimodal mechanism of action, Tectonic believes that TX45 has the potential to demonstrate statistically and clinically meaningful benefits in both CpcPH and IpcPH.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4643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737610" cy="146431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Figure 3 – PDE5 Inhibitors Affect Only One of Several Pathways Implicated in Relaxin Signaling </w:t>
      </w:r>
    </w:p>
    <w:p>
      <w:pPr>
        <w:pStyle w:val="TextBody"/>
        <w:bidi w:val="0"/>
        <w:spacing w:before="120" w:after="0"/>
        <w:jc w:val="left"/>
        <w:rPr>
          <w:rFonts w:ascii="Times New Roman" w:hAnsi="Times New Roman"/>
          <w:sz w:val="20"/>
        </w:rPr>
      </w:pPr>
      <w:r>
        <w:rPr>
          <w:rFonts w:ascii="Times New Roman" w:hAnsi="Times New Roman"/>
          <w:sz w:val="20"/>
        </w:rPr>
        <w:t xml:space="preserve">Tectonic’s support of TX45 is based upon its hypothesis that relaxin’s activities, through its remodeling and anti-fibrotic effects, may reverse the deleterious changes in the pulmonary vasculature present in CpcPH. Furthermore, relaxin’s pulmonary and systemic vasodilatory activity could unload the left ventricle, while relaxin’s anti-fibrotic and anti-inflammatory activities could promote reverse remodeling of the left ventricle in HFpEF. Last, relaxin’s ability to relax the heart muscle could improve diastolic filling in HFpEF where cardiac hypertrophy and fibrosis lead to diastolic dysfunction and heart failure. These benefits could also extend to IpcPH patients and thus to the entire Group 2 PH/HFpEF population. </w:t>
      </w:r>
    </w:p>
    <w:p>
      <w:pPr>
        <w:pStyle w:val="TextBody"/>
        <w:bidi w:val="0"/>
        <w:spacing w:before="240" w:after="0"/>
        <w:jc w:val="left"/>
        <w:rPr>
          <w:rFonts w:ascii="Times New Roman" w:hAnsi="Times New Roman"/>
          <w:sz w:val="20"/>
        </w:rPr>
      </w:pPr>
      <w:r>
        <w:rPr>
          <w:rFonts w:ascii="Times New Roman" w:hAnsi="Times New Roman"/>
          <w:sz w:val="20"/>
        </w:rPr>
        <w:t xml:space="preserve">In summary, depicted in Table 3 below, Tectonic hypothesizes that the inherent vasodilatory, anti-fibrotic, and anti-inflammatory activities of relaxin could be suited to address the key pathologies of Group 2 PH/HFpEF. </w:t>
      </w:r>
    </w:p>
    <w:p>
      <w:pPr>
        <w:pStyle w:val="TextBody"/>
        <w:bidi w:val="0"/>
        <w:spacing w:before="240" w:after="0"/>
        <w:jc w:val="left"/>
        <w:rPr>
          <w:rFonts w:ascii="Times New Roman" w:hAnsi="Times New Roman"/>
          <w:b/>
          <w:sz w:val="20"/>
        </w:rPr>
      </w:pPr>
      <w:r>
        <w:rPr>
          <w:rFonts w:ascii="Times New Roman" w:hAnsi="Times New Roman"/>
          <w:b/>
          <w:sz w:val="20"/>
        </w:rPr>
        <w:t xml:space="preserve">Table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03"/>
        <w:gridCol w:w="120"/>
        <w:gridCol w:w="485"/>
        <w:gridCol w:w="120"/>
        <w:gridCol w:w="545"/>
        <w:gridCol w:w="120"/>
        <w:gridCol w:w="3712"/>
      </w:tblGrid>
      <w:tr>
        <w:trPr/>
        <w:tc>
          <w:tcPr>
            <w:tcW w:w="51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510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Characteristics of Group 2 PH</w:t>
            </w:r>
          </w:p>
        </w:tc>
        <w:tc>
          <w:tcPr>
            <w:tcW w:w="12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IpcPH</w:t>
            </w:r>
          </w:p>
        </w:tc>
        <w:tc>
          <w:tcPr>
            <w:tcW w:w="120" w:type="dxa"/>
            <w:tcBorders/>
            <w:vAlign w:val="center"/>
          </w:tcPr>
          <w:p>
            <w:pPr>
              <w:pStyle w:val="TableContents"/>
              <w:bidi w:val="0"/>
              <w:spacing w:before="0" w:after="283"/>
              <w:jc w:val="left"/>
              <w:rPr/>
            </w:pPr>
            <w:r>
              <w:rPr/>
              <w:t>  </w:t>
            </w:r>
          </w:p>
        </w:tc>
        <w:tc>
          <w:tcPr>
            <w:tcW w:w="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CpcPH</w:t>
            </w:r>
          </w:p>
        </w:tc>
        <w:tc>
          <w:tcPr>
            <w:tcW w:w="120" w:type="dxa"/>
            <w:tcBorders/>
            <w:vAlign w:val="center"/>
          </w:tcPr>
          <w:p>
            <w:pPr>
              <w:pStyle w:val="TableContents"/>
              <w:bidi w:val="0"/>
              <w:spacing w:before="0" w:after="283"/>
              <w:jc w:val="left"/>
              <w:rPr/>
            </w:pPr>
            <w:r>
              <w:rPr/>
              <w:t>  </w:t>
            </w:r>
          </w:p>
        </w:tc>
        <w:tc>
          <w:tcPr>
            <w:tcW w:w="37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Anticipated Relaxin Effects</w:t>
            </w:r>
          </w:p>
        </w:tc>
      </w:tr>
      <w:tr>
        <w:trPr/>
        <w:tc>
          <w:tcPr>
            <w:tcW w:w="5103" w:type="dxa"/>
            <w:tcBorders/>
            <w:vAlign w:val="center"/>
          </w:tcPr>
          <w:p>
            <w:pPr>
              <w:pStyle w:val="TableContents"/>
              <w:bidi w:val="0"/>
              <w:spacing w:before="0" w:after="283"/>
              <w:jc w:val="left"/>
              <w:rPr/>
            </w:pPr>
            <w:r>
              <w:rPr/>
              <w:t>Pulmonary artery narrowing, thickening, stiffening, fibrotic remodeling</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Pulmonary vasodilation</w:t>
            </w:r>
          </w:p>
          <w:p>
            <w:pPr>
              <w:pStyle w:val="TableContents"/>
              <w:bidi w:val="0"/>
              <w:spacing w:before="0" w:after="20"/>
              <w:jc w:val="left"/>
              <w:rPr>
                <w:rFonts w:ascii="Times New Roman" w:hAnsi="Times New Roman"/>
                <w:sz w:val="20"/>
              </w:rPr>
            </w:pPr>
            <w:r>
              <w:rPr>
                <w:rFonts w:ascii="Times New Roman" w:hAnsi="Times New Roman"/>
                <w:sz w:val="20"/>
              </w:rPr>
              <w:t>anti-inflammatory, anti-fibrotic</w:t>
            </w:r>
          </w:p>
        </w:tc>
      </w:tr>
      <w:tr>
        <w:trPr/>
        <w:tc>
          <w:tcPr>
            <w:tcW w:w="5103"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383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vAlign w:val="center"/>
          </w:tcPr>
          <w:p>
            <w:pPr>
              <w:pStyle w:val="TableContents"/>
              <w:bidi w:val="0"/>
              <w:spacing w:before="0" w:after="283"/>
              <w:jc w:val="left"/>
              <w:rPr/>
            </w:pPr>
            <w:r>
              <w:rPr/>
              <w:t>Right ventricular dysfunction</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712" w:type="dxa"/>
            <w:tcBorders/>
            <w:vAlign w:val="center"/>
          </w:tcPr>
          <w:p>
            <w:pPr>
              <w:pStyle w:val="TableContents"/>
              <w:bidi w:val="0"/>
              <w:spacing w:before="0" w:after="283"/>
              <w:jc w:val="left"/>
              <w:rPr/>
            </w:pPr>
            <w:r>
              <w:rPr/>
              <w:t>Right ventricular remodeling</w:t>
            </w:r>
          </w:p>
        </w:tc>
      </w:tr>
      <w:tr>
        <w:trPr/>
        <w:tc>
          <w:tcPr>
            <w:tcW w:w="5103"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383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vAlign w:val="center"/>
          </w:tcPr>
          <w:p>
            <w:pPr>
              <w:pStyle w:val="TableContents"/>
              <w:bidi w:val="0"/>
              <w:spacing w:before="0" w:after="283"/>
              <w:jc w:val="left"/>
              <w:rPr/>
            </w:pPr>
            <w:r>
              <w:rPr/>
              <w:t>Thickening and stiffening of left ventricle</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712" w:type="dxa"/>
            <w:tcBorders/>
            <w:vAlign w:val="center"/>
          </w:tcPr>
          <w:p>
            <w:pPr>
              <w:pStyle w:val="TableContents"/>
              <w:bidi w:val="0"/>
              <w:spacing w:before="0" w:after="283"/>
              <w:jc w:val="left"/>
              <w:rPr/>
            </w:pPr>
            <w:r>
              <w:rPr/>
              <w:t>Peripheral vasodilation, cardiac relaxation, left ventricular remodeling</w:t>
            </w:r>
          </w:p>
        </w:tc>
      </w:tr>
      <w:tr>
        <w:trPr/>
        <w:tc>
          <w:tcPr>
            <w:tcW w:w="5103"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383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vAlign w:val="center"/>
          </w:tcPr>
          <w:p>
            <w:pPr>
              <w:pStyle w:val="TableContents"/>
              <w:bidi w:val="0"/>
              <w:spacing w:before="0" w:after="283"/>
              <w:jc w:val="left"/>
              <w:rPr/>
            </w:pPr>
            <w:r>
              <w:rPr/>
              <w:t>Compromised kidney function</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712" w:type="dxa"/>
            <w:tcBorders/>
            <w:vAlign w:val="center"/>
          </w:tcPr>
          <w:p>
            <w:pPr>
              <w:pStyle w:val="TableContents"/>
              <w:bidi w:val="0"/>
              <w:spacing w:before="0" w:after="283"/>
              <w:jc w:val="left"/>
              <w:rPr/>
            </w:pPr>
            <w:r>
              <w:rPr/>
              <w:t>Improvement in kidney function</w:t>
            </w:r>
          </w:p>
        </w:tc>
      </w:tr>
    </w:tbl>
    <w:p>
      <w:pPr>
        <w:pStyle w:val="TextBody"/>
        <w:bidi w:val="0"/>
        <w:spacing w:before="200" w:after="0"/>
        <w:jc w:val="left"/>
        <w:rPr>
          <w:rFonts w:ascii="Times New Roman" w:hAnsi="Times New Roman"/>
          <w:sz w:val="20"/>
        </w:rPr>
      </w:pPr>
      <w:r>
        <w:rPr>
          <w:rFonts w:ascii="Times New Roman" w:hAnsi="Times New Roman"/>
          <w:sz w:val="20"/>
        </w:rPr>
        <w:t xml:space="preserve">Relaxin’s numerous physiologic activities promote vasodilation in both the systemic and pulmonary vasculature, increasing cardiac output and decreasing pulmonary vascular wedge pressure (PCWP, a measure of heart failure) have previously been demonstrated with serelaxin (recombinant native human relaxin-2). As reported by Ponikowski P. et al in </w:t>
      </w:r>
      <w:r>
        <w:rPr>
          <w:rFonts w:ascii="Times New Roman" w:hAnsi="Times New Roman"/>
          <w:i/>
          <w:sz w:val="20"/>
        </w:rPr>
        <w:t>European Heart Journal</w:t>
      </w:r>
      <w:r>
        <w:rPr>
          <w:rFonts w:ascii="Times New Roman" w:hAnsi="Times New Roman"/>
          <w:sz w:val="20"/>
        </w:rPr>
        <w:t xml:space="preserve"> in 2014, patients with acute heart failure who had a right heart catheterization exhibited improved hemodynamics with relaxin treatment. These observations included a reduction of mean pulmonary artery pressure (mPAP), pulmonary vascular resistance (PVR), systemic vascular resistance (SVR) and pulmonary capillary wedge pressure (PCWP). The ability of the relaxin mechanism to reduce the right ventricular strain by reducing PVR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along with improving left ventricular function, as demonstrated by lowering PCWP, is fundamental to the potential of relaxin to treat PH-HFpEF. In a similar study of patients with chronic CHF reported by Dschietzig T. et al. in the </w:t>
      </w:r>
      <w:r>
        <w:rPr>
          <w:rFonts w:ascii="Times New Roman" w:hAnsi="Times New Roman"/>
          <w:i/>
          <w:sz w:val="20"/>
        </w:rPr>
        <w:t>Annals of the New York Academy of Sciences</w:t>
      </w:r>
      <w:r>
        <w:rPr>
          <w:rFonts w:ascii="Times New Roman" w:hAnsi="Times New Roman"/>
          <w:sz w:val="20"/>
        </w:rPr>
        <w:t xml:space="preserve"> in 2009, a reduction in PCWP and an increase in cardiac output was demonstrated in response to relaxin treatment.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43960" cy="24282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743960" cy="2428240"/>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Figure 4 – Relaxin Improves Hemodynamics in Acute Heart Failure Patients Through Reduction of Pulmonary Capillary Wedge Pressure, Mean Pulmonary Artery Pressure, Pulmonary Vascular Resistance and Systemic Vascular Resistance. </w:t>
      </w:r>
    </w:p>
    <w:p>
      <w:pPr>
        <w:pStyle w:val="TextBody"/>
        <w:bidi w:val="0"/>
        <w:spacing w:before="120" w:after="0"/>
        <w:jc w:val="left"/>
        <w:rPr>
          <w:rFonts w:ascii="Times New Roman" w:hAnsi="Times New Roman"/>
          <w:b/>
          <w:sz w:val="20"/>
        </w:rPr>
      </w:pPr>
      <w:r>
        <w:rPr>
          <w:rFonts w:ascii="Times New Roman" w:hAnsi="Times New Roman"/>
          <w:b/>
          <w:sz w:val="20"/>
        </w:rPr>
        <w:t xml:space="preserve">Orange, serelaxin treatment for 20 hours (continuous infusion); Blue, placebo treatment. </w:t>
      </w:r>
    </w:p>
    <w:p>
      <w:pPr>
        <w:pStyle w:val="TextBody"/>
        <w:bidi w:val="0"/>
        <w:spacing w:before="120" w:after="0"/>
        <w:jc w:val="left"/>
        <w:rPr>
          <w:rFonts w:ascii="Times New Roman" w:hAnsi="Times New Roman"/>
          <w:b/>
          <w:sz w:val="20"/>
        </w:rPr>
      </w:pPr>
      <w:r>
        <w:rPr>
          <w:rFonts w:ascii="Times New Roman" w:hAnsi="Times New Roman"/>
          <w:b/>
          <w:sz w:val="20"/>
        </w:rPr>
        <w:t xml:space="preserve">Note: improvements in some measures of placebo after 8 hours can be attributed to allowance of diuretics at that time </w:t>
      </w:r>
    </w:p>
    <w:p>
      <w:pPr>
        <w:pStyle w:val="TextBody"/>
        <w:bidi w:val="0"/>
        <w:spacing w:before="120" w:after="0"/>
        <w:jc w:val="left"/>
        <w:rPr>
          <w:rFonts w:ascii="Times New Roman" w:hAnsi="Times New Roman"/>
          <w:sz w:val="20"/>
        </w:rPr>
      </w:pPr>
      <w:r>
        <w:rPr>
          <w:rFonts w:ascii="Times New Roman" w:hAnsi="Times New Roman"/>
          <w:sz w:val="20"/>
        </w:rPr>
        <w:t xml:space="preserve">Additionally, in the study reported by Ponikowski P. et al in </w:t>
      </w:r>
      <w:r>
        <w:rPr>
          <w:rFonts w:ascii="Times New Roman" w:hAnsi="Times New Roman"/>
          <w:i/>
          <w:sz w:val="20"/>
        </w:rPr>
        <w:t>European Heart Journal</w:t>
      </w:r>
      <w:r>
        <w:rPr>
          <w:rFonts w:ascii="Times New Roman" w:hAnsi="Times New Roman"/>
          <w:sz w:val="20"/>
        </w:rPr>
        <w:t xml:space="preserve"> in 2014, it was also reported that treatment with relaxin showed a beneficial impact on improvement in renal function in heart failure patients. This may stem from renal vasodilation with increased renal blood flow observed with treatment with relaxin. Since Group 2 / HFpEF patients also frequently present with compromised renal function, relaxin may also improve related clinical factors in Tectonic’s target population. Tectonic views these hemodynamic and renal function data as further evidence of relaxin’s potential utility as a therapeutic for Group 2 PH. </w:t>
      </w:r>
    </w:p>
    <w:p>
      <w:pPr>
        <w:pStyle w:val="TextBody"/>
        <w:bidi w:val="0"/>
        <w:spacing w:before="360" w:after="0"/>
        <w:jc w:val="left"/>
        <w:rPr>
          <w:rFonts w:ascii="Times New Roman" w:hAnsi="Times New Roman"/>
          <w:b/>
          <w:sz w:val="20"/>
        </w:rPr>
      </w:pPr>
      <w:bookmarkStart w:id="130" w:name="toc770053_134"/>
      <w:bookmarkEnd w:id="130"/>
      <w:r>
        <w:rPr>
          <w:rFonts w:ascii="Times New Roman" w:hAnsi="Times New Roman"/>
          <w:b/>
          <w:sz w:val="20"/>
        </w:rPr>
        <w:t xml:space="preserve">Background on TX45 </w:t>
      </w:r>
    </w:p>
    <w:p>
      <w:pPr>
        <w:pStyle w:val="TextBody"/>
        <w:bidi w:val="0"/>
        <w:spacing w:before="120" w:after="0"/>
        <w:jc w:val="left"/>
        <w:rPr>
          <w:rFonts w:ascii="Times New Roman" w:hAnsi="Times New Roman"/>
          <w:sz w:val="20"/>
        </w:rPr>
      </w:pPr>
      <w:r>
        <w:rPr>
          <w:rFonts w:ascii="Times New Roman" w:hAnsi="Times New Roman"/>
          <w:sz w:val="20"/>
        </w:rPr>
        <w:t>TX45 is a recombinant protein consisting of an engineered single chain human relaxin domain fused to the Fc domain of human immuno-globulin 1 (IgG1) using a peptide chain linker. The Fc portion of TX45 was modified to reduce Fc</w:t>
      </w:r>
      <w:r>
        <w:rPr>
          <w:rFonts w:ascii="SYMBOL" w:hAnsi="SYMBOL"/>
          <w:sz w:val="20"/>
        </w:rPr>
        <w:t>g</w:t>
      </w:r>
      <w:r>
        <w:rPr>
          <w:rFonts w:ascii="Times New Roman" w:hAnsi="Times New Roman"/>
          <w:sz w:val="20"/>
        </w:rPr>
        <w:t xml:space="preserve"> receptor activation, and to increase binding to the neonatal Fc receptor (FcRn) with the goal of significantly increasing the half-life of the molecule in circulation, relative to the half-life of native human relaxin. TX45 was further engineered to reduce the isoelectric point (pI) of the molecule to enhance its pharmacokinetic properties and improve its biophysical profile. Reduction of the molecule’s pI was deemed necessary to avoid the non-specific clearance of high pI molecules from the circulation that takes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following administration as a result of binding to negatively charged heparin proteoglycans on the blood vessel wall. This effect can dramatically reduce the amount of bioavailable drug to exert pharmacologic action. Of note, native relaxin and most long-acting relaxin therapeutics have a high pI. Figure 5 compares the pharmacokinetic profile of TX45 which has a reduced pI with earlier candidates in Tectonic’s program, and a different Fc-relaxin fusion described in the literature (“comparator”) (Sun et al. J Am Heart Assoc. 2019 Dec 17; 8(24): e013465). Pharmacokinetic studies in rats were run with an early Tectonic relaxin compound (TX early), the comparator compound and TX-45 in consecutive studies at the same site and analyzed in the same way. Both of the latter are high pI molecules. No head-to-head studies have been conducted between TX-45 and the comparator compound or TX early.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72360" cy="17735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72360" cy="17735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5 – The pharmacokinetic profile of TX45 in rats showed an 11 to 15-fold reduction in the alpha phase decline at 6 hours post-dose which resulted in a 4.1 to 5.5 -fold increase in AUC (0-100 hrs) compared to a comparator molecule and an earlier TX molecule which have higher isoelectric points compared to TX45. Rats (n= 3 / group) were administered 5 mg/kg of drug intravenously in all cases.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131" w:name="toc770053_135"/>
      <w:bookmarkEnd w:id="131"/>
      <w:r>
        <w:rPr>
          <w:rFonts w:ascii="Times New Roman" w:hAnsi="Times New Roman"/>
          <w:b/>
          <w:sz w:val="20"/>
        </w:rPr>
        <w:t xml:space="preserve">TX45 Pharmacology Studies </w:t>
      </w:r>
    </w:p>
    <w:p>
      <w:pPr>
        <w:pStyle w:val="TextBody"/>
        <w:bidi w:val="0"/>
        <w:spacing w:before="120" w:after="0"/>
        <w:jc w:val="left"/>
        <w:rPr>
          <w:rFonts w:ascii="Times New Roman" w:hAnsi="Times New Roman"/>
          <w:sz w:val="20"/>
        </w:rPr>
      </w:pPr>
      <w:r>
        <w:rPr>
          <w:rFonts w:ascii="Times New Roman" w:hAnsi="Times New Roman"/>
          <w:sz w:val="20"/>
        </w:rPr>
        <w:t xml:space="preserve">TX45 has been tested in several non-clinical </w:t>
      </w:r>
      <w:r>
        <w:rPr>
          <w:rFonts w:ascii="Times New Roman" w:hAnsi="Times New Roman"/>
          <w:i/>
          <w:sz w:val="20"/>
        </w:rPr>
        <w:t>in vivo</w:t>
      </w:r>
      <w:r>
        <w:rPr>
          <w:rFonts w:ascii="Times New Roman" w:hAnsi="Times New Roman"/>
          <w:sz w:val="20"/>
        </w:rPr>
        <w:t xml:space="preserve"> pharmacokinetic (PK) and pharmacology studies. These include a rat renal blood flow model that is used as a pharmacodynamic (PD) endpoint that demonstrates the vasodilatory effects of relaxin. TX45 administration shows a dose-response and exposure-response relationship on increasing rat renal blood flow (Figure 6). Renal arterial blood flow was measured with a perivascular flowmeter in anesthetized instrumented naïve rats. This study had 6-10 rats per group. </w:t>
      </w:r>
    </w:p>
    <w:p>
      <w:pPr>
        <w:pStyle w:val="TextBody"/>
        <w:bidi w:val="0"/>
        <w:spacing w:before="0" w:after="0"/>
        <w:jc w:val="left"/>
        <w:rPr/>
      </w:pPr>
      <w:r>
        <w:rPr/>
        <w:t> </w:t>
      </w:r>
    </w:p>
    <w:p>
      <w:pPr>
        <w:pStyle w:val="TextBody"/>
        <w:bidi w:val="0"/>
        <w:spacing w:before="0" w:after="0"/>
        <w:jc w:val="center"/>
        <w:rPr/>
      </w:pPr>
      <w:r>
        <w:rPr/>
        <w:drawing>
          <wp:inline distT="0" distB="0" distL="0" distR="0">
            <wp:extent cx="2372360" cy="147066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72360" cy="14706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4650" cy="23685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74650" cy="2368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Figure 6 – Dose-Dependent Effect of TX45 on Rat Renal Arterial Blood Flow (RABF) (left panel) and Associated Pharmacokinetic Exposures (right panel) </w:t>
      </w:r>
    </w:p>
    <w:p>
      <w:pPr>
        <w:pStyle w:val="TextBody"/>
        <w:bidi w:val="0"/>
        <w:spacing w:before="120" w:after="0"/>
        <w:jc w:val="left"/>
        <w:rPr>
          <w:rFonts w:ascii="Times New Roman" w:hAnsi="Times New Roman"/>
          <w:sz w:val="20"/>
        </w:rPr>
      </w:pPr>
      <w:r>
        <w:rPr>
          <w:rFonts w:ascii="Times New Roman" w:hAnsi="Times New Roman"/>
          <w:sz w:val="20"/>
        </w:rPr>
        <w:t xml:space="preserve">To test the impact of improvements from protein engineering efforts, and particularly the effect of reducing the pI of the molecule, Tectonic conducted a comparative assessment of TX45 and a high pI comparator Fc-Relaxin fusion protein in the same rat renal blood flow model (n = 6-10 per group). In these experiments, a dose of 0.03 mg/kg of TX45 produced a comparable pharmacodynamic effect to 0.3 mg/kg of the comparator high pI molecule, despite being 10x less potent in vitro. In these studies, TX45 is ~10x more potent by dose in vivo than the comparator molecule, which may be consistent with a differentiated clinical profile for TX45 (Figure 7).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9255" cy="23431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89255" cy="2343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7 – The improved biophysical Profile of TX45 results in a comparable AUC at a 10-fold lower dose (0.03 mg/kg) compared to the high pI comparator (0.3 mg/kg). </w:t>
      </w:r>
    </w:p>
    <w:p>
      <w:pPr>
        <w:pStyle w:val="TextBody"/>
        <w:bidi w:val="0"/>
        <w:spacing w:before="120" w:after="0"/>
        <w:jc w:val="left"/>
        <w:rPr>
          <w:rFonts w:ascii="Times New Roman" w:hAnsi="Times New Roman"/>
          <w:sz w:val="20"/>
        </w:rPr>
      </w:pPr>
      <w:r>
        <w:rPr>
          <w:rFonts w:ascii="Times New Roman" w:hAnsi="Times New Roman"/>
          <w:sz w:val="20"/>
        </w:rPr>
        <w:t xml:space="preserve">The use of human relaxin or human relaxin-mimetics in chronic in vivo pharmacology experiments in rats and mice has been limited by the development of anti-human relaxin antibodies that reduce relaxin levels and activity. This is because human relaxin is only ~50% homologous to rat relaxin so the rat immune system perceives human relaxin as being a foreign antigen. The development of anti-human relaxin antibodies in rodents is triggered in inflammatory disease models. To address this problem, Tectonic developed a method to administer anti-CD20 antibodies to deplete B lymphocytes and reduce antibody production. Using this approach, TX45 demonstrated a significant effect on a number of clinically relevant parameters in the rat monocrotaline-induced (MCT) model of pulmonary hypertension. The MCT model was run in the therapeutic mode, which is more stringent than the prophylactic mode. There were 10-12 rats per group and TX45 was tested in three independent experiments where it showed comparable effects. In this model, significant reductions (p&lt;0.05) in pulmonary artery pressure, right ventricular hypertrophy, NT-proBNP, and pulmonary artery muscularization were demonstrated along with 100% survival at 4 weeks compared with 75% for control animals (Figure 8, Figure 9, Figure 10). The determination of significance was done by a one-way anova test followed by Tukey’s multiple comparison test. The p values are shown in the figures. Pulmonary hemodynamics were measured using a French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pressure catheter inserted into the right ventricle and pulmonary artery in anesthetized animals. Histopathology analysis was used to evaluate lung inflammation and pulmonary artery muscularization.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82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7850" cy="2825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8 – TX45 had a significant effect on Right Ventricular Systolic Pressure (p=0.006) (a) and Fulton’s Index (p=0.01) (b) in the MCT-PH Rat Model. Statistical significance was determined by a one-way anova test followed by Tukey’s multiple comparison test.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6733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7850" cy="26733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9 – Following Histopathological Analysis TX45 had a significant effect on Lung Inflammation (p=0.01) (a) and Muscularization of Small Pulmonary Arteries (p=0.007) (b) in MCT-PH Rats Treated with TX45 or Vehicle. Statistical significance was determined by a one-way anova test followed by Tukey’s multiple comparison 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11150" cy="36004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11150" cy="3600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10 – TX45 Treated Animals had a 25% improvment on survival vs. Controls in MCT-PH Rats. </w:t>
      </w:r>
    </w:p>
    <w:p>
      <w:pPr>
        <w:pStyle w:val="TextBody"/>
        <w:bidi w:val="0"/>
        <w:spacing w:before="120" w:after="0"/>
        <w:jc w:val="center"/>
        <w:rPr>
          <w:rFonts w:ascii="Times New Roman" w:hAnsi="Times New Roman"/>
          <w:sz w:val="20"/>
        </w:rPr>
      </w:pPr>
      <w:r>
        <w:rPr>
          <w:rFonts w:ascii="Times New Roman" w:hAnsi="Times New Roman"/>
          <w:sz w:val="20"/>
        </w:rPr>
        <w:t xml:space="preserve">TX45 Achieves 100% Survival in Experiment </w:t>
      </w:r>
    </w:p>
    <w:p>
      <w:pPr>
        <w:pStyle w:val="TextBody"/>
        <w:bidi w:val="0"/>
        <w:spacing w:before="240" w:after="0"/>
        <w:jc w:val="left"/>
        <w:rPr>
          <w:rFonts w:ascii="Times New Roman" w:hAnsi="Times New Roman"/>
          <w:sz w:val="20"/>
        </w:rPr>
      </w:pPr>
      <w:r>
        <w:rPr>
          <w:rFonts w:ascii="Times New Roman" w:hAnsi="Times New Roman"/>
          <w:sz w:val="20"/>
        </w:rPr>
        <w:t xml:space="preserve">TX45 or earlier Tectonic compounds also demonstrated a significant effect on clinically relevant parameters such as improved pulmonary hemodynamics and a reduction in kidney and cardiac fibrosis in three other preclinical models where anti-CD20 was not administered; the mouse isoproterenol model of HFpEF, the rat Sugen-hypoxia model of pulmonary hypertension as well as in the mouse unilateral ureteral obstruction model of kidney fibrosis. All of these studies had an n-6 to 10 animals per group and statistical significance was determined by a one-way anova test followed by Tukey’s multiple comparison test. These preclinical data for TX45 have not yet been published. </w:t>
      </w:r>
    </w:p>
    <w:p>
      <w:pPr>
        <w:pStyle w:val="TextBody"/>
        <w:bidi w:val="0"/>
        <w:spacing w:before="360" w:after="0"/>
        <w:jc w:val="left"/>
        <w:rPr>
          <w:rFonts w:ascii="Times New Roman" w:hAnsi="Times New Roman"/>
          <w:b/>
          <w:sz w:val="20"/>
        </w:rPr>
      </w:pPr>
      <w:bookmarkStart w:id="132" w:name="toc770053_136"/>
      <w:bookmarkEnd w:id="132"/>
      <w:r>
        <w:rPr>
          <w:rFonts w:ascii="Times New Roman" w:hAnsi="Times New Roman"/>
          <w:b/>
          <w:sz w:val="20"/>
        </w:rPr>
        <w:t xml:space="preserve">TX45 Non-clinical Toxicology Studies </w:t>
      </w:r>
    </w:p>
    <w:p>
      <w:pPr>
        <w:pStyle w:val="TextBody"/>
        <w:bidi w:val="0"/>
        <w:spacing w:before="120" w:after="0"/>
        <w:jc w:val="left"/>
        <w:rPr>
          <w:rFonts w:ascii="Times New Roman" w:hAnsi="Times New Roman"/>
          <w:sz w:val="20"/>
        </w:rPr>
      </w:pPr>
      <w:r>
        <w:rPr>
          <w:rFonts w:ascii="Times New Roman" w:hAnsi="Times New Roman"/>
          <w:sz w:val="20"/>
        </w:rPr>
        <w:t xml:space="preserve">TX45 has been tested in rat and non-human primate (NHP) 1-month GLP toxicology and 6-month GLP toxicology studies at ITR in Canada. There is imperfect sequence homology between the active portion of TX45 and rat relaxin (~50%) or NHP relaxin (~73%). In the 1-month GLP toxicology studies, there were no specific toxicities identified and no observable adverse effect level (NOAEL), which is the greatest dose of a drug at which no detectable adverse effects occur in an exposed population, was 100 mg/kg for both species. Administration of TX45 resulted in the development of anti-drug antibodies (ADAs) in some rats and monkeys, but the ADA response was most prevalent in rats receiving TX45 by subcutaneous injection. </w:t>
      </w:r>
    </w:p>
    <w:p>
      <w:pPr>
        <w:pStyle w:val="TextBody"/>
        <w:bidi w:val="0"/>
        <w:spacing w:before="240" w:after="0"/>
        <w:jc w:val="left"/>
        <w:rPr>
          <w:rFonts w:ascii="Times New Roman" w:hAnsi="Times New Roman"/>
          <w:sz w:val="20"/>
        </w:rPr>
      </w:pPr>
      <w:r>
        <w:rPr>
          <w:rFonts w:ascii="Times New Roman" w:hAnsi="Times New Roman"/>
          <w:sz w:val="20"/>
        </w:rPr>
        <w:t xml:space="preserve">During weeks 6-9 of the 26-week GLP chronic toxicology study in NHPs, 5/32 monkeys treated with TX45 developed monkey anti-human anti-drug antibodies. ADAs formed in these 5 animals while they were recovering from an upper respiratory infection (URI) during weeks 5-9 of the study. Three animals were terminated prematurely due to severe immune related reactions, two of which had measured ADAs at the time of termination. Tectonic believes the URI acted as an adjuvant to heighten the immunologic response to TX45. Only animals that had URI symptoms developed ADAs and no additional animals developed ADAs as of week 25 (out of 26) of the study. The development of ADAs was not unexpected since there is only 75% homology between human and monkey relaxin, and ADAs were previously reported in serelaxin chronic toxicology studies. There is no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correlation between the development of ADAs against a substantially human protein administered to NHPs and the immunogenicity profile of the same protein in humans. The absence of high sequence homology between non-clinical species and human protein therapeutics is a common cause of immunogenicity in toxicology studies, particularly in longer-term studies, and does not predict immunogenicity in human clinical studies. </w:t>
      </w:r>
    </w:p>
    <w:p>
      <w:pPr>
        <w:pStyle w:val="TextBody"/>
        <w:bidi w:val="0"/>
        <w:spacing w:before="360" w:after="0"/>
        <w:jc w:val="left"/>
        <w:rPr>
          <w:rFonts w:ascii="Times New Roman" w:hAnsi="Times New Roman"/>
          <w:b/>
          <w:sz w:val="20"/>
        </w:rPr>
      </w:pPr>
      <w:bookmarkStart w:id="133" w:name="toc770053_137"/>
      <w:bookmarkEnd w:id="133"/>
      <w:r>
        <w:rPr>
          <w:rFonts w:ascii="Times New Roman" w:hAnsi="Times New Roman"/>
          <w:b/>
          <w:sz w:val="20"/>
        </w:rPr>
        <w:t xml:space="preserve">TX45 Clinical Development Studies and Plans </w:t>
      </w:r>
    </w:p>
    <w:p>
      <w:pPr>
        <w:pStyle w:val="TextBody"/>
        <w:bidi w:val="0"/>
        <w:spacing w:before="120" w:after="0"/>
        <w:jc w:val="left"/>
        <w:rPr>
          <w:rFonts w:ascii="Times New Roman" w:hAnsi="Times New Roman"/>
          <w:sz w:val="20"/>
        </w:rPr>
      </w:pPr>
      <w:r>
        <w:rPr>
          <w:rFonts w:ascii="Times New Roman" w:hAnsi="Times New Roman"/>
          <w:sz w:val="20"/>
        </w:rPr>
        <w:t xml:space="preserve">The TX45 clinical development program is designed to provide data supporting key inflection points. TX000045-001, a first in human, single ascending dose study is designed to provide data on safety and tolerability, and pharmacokinetic and pharmacodynamic and immunogenicity data after single doses in healthy volunteers in mid-2024. Additionally, Tectonic anticipates that Phase 1b single dose hemodynamic data in Group 2 PH patients could be available in 2025, and that Phase 2 proof-of-concept efficacy data in Group 2 PH patients could be available in 2026. </w:t>
      </w:r>
    </w:p>
    <w:p>
      <w:pPr>
        <w:pStyle w:val="TextBody"/>
        <w:bidi w:val="0"/>
        <w:spacing w:before="240" w:after="0"/>
        <w:jc w:val="left"/>
        <w:rPr>
          <w:rFonts w:ascii="Times New Roman" w:hAnsi="Times New Roman"/>
          <w:sz w:val="20"/>
        </w:rPr>
      </w:pPr>
      <w:r>
        <w:rPr>
          <w:rFonts w:ascii="Times New Roman" w:hAnsi="Times New Roman"/>
          <w:sz w:val="20"/>
        </w:rPr>
        <w:t xml:space="preserve">Tectonic’s Phase 1a study is being conducted in Australia and the Phase 1b study will be conducted in Moldova and the Netherlands. These studies are being conducted under ICH and GCP guidelines. Tectonic plans to conduct Phase 2 studies in the U.S., Australia, Europe and Eastern Europe. Prior to initiating the Phase 2 study in the U.S., the Phase 1 study being conducted in Australia will need to have confirmed the safety profile of the drug and data from the study will determine the selected doses in the Phase 2 study. A pre-IND meeting with the FDA is planned in the first half of 2024 followed by submission of the IND. Acceptance of the IND by the FDA and of the supporting preclinical data and Phase 1a data is required before Phase 2 can be initiated in the U.S. </w:t>
      </w:r>
    </w:p>
    <w:p>
      <w:pPr>
        <w:pStyle w:val="TextBody"/>
        <w:bidi w:val="0"/>
        <w:spacing w:before="240" w:after="0"/>
        <w:jc w:val="left"/>
        <w:rPr>
          <w:rFonts w:ascii="Times New Roman" w:hAnsi="Times New Roman"/>
          <w:sz w:val="20"/>
        </w:rPr>
      </w:pPr>
      <w:r>
        <w:rPr>
          <w:rFonts w:ascii="Times New Roman" w:hAnsi="Times New Roman"/>
          <w:sz w:val="20"/>
        </w:rPr>
        <w:t xml:space="preserve">Provided the Phase 1 and 2 studies obtain sufficient safety and efficacy data to justify proceeding to Phase 3, the conduct of Global Phase 3 pivotal studies including sites in the U.S., and additional non-clinical development work including scale-up of GMP manufacturing to commercial scale would also be needed to generate the data package necessary to support regulatory approval for marketing authorization in the U.S. through the submission of a Biologic License Application (BLA) to the FDA. Tectonic would also seek similar regulatory approvals through equivalent submissions to regulatory bodies in territories outside of the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2"/>
        <w:gridCol w:w="60"/>
        <w:gridCol w:w="2389"/>
        <w:gridCol w:w="120"/>
        <w:gridCol w:w="3348"/>
        <w:gridCol w:w="120"/>
        <w:gridCol w:w="2976"/>
      </w:tblGrid>
      <w:tr>
        <w:trPr/>
        <w:tc>
          <w:tcPr>
            <w:tcW w:w="1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r>
      <w:tr>
        <w:trPr/>
        <w:tc>
          <w:tcPr>
            <w:tcW w:w="119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Study, Status, Location</w:t>
            </w:r>
          </w:p>
        </w:tc>
        <w:tc>
          <w:tcPr>
            <w:tcW w:w="60" w:type="dxa"/>
            <w:tcBorders/>
            <w:vAlign w:val="center"/>
          </w:tcPr>
          <w:p>
            <w:pPr>
              <w:pStyle w:val="TableContents"/>
              <w:bidi w:val="0"/>
              <w:spacing w:before="0" w:after="283"/>
              <w:jc w:val="left"/>
              <w:rPr/>
            </w:pPr>
            <w:r>
              <w:rPr/>
              <w:t> </w:t>
            </w:r>
          </w:p>
        </w:tc>
        <w:tc>
          <w:tcPr>
            <w:tcW w:w="238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Study Design</w:t>
            </w:r>
          </w:p>
        </w:tc>
        <w:tc>
          <w:tcPr>
            <w:tcW w:w="120" w:type="dxa"/>
            <w:tcBorders/>
            <w:vAlign w:val="center"/>
          </w:tcPr>
          <w:p>
            <w:pPr>
              <w:pStyle w:val="TableContents"/>
              <w:bidi w:val="0"/>
              <w:spacing w:before="0" w:after="283"/>
              <w:jc w:val="left"/>
              <w:rPr/>
            </w:pPr>
            <w:r>
              <w:rPr/>
              <w:t>  </w:t>
            </w:r>
          </w:p>
        </w:tc>
        <w:tc>
          <w:tcPr>
            <w:tcW w:w="334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Treatments</w:t>
            </w:r>
          </w:p>
        </w:tc>
        <w:tc>
          <w:tcPr>
            <w:tcW w:w="120" w:type="dxa"/>
            <w:tcBorders/>
            <w:vAlign w:val="center"/>
          </w:tcPr>
          <w:p>
            <w:pPr>
              <w:pStyle w:val="TableContents"/>
              <w:bidi w:val="0"/>
              <w:spacing w:before="0" w:after="283"/>
              <w:jc w:val="left"/>
              <w:rPr/>
            </w:pPr>
            <w:r>
              <w:rPr/>
              <w:t>  </w:t>
            </w:r>
          </w:p>
        </w:tc>
        <w:tc>
          <w:tcPr>
            <w:tcW w:w="297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Subject Population and</w:t>
              <w:br/>
              <w:t>Number</w:t>
            </w:r>
          </w:p>
        </w:tc>
      </w:tr>
      <w:tr>
        <w:trPr/>
        <w:tc>
          <w:tcPr>
            <w:tcW w:w="1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TX000045-001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Phase 1a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(Ongoing)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Australia</w:t>
            </w:r>
          </w:p>
        </w:tc>
        <w:tc>
          <w:tcPr>
            <w:tcW w:w="60" w:type="dxa"/>
            <w:tcBorders/>
            <w:shd w:fill="CCEEFF" w:val="clear"/>
            <w:vAlign w:val="center"/>
          </w:tcPr>
          <w:p>
            <w:pPr>
              <w:pStyle w:val="TableContents"/>
              <w:bidi w:val="0"/>
              <w:spacing w:before="0" w:after="283"/>
              <w:jc w:val="left"/>
              <w:rPr/>
            </w:pPr>
            <w:r>
              <w:rPr/>
              <w:t> </w:t>
            </w:r>
          </w:p>
        </w:tc>
        <w:tc>
          <w:tcPr>
            <w:tcW w:w="2389" w:type="dxa"/>
            <w:tcBorders/>
            <w:shd w:fill="CCEEFF" w:val="clear"/>
            <w:vAlign w:val="center"/>
          </w:tcPr>
          <w:p>
            <w:pPr>
              <w:pStyle w:val="TableContents"/>
              <w:bidi w:val="0"/>
              <w:spacing w:before="0" w:after="283"/>
              <w:jc w:val="left"/>
              <w:rPr/>
            </w:pPr>
            <w:r>
              <w:rPr/>
              <w:t>Randomized, double-blind, SAD (Part A) and MD (Part B)</w:t>
            </w:r>
          </w:p>
        </w:tc>
        <w:tc>
          <w:tcPr>
            <w:tcW w:w="120" w:type="dxa"/>
            <w:tcBorders/>
            <w:shd w:fill="CCEEFF" w:val="clear"/>
            <w:vAlign w:val="center"/>
          </w:tcPr>
          <w:p>
            <w:pPr>
              <w:pStyle w:val="TableContents"/>
              <w:bidi w:val="0"/>
              <w:spacing w:before="0" w:after="283"/>
              <w:jc w:val="left"/>
              <w:rPr/>
            </w:pPr>
            <w:r>
              <w:rPr/>
              <w:t>  </w:t>
            </w:r>
          </w:p>
        </w:tc>
        <w:tc>
          <w:tcPr>
            <w:tcW w:w="33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TX000045 or placebo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Part A: Single ascending IV and SC doses per clinical study protocol: IV : 0.3mg/kg, 1mg/kg, 3mg/kg SC: 150mg, 300mg, 600mg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Part B: Multiple dose, 150mg SC every other week for 3 doses</w:t>
            </w:r>
          </w:p>
        </w:tc>
        <w:tc>
          <w:tcPr>
            <w:tcW w:w="120" w:type="dxa"/>
            <w:tcBorders/>
            <w:shd w:fill="CCEEFF" w:val="clear"/>
            <w:vAlign w:val="center"/>
          </w:tcPr>
          <w:p>
            <w:pPr>
              <w:pStyle w:val="TableContents"/>
              <w:bidi w:val="0"/>
              <w:spacing w:before="0" w:after="283"/>
              <w:jc w:val="left"/>
              <w:rPr/>
            </w:pPr>
            <w:r>
              <w:rPr/>
              <w:t>  </w:t>
            </w:r>
          </w:p>
        </w:tc>
        <w:tc>
          <w:tcPr>
            <w:tcW w:w="29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Healthy male and female subjects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cohort will have 8 subjects, 6 on TX45 and 2 on placebo</w:t>
            </w:r>
          </w:p>
        </w:tc>
      </w:tr>
      <w:tr>
        <w:trPr/>
        <w:tc>
          <w:tcPr>
            <w:tcW w:w="1192" w:type="dxa"/>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c>
          <w:tcPr>
            <w:tcW w:w="3096" w:type="dxa"/>
            <w:gridSpan w:val="2"/>
            <w:tcBorders/>
            <w:vAlign w:val="center"/>
          </w:tcPr>
          <w:p>
            <w:pPr>
              <w:pStyle w:val="TableContents"/>
              <w:bidi w:val="0"/>
              <w:spacing w:before="0" w:after="283"/>
              <w:jc w:val="left"/>
              <w:rPr>
                <w:sz w:val="4"/>
                <w:szCs w:val="4"/>
              </w:rPr>
            </w:pPr>
            <w:r>
              <w:rPr>
                <w:sz w:val="4"/>
                <w:szCs w:val="4"/>
              </w:rPr>
            </w:r>
          </w:p>
        </w:tc>
      </w:tr>
      <w:tr>
        <w:trPr/>
        <w:tc>
          <w:tcPr>
            <w:tcW w:w="1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TX000045-002</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Phase 1b</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(Ongoing)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Moldova,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Netherlands</w:t>
            </w:r>
          </w:p>
        </w:tc>
        <w:tc>
          <w:tcPr>
            <w:tcW w:w="60" w:type="dxa"/>
            <w:tcBorders/>
            <w:vAlign w:val="center"/>
          </w:tcPr>
          <w:p>
            <w:pPr>
              <w:pStyle w:val="TableContents"/>
              <w:bidi w:val="0"/>
              <w:spacing w:before="0" w:after="283"/>
              <w:jc w:val="left"/>
              <w:rPr/>
            </w:pPr>
            <w:r>
              <w:rPr/>
              <w:t> </w:t>
            </w:r>
          </w:p>
        </w:tc>
        <w:tc>
          <w:tcPr>
            <w:tcW w:w="2389" w:type="dxa"/>
            <w:tcBorders/>
            <w:vAlign w:val="center"/>
          </w:tcPr>
          <w:p>
            <w:pPr>
              <w:pStyle w:val="TableContents"/>
              <w:bidi w:val="0"/>
              <w:spacing w:before="0" w:after="283"/>
              <w:jc w:val="left"/>
              <w:rPr/>
            </w:pPr>
            <w:r>
              <w:rPr/>
              <w:t>Open-label single dose</w:t>
            </w:r>
          </w:p>
        </w:tc>
        <w:tc>
          <w:tcPr>
            <w:tcW w:w="120" w:type="dxa"/>
            <w:tcBorders/>
            <w:vAlign w:val="center"/>
          </w:tcPr>
          <w:p>
            <w:pPr>
              <w:pStyle w:val="TableContents"/>
              <w:bidi w:val="0"/>
              <w:spacing w:before="0" w:after="283"/>
              <w:jc w:val="left"/>
              <w:rPr/>
            </w:pPr>
            <w:r>
              <w:rPr/>
              <w:t>  </w:t>
            </w:r>
          </w:p>
        </w:tc>
        <w:tc>
          <w:tcPr>
            <w:tcW w:w="33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TX000045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0.3, 1, or 3 mg/kg IV</w:t>
            </w:r>
          </w:p>
        </w:tc>
        <w:tc>
          <w:tcPr>
            <w:tcW w:w="120"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Up to 25 patients with PH-HFpEF, including at least 14 patients with PVR&gt;3 WU</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0.3 mg cohort will have 2 patients enrolled followed by up to 12 patients in the 1 and 3 mg/kg IV cohorts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134" w:name="toc770053_138"/>
      <w:bookmarkEnd w:id="134"/>
      <w:r>
        <w:rPr>
          <w:rFonts w:ascii="Times New Roman" w:hAnsi="Times New Roman"/>
          <w:b/>
          <w:sz w:val="20"/>
        </w:rPr>
        <w:t xml:space="preserve">Ongoing Phase 1a Trial </w:t>
      </w:r>
    </w:p>
    <w:p>
      <w:pPr>
        <w:pStyle w:val="TextBody"/>
        <w:bidi w:val="0"/>
        <w:spacing w:before="120" w:after="0"/>
        <w:jc w:val="left"/>
        <w:rPr>
          <w:rFonts w:ascii="Times New Roman" w:hAnsi="Times New Roman"/>
          <w:sz w:val="20"/>
        </w:rPr>
      </w:pPr>
      <w:r>
        <w:rPr>
          <w:rFonts w:ascii="Times New Roman" w:hAnsi="Times New Roman"/>
          <w:sz w:val="20"/>
        </w:rPr>
        <w:t xml:space="preserve">A Phase 1 randomized, placebo-controlled, double-blind study in healthy volunteers with TX45 is currently ongoing in Australia, and includes single ascending dose (SAD) and multiple dose cohorts. In the SAD portion of the trial, TX45 is being administered by intravenous (IV) or subcutaneous (SC) injection, and in the multiple dose portion TX45 is being administered subcutaneously. The primary objective of the Phase 1 study is to determine the safety and tolerability of TX45 after single doses in ascending dose levels. The number of patients in each dose cohort is eight, six on TX45 and two on placebo. Secondary objectives include the evaluation of the pharmacokinetic (PK) and pharmacodynamic (PD) properties of TX45 to determine a PK/PD relationship. The PD endpoint in this study is the percent change from baseline renal plasma flow (RPF). </w:t>
      </w:r>
    </w:p>
    <w:p>
      <w:pPr>
        <w:pStyle w:val="TextBody"/>
        <w:bidi w:val="0"/>
        <w:spacing w:before="240" w:after="0"/>
        <w:jc w:val="left"/>
        <w:rPr>
          <w:rFonts w:ascii="Times New Roman" w:hAnsi="Times New Roman"/>
          <w:sz w:val="20"/>
        </w:rPr>
      </w:pPr>
      <w:r>
        <w:rPr>
          <w:rFonts w:ascii="Times New Roman" w:hAnsi="Times New Roman"/>
          <w:sz w:val="20"/>
        </w:rPr>
        <w:t xml:space="preserve">As of January 18, 2024, the first three cohorts (0.3 mg/kg IV, 1 mg/kg IV, 150 mg SC) of the single ascending dose portion of the Phase 1 study have been dosed with TX45. No drug-related SAEs have been observed thus far. Modeling of data available as of January 15, 2024 from these cohorts suggests that a single 1-2 mL injection of TX45 given once monthly (corresponding to a 150 mg and/or 300 mg dose) could be the target dose regimen. The bioavailability of TX45 after SC administration is approximately 50%. Evaluation of renal plasma flow on Day 2 after the initial starting dose administration of 0.3 mg/kg TX45 IV showed approximately 30% increase in RPF compared to baseline that was maintained on Day 8. There has been no evidence of immune-mediated clearance in subjects dosed with TX45. </w:t>
      </w:r>
    </w:p>
    <w:p>
      <w:pPr>
        <w:pStyle w:val="TextBody"/>
        <w:bidi w:val="0"/>
        <w:spacing w:before="360" w:after="0"/>
        <w:jc w:val="left"/>
        <w:rPr>
          <w:rFonts w:ascii="Times New Roman" w:hAnsi="Times New Roman"/>
          <w:b/>
          <w:sz w:val="20"/>
        </w:rPr>
      </w:pPr>
      <w:bookmarkStart w:id="135" w:name="toc770053_139"/>
      <w:bookmarkEnd w:id="135"/>
      <w:r>
        <w:rPr>
          <w:rFonts w:ascii="Times New Roman" w:hAnsi="Times New Roman"/>
          <w:b/>
          <w:sz w:val="20"/>
        </w:rPr>
        <w:t xml:space="preserve">Planned Phase 1b Trial </w:t>
      </w:r>
    </w:p>
    <w:p>
      <w:pPr>
        <w:pStyle w:val="TextBody"/>
        <w:bidi w:val="0"/>
        <w:spacing w:before="120" w:after="0"/>
        <w:jc w:val="left"/>
        <w:rPr>
          <w:rFonts w:ascii="Times New Roman" w:hAnsi="Times New Roman"/>
          <w:sz w:val="20"/>
        </w:rPr>
      </w:pPr>
      <w:r>
        <w:rPr>
          <w:rFonts w:ascii="Times New Roman" w:hAnsi="Times New Roman"/>
          <w:sz w:val="20"/>
        </w:rPr>
        <w:t xml:space="preserve">A Phase 1b study with TX45 in patients with Group 2 PH and HFpEF has been initiated in Moldova and will be conducted in both the Netherlands and Moldova. The study will enroll up to 25 patients with PH-HFpEF and up to 14 patients will have elevated PVR (CpcPH). This study is a single dose, open-label study with intravenous administration of TX45 to evaluate the safety, tolerability and acute hemodynamic effects in patients. The doses of TX45 administered in this study will be 0.3 mg/kg IV, 1 mg/kg, and 3 mg/kg. The study will evaluate the change from baseline in pulmonary vascular resistance (PVR) as determined by right heart catheterization, as well as improvement in mean pulmonary artery pressure, pulmonary wedge pressure, cardiac output, systemic vascular resistance. Tectonic will explore change in NT-proBNP and several echocardiology endpoints. </w:t>
      </w:r>
    </w:p>
    <w:p>
      <w:pPr>
        <w:pStyle w:val="TextBody"/>
        <w:bidi w:val="0"/>
        <w:spacing w:before="360" w:after="0"/>
        <w:jc w:val="left"/>
        <w:rPr>
          <w:rFonts w:ascii="Times New Roman" w:hAnsi="Times New Roman"/>
          <w:b/>
          <w:sz w:val="20"/>
        </w:rPr>
      </w:pPr>
      <w:bookmarkStart w:id="136" w:name="toc770053_140"/>
      <w:bookmarkEnd w:id="136"/>
      <w:r>
        <w:rPr>
          <w:rFonts w:ascii="Times New Roman" w:hAnsi="Times New Roman"/>
          <w:b/>
          <w:sz w:val="20"/>
        </w:rPr>
        <w:t xml:space="preserve">Phase 2 Proof of Concept Study in Group 2 PH and HFpEF after 24 weeks of treatment. </w:t>
      </w:r>
    </w:p>
    <w:p>
      <w:pPr>
        <w:pStyle w:val="TextBody"/>
        <w:bidi w:val="0"/>
        <w:spacing w:before="120" w:after="0"/>
        <w:jc w:val="left"/>
        <w:rPr>
          <w:rFonts w:ascii="Times New Roman" w:hAnsi="Times New Roman"/>
          <w:sz w:val="20"/>
        </w:rPr>
      </w:pPr>
      <w:r>
        <w:rPr>
          <w:rFonts w:ascii="Times New Roman" w:hAnsi="Times New Roman"/>
          <w:sz w:val="20"/>
        </w:rPr>
        <w:t xml:space="preserve">Tectonic’s TX45 Phase 2 randomized, placebo-controlled, double-blind proof-of-concept (POC) clinical trial in patients with Group 2 PH and HFpEF is expected to begin in the second half of 2024 and will be conducted globally, including the U.S., Europe, Eastern Europe and Australia. Initiation of this study is contingent on data from the Phase 1 study demonstrating adequate safety and sufficient data to select doses and dose intervals for the Phase 2 study. This study is designed to enrich for patients with a PVR of &gt;3 on baseline right heart catheterization with the goal of evaluating efficacy in both CpcPH as well as the whole Group 2 PH population with HFpEF. In this study, TX45 or placebo would be administered by subcutaneous injection for 6 months. Endpoints may include the change from baseline in PVR, stroke volume index, cardiac output, and additional hemodynamic measures as determined by right heart catheterization, 6-minute walk distance, Kansas City Cardiomyopathy Questionnaire-12 score, NT-proBNP blood level, and relevant echocardiography endpoints. </w:t>
      </w:r>
    </w:p>
    <w:p>
      <w:pPr>
        <w:pStyle w:val="TextBody"/>
        <w:bidi w:val="0"/>
        <w:spacing w:before="360" w:after="0"/>
        <w:jc w:val="left"/>
        <w:rPr>
          <w:rFonts w:ascii="Times New Roman" w:hAnsi="Times New Roman"/>
          <w:b/>
          <w:sz w:val="20"/>
        </w:rPr>
      </w:pPr>
      <w:bookmarkStart w:id="137" w:name="toc770053_141"/>
      <w:bookmarkEnd w:id="137"/>
      <w:r>
        <w:rPr>
          <w:rFonts w:ascii="Times New Roman" w:hAnsi="Times New Roman"/>
          <w:b/>
          <w:sz w:val="20"/>
        </w:rPr>
        <w:t xml:space="preserve">Type 2 PH Anticipated Pivotal Development Pathway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results of Tectonic’s Phase 2 trials and feedback received during the End of Phase 2 meeting with the FDA, Tectonic expects to initiate a randomized, placebo-controlled, double-blind Phase 3 clinical trial in Group 2 PH patients with HFpEF, as well as long term extension study for safety evaluation. In addition, Tectonic will design a long-term study for the evaluation of safety. Based on historical precedent across multiple PH subtypes and recent FDA public comments regarding the specific requirements for approval in Type 2 PH, Tectonic believes that the achievement of a clinically significant change in a functional endpoint, such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6-minute walk distance or actigraphy, may be sufficient for approval. The secondary endpoints may also include change from baseline to week 24 in: KCCQ-12 score, NT-proBNP level, and the percentage who improve in WHO functional class. An additional secondary endpoint may be the time to the first occurrence of a clinical worsening event or death. At this time, Tectonic does not anticipate that an assessment of TX45’s impact on long term cardiovascular outcomes will be a requirement for approval. Commercialization in the U.S. and other countries will be contingent on approval by the regulatory authorities (the FDA in the U.S.) and an assessment by the regulators that the studies were conducted in accordance with accepted guidance and the data demonstrated that there was a positive benefit risk for patients. </w:t>
      </w:r>
    </w:p>
    <w:p>
      <w:pPr>
        <w:pStyle w:val="TextBody"/>
        <w:bidi w:val="0"/>
        <w:spacing w:before="360" w:after="0"/>
        <w:jc w:val="left"/>
        <w:rPr>
          <w:rFonts w:ascii="Times New Roman" w:hAnsi="Times New Roman"/>
          <w:b/>
          <w:sz w:val="20"/>
        </w:rPr>
      </w:pPr>
      <w:bookmarkStart w:id="138" w:name="toc770053_142"/>
      <w:bookmarkEnd w:id="138"/>
      <w:r>
        <w:rPr>
          <w:rFonts w:ascii="Times New Roman" w:hAnsi="Times New Roman"/>
          <w:b/>
          <w:sz w:val="20"/>
        </w:rPr>
        <w:t xml:space="preserve">Background on HHT Opportunity </w:t>
      </w:r>
    </w:p>
    <w:p>
      <w:pPr>
        <w:pStyle w:val="TextBody"/>
        <w:bidi w:val="0"/>
        <w:spacing w:before="120" w:after="0"/>
        <w:jc w:val="left"/>
        <w:rPr>
          <w:rFonts w:ascii="Times New Roman" w:hAnsi="Times New Roman"/>
          <w:sz w:val="20"/>
        </w:rPr>
      </w:pPr>
      <w:r>
        <w:rPr>
          <w:rFonts w:ascii="Times New Roman" w:hAnsi="Times New Roman"/>
          <w:sz w:val="20"/>
        </w:rPr>
        <w:t xml:space="preserve">Hereditary Hemorrhagic Telangiectasia (HHT), also known as Osler-Weber-Rendu syndrome, is the second most common genetic bleeding disorder. It has been estimated that there are up to 70,000 HHT patients in the USA and it has also been estimated that up to 10-20% of them have severe disease. Symptoms of this disorder typically arise in late teenage years or older, and the most common manifestation is recurrent epistaxis (nosebleeds), or gastrointestinal bleeding, that can be severe in some patients, requiring iron infusions or blood transfusions, Epistaxis is typically due to abnormal small blood vessels (telangiectasias) in the nasal mucosa. Patients with HHT can also develop large arterio-venous malformations (AVMs) in various organs, such as the brain, liver and lung. The presence of liver AVMs can lead to high output heart failure. AVMs can spontaneously bleed on occasion with potentially devastating results. While some AVMs can be treated by radiologic embolization, such as AVMs in the lung, others cannot, especially in the liver. Indeed, for patients with prominent liver AVMs, the only therapeutic option may be transplantation. </w:t>
      </w:r>
    </w:p>
    <w:p>
      <w:pPr>
        <w:pStyle w:val="TextBody"/>
        <w:bidi w:val="0"/>
        <w:spacing w:before="240" w:after="0"/>
        <w:jc w:val="left"/>
        <w:rPr>
          <w:rFonts w:ascii="Times New Roman" w:hAnsi="Times New Roman"/>
          <w:sz w:val="20"/>
        </w:rPr>
      </w:pPr>
      <w:r>
        <w:rPr>
          <w:rFonts w:ascii="Times New Roman" w:hAnsi="Times New Roman"/>
          <w:sz w:val="20"/>
        </w:rPr>
        <w:t xml:space="preserve">While there are no approved medical therapies for HHT, anti-VEGF therapies including bevacizumab have been used on an </w:t>
      </w:r>
      <w:r>
        <w:rPr>
          <w:rFonts w:ascii="Times New Roman" w:hAnsi="Times New Roman"/>
          <w:i/>
          <w:sz w:val="20"/>
        </w:rPr>
        <w:t>ad hoc</w:t>
      </w:r>
      <w:r>
        <w:rPr>
          <w:rFonts w:ascii="Times New Roman" w:hAnsi="Times New Roman"/>
          <w:sz w:val="20"/>
        </w:rPr>
        <w:t xml:space="preserve"> basis with results demonstrating that an anti-angiogenic therapy has the potential to be an efficacious treatment. These therapies have been shown to reduce angiogenesis and bleeding in mouse models of HHT. Importantly, these data have translated to the clinic, as small investigator-sponsored trials in HHT patients have demonstrated reduced epistaxis episodes and reduced transfusion dependence. The effects of anti-VEGF therapy suggest that targeting an alternative pathway, similar to the VEGF-VEGFR pathway in its ability to more specifically regulate angiogenesis, could be a productive strategy to address HHT. In addition to bevacizumab, pazopanib, a tyrosine kinase inhibitor, has been explored in small investigator-initiated studies with early suggestion of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HHT is a genetic disorder due to loss-of-function mutations in proteins in the BMP9/10-Endoglin-ALK1-SMAD4 signaling pathway. BMP9 is a member of the TGF-beta family of growth factors that regulate blood vessel development. “GPCR3” (the specific GPCR target is not disclosed at this stage) and its ligand (“L3”) have been described to play a role in angiogenesis and AVM formation. Expression of L3 is also upregulated in HHT disease models and likely contributes to the development of abnormal blood vessels.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 Candidate for the Treatment of HHT </w:t>
      </w:r>
    </w:p>
    <w:p>
      <w:pPr>
        <w:pStyle w:val="TextBody"/>
        <w:bidi w:val="0"/>
        <w:spacing w:before="120" w:after="0"/>
        <w:jc w:val="left"/>
        <w:rPr>
          <w:rFonts w:ascii="Times New Roman" w:hAnsi="Times New Roman"/>
          <w:sz w:val="20"/>
        </w:rPr>
      </w:pPr>
      <w:r>
        <w:rPr>
          <w:rFonts w:ascii="Times New Roman" w:hAnsi="Times New Roman"/>
          <w:sz w:val="20"/>
        </w:rPr>
        <w:t xml:space="preserve">Tectonic has identified potential development candidates, from which one could be selected for further development as a potential treatment for HHT. These comprise a potent inhibitory anti-“GPCR3” antibody (VHH) linked to the Fc portion of IgG1. The Fc portion of these molecules was modified to reduce Fcg receptor activation and to increase binding to FcRn, in order to enhance the half-life of the molecules.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Pharmacology Studies </w:t>
      </w:r>
    </w:p>
    <w:p>
      <w:pPr>
        <w:pStyle w:val="TextBody"/>
        <w:bidi w:val="0"/>
        <w:spacing w:before="120" w:after="0"/>
        <w:jc w:val="left"/>
        <w:rPr>
          <w:rFonts w:ascii="Times New Roman" w:hAnsi="Times New Roman"/>
          <w:sz w:val="20"/>
        </w:rPr>
      </w:pPr>
      <w:r>
        <w:rPr>
          <w:rFonts w:ascii="Times New Roman" w:hAnsi="Times New Roman"/>
          <w:sz w:val="20"/>
        </w:rPr>
        <w:t xml:space="preserve">Several murine models of HHT have been established. These include both genetic loss-of-function models that disrupt the BMP9/10-Endoglin-ALK1-SMAD4 signaling pathway at different points, and the BMP9/10 immunoblocked model. In several of these murine models of HHT, anti-VEGF or anti-VEGF receptor agents reduce AVM formation and spontaneous bleeding. As referenced above, since bevacizumab, an anti-VEGF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monoclonal antibody, has been shown to have a clinical impact in HHT patients at reducing epistaxis, the mouse models appear to be predictive of these human impacts. Despite these signs of clinical utility, neither bevacizumab nor small molecule VEGF receptor inhibitors have been approved for the treatment of HHT and they are not widely used likely because of the lack of approval, concerns about toxicity and lack of adequate information about dose. Tectonic has established a pharmacodynamic model of spontaneous murine neonatal retinal angiogenesis. In this model, treatment with a potent mouse “GPCR3” Nb-Fc antagonist reduces neo-angiogenesis and vascularized area in the neonatal mouse retina. Tectonic has also established the BMP9/10-immunoblocked mouse model of HHT. This model reliably leads to the development of telangiectasias, AVMs and bleeding in organs including the GI tract and brain. In this model, Tectonic’s “GPCR3” antagonist significantly reduces both arteriovenous malformations (AVMs), retinal vascular density induced by BMP9/BMP10 blockade to a similar degree as a VEGF antagonist (Figure 11), a N=7 retinas were used for AVM number determination. This demonstrates that pharmacologic inhibition of GPCR3 provides significant effects on endpoints relevant to HHT patients. Additional </w:t>
      </w:r>
      <w:r>
        <w:rPr>
          <w:rFonts w:ascii="Times New Roman" w:hAnsi="Times New Roman"/>
          <w:i/>
          <w:sz w:val="20"/>
        </w:rPr>
        <w:t>in vivo</w:t>
      </w:r>
      <w:r>
        <w:rPr>
          <w:rFonts w:ascii="Times New Roman" w:hAnsi="Times New Roman"/>
          <w:sz w:val="20"/>
        </w:rPr>
        <w:t xml:space="preserve"> studies characterizing the effects of “GPCR3” antagonism on additional HHT relevant vascular pathology endpoints in mice are planned.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460115" cy="161861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460115" cy="16186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11 – Anti-“GPCR3” Antibody Treatment Significantly Reduces AVMs and Lessens Retinal Vascular Density Induced by BMP9/10 Blockade Compared to Treatment with Inactive Control Antibody (IgG2a/2b). Left Panel: Determination of AVM number and right panel; determination of vascular density in the retinal plexus in neonatal mice at P6 comparing “GPCR3” antagonist, isotope control antibody and a VEGF-A antibody antagonist. In all cases, data analysis was blinded. Data are mean ± SEM and analyzed using one-way ANOVA. * p&lt;0.05; **** p&lt;0.0001. Data represents N=7 mice per group. The vascular density values were generated by collecting five 200 x 200 mm2 from different fields per retina and analyzed using the ImageJ, measure particles tool software. AVM and vascular density analysis was carried out in a blinded fashion.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Clinical Development Plans </w:t>
      </w:r>
    </w:p>
    <w:p>
      <w:pPr>
        <w:pStyle w:val="TextBody"/>
        <w:bidi w:val="0"/>
        <w:spacing w:before="120" w:after="0"/>
        <w:jc w:val="left"/>
        <w:rPr>
          <w:rFonts w:ascii="Times New Roman" w:hAnsi="Times New Roman"/>
          <w:sz w:val="20"/>
        </w:rPr>
      </w:pPr>
      <w:r>
        <w:rPr>
          <w:rFonts w:ascii="Times New Roman" w:hAnsi="Times New Roman"/>
          <w:sz w:val="20"/>
        </w:rPr>
        <w:t xml:space="preserve">Provided that it meets acceptable safety, tolerability and developability criteria in upcoming studies, a development candidate (DC) could be selected for further progression into clinical studies, which could begin sometime in Q4/2025-Q1/2026. </w:t>
      </w:r>
    </w:p>
    <w:p>
      <w:pPr>
        <w:pStyle w:val="TextBody"/>
        <w:bidi w:val="0"/>
        <w:spacing w:before="240" w:after="0"/>
        <w:jc w:val="left"/>
        <w:rPr>
          <w:rFonts w:ascii="Times New Roman" w:hAnsi="Times New Roman"/>
          <w:sz w:val="20"/>
        </w:rPr>
      </w:pPr>
      <w:r>
        <w:rPr>
          <w:rFonts w:ascii="Times New Roman" w:hAnsi="Times New Roman"/>
          <w:sz w:val="20"/>
        </w:rPr>
        <w:t xml:space="preserve">The Phase 1 program for this DC would consist of a randomized, placebo-controlled, double-blind single ascending-dose and multiple dose study that would be performed in healthy volunteers or mild HHT patients. Likely primary endpoints would be the safety and tolerability of the DC in these subjects, and likely secondary endpoints would be the pharmacokinetic properties of the DC and potentially PD endpoints in patients with HHT.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Assuming adequate PK and safety are established in Phase 1, efficacy stud(ies) including a Phase 2 randomized, placebo-controlled, double-blind 3-month proof of concept (POC) study in HHT patients with frequent epistaxis and anemia would be conducted. </w:t>
      </w:r>
    </w:p>
    <w:p>
      <w:pPr>
        <w:pStyle w:val="TextBody"/>
        <w:bidi w:val="0"/>
        <w:spacing w:before="360" w:after="0"/>
        <w:jc w:val="left"/>
        <w:rPr>
          <w:rFonts w:ascii="Times New Roman" w:hAnsi="Times New Roman"/>
          <w:b/>
          <w:sz w:val="20"/>
        </w:rPr>
      </w:pPr>
      <w:bookmarkStart w:id="139" w:name="toc770053_143"/>
      <w:bookmarkEnd w:id="139"/>
      <w:r>
        <w:rPr>
          <w:rFonts w:ascii="Times New Roman" w:hAnsi="Times New Roman"/>
          <w:b/>
          <w:sz w:val="20"/>
        </w:rPr>
        <w:t xml:space="preserve">Background on GEODeTM Platform </w:t>
      </w:r>
    </w:p>
    <w:p>
      <w:pPr>
        <w:pStyle w:val="TextBody"/>
        <w:bidi w:val="0"/>
        <w:spacing w:before="120" w:after="0"/>
        <w:jc w:val="left"/>
        <w:rPr>
          <w:rFonts w:ascii="Times New Roman" w:hAnsi="Times New Roman"/>
          <w:sz w:val="20"/>
        </w:rPr>
      </w:pPr>
      <w:r>
        <w:rPr>
          <w:rFonts w:ascii="Times New Roman" w:hAnsi="Times New Roman"/>
          <w:sz w:val="20"/>
        </w:rPr>
        <w:t xml:space="preserve">Tectonic believes that its GEODeTM platform has the potential to advance the field of biologic drugs targeted to GPCRs. To date, only 12% of the more than 800 GPCRs in the human body have been successfully translated into targets for approved therapeutics with biologics representing only three of those approvals. GPCRs have proven to be elusive targets for biologics largely due to their dynamic structure and expression levels in the plasma membrane and the difficulty of translating them in a functional form outside of their native lipid microenvironment.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successful GPCR targeted therapeutics to date are small molecules, however, the success of this modality has been largely confined to just 6 GPCR subfamilies, many of which have a natural ligand that is also a small molecule. Establishing and maintaining target engagement and selectivity, therefore, for small molecules has proven challenging for receptors of increased size and complexity, greater sequence homology in ligand binding sites, or where subfamilies have overlapping ligands. </w:t>
      </w:r>
    </w:p>
    <w:p>
      <w:pPr>
        <w:pStyle w:val="TextBody"/>
        <w:bidi w:val="0"/>
        <w:spacing w:before="240" w:after="0"/>
        <w:jc w:val="left"/>
        <w:rPr>
          <w:rFonts w:ascii="Times New Roman" w:hAnsi="Times New Roman"/>
          <w:sz w:val="20"/>
        </w:rPr>
      </w:pPr>
      <w:r>
        <w:rPr>
          <w:rFonts w:ascii="Times New Roman" w:hAnsi="Times New Roman"/>
          <w:sz w:val="20"/>
        </w:rPr>
        <w:t xml:space="preserve">GEODeTM was developed with the aim of addressing the challenges of GPCR targeted biologics via a combination of (1) GPCR protein engineering strategies that stabilize the pharmacologically relevant form of the receptor and increase the cell surface receptor expression, enabling purification and formulation of the receptor at scale and in the correct conformation for naïve antibody selection campaigns; (2) using an optimized cell free yeast display platform with proprietary, highly diverse Fab and VHH antibody libraries designed to target GPCRs; and (3) structure-guided protein engineering strategies to identify optimal GPCR targeted biologics. The original platform technology was developed in Dr. Andrew Kruse’s lab at Harvard. This platform technology included yeast display selection protocols, first generation Fab and VHH library designs and protocols to detergent solubilize GPCRs. The Tectonic team has made significant changes and modifications to the original platform to optimize the quality of the molecules emerging from its naïve selections and affinity maturations including optimization of its receptor design strategy, the design of its naive and affinity maturation libraries and of the yeast display selection protocols. </w:t>
      </w:r>
    </w:p>
    <w:p>
      <w:pPr>
        <w:pStyle w:val="TextBody"/>
        <w:bidi w:val="0"/>
        <w:spacing w:before="360" w:after="0"/>
        <w:jc w:val="left"/>
        <w:rPr>
          <w:rFonts w:ascii="Times New Roman" w:hAnsi="Times New Roman"/>
          <w:b/>
          <w:sz w:val="20"/>
        </w:rPr>
      </w:pPr>
      <w:bookmarkStart w:id="140" w:name="toc770053_144"/>
      <w:bookmarkEnd w:id="140"/>
      <w:r>
        <w:rPr>
          <w:rFonts w:ascii="Times New Roman" w:hAnsi="Times New Roman"/>
          <w:b/>
          <w:sz w:val="20"/>
        </w:rPr>
        <w:t xml:space="preserve">Summary of Tectonic’s Expertise in GPCRs and mAb Discovery </w:t>
      </w:r>
    </w:p>
    <w:p>
      <w:pPr>
        <w:pStyle w:val="TextBody"/>
        <w:bidi w:val="0"/>
        <w:spacing w:before="120" w:after="0"/>
        <w:jc w:val="left"/>
        <w:rPr>
          <w:rFonts w:ascii="Times New Roman" w:hAnsi="Times New Roman"/>
          <w:sz w:val="20"/>
        </w:rPr>
      </w:pPr>
      <w:r>
        <w:rPr>
          <w:rFonts w:ascii="Times New Roman" w:hAnsi="Times New Roman"/>
          <w:sz w:val="20"/>
        </w:rPr>
        <w:t xml:space="preserve">Tectonic’s optimized GPCR-targeted antibody discovery process comprises the following steps: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Optimization, stabilization, and formulation of GPCRs </w:t>
            </w:r>
            <w:r>
              <w:rPr>
                <w:rFonts w:ascii="Times New Roman" w:hAnsi="Times New Roman"/>
                <w:sz w:val="20"/>
              </w:rPr>
              <w:t xml:space="preserve">using proprietary protein engineering and biochemistry techniques, to produce sufficient target material in the correct conformation, as a reagent for discovery campaigns. Tectonic uses structure-based homology modeling and prediction to engineer changes into the receptor that can bias it into an active or inactive state. These changes can also increase receptor cell surface expression and stability. Also, because the lipid bilayer surrounding a receptor can strongly affect its activation, Tectonic has developed techniques to present its targets in a variety of different membrane mimetics that recapitulate the lipid bilayer environment that the receptor is embedded in. Tectonic has also taken a machine learning guided protein engineering approach to generate G-protein mimetics that can stabilize GPCRs in their active state conformation. This stabilized protein complex can be used to discover agonist antibodies during yeast display selection campaigns.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Optimized and streamlined yeast display antibody selection protocols</w:t>
            </w:r>
            <w:r>
              <w:rPr>
                <w:rFonts w:ascii="Times New Roman" w:hAnsi="Times New Roman"/>
                <w:sz w:val="20"/>
              </w:rPr>
              <w:t xml:space="preserve"> that minimize false positive hits from non-specific binders and can productively pull initial hits from discovery campaign. Tectonic employs antibody libraries designed and optimized for targeting GPCRs, novel tagging strategies, and make extensive use of automation in its protocols. In some circumstances Tectonic compares multiple approaches, including animal immunization for generating initial hits against targets of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High throughput GPCR binding assessment </w:t>
            </w:r>
            <w:r>
              <w:rPr>
                <w:rFonts w:ascii="Times New Roman" w:hAnsi="Times New Roman"/>
                <w:sz w:val="20"/>
              </w:rPr>
              <w:t xml:space="preserve">to confirm binding of purified antibodies to target of interest. This step enables rapid narrowing of the set of initial hits to focus on the most productive options available.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GPCR signaling assays </w:t>
            </w:r>
            <w:r>
              <w:rPr>
                <w:rFonts w:ascii="Times New Roman" w:hAnsi="Times New Roman"/>
                <w:sz w:val="20"/>
              </w:rPr>
              <w:t xml:space="preserve">to confirm that hits which were identified in the selection campaign and confirmed as target binders, are also functionally active to modulate signaling through the target of interest. Tectonic has implemented a wide range of signaling assays that can support characterization of hits against different GPCR targets.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Antibody Lead optimization </w:t>
            </w:r>
            <w:r>
              <w:rPr>
                <w:rFonts w:ascii="Times New Roman" w:hAnsi="Times New Roman"/>
                <w:sz w:val="20"/>
              </w:rPr>
              <w:t xml:space="preserve">via affinity maturation to further improve either potency, selectivity, cross-species reactivity, developability characteristics or any combination of the above. </w:t>
            </w:r>
          </w:p>
        </w:tc>
      </w:tr>
    </w:tbl>
    <w:p>
      <w:pPr>
        <w:pStyle w:val="TextBody"/>
        <w:bidi w:val="0"/>
        <w:spacing w:before="360" w:after="0"/>
        <w:jc w:val="left"/>
        <w:rPr>
          <w:rFonts w:ascii="Times New Roman" w:hAnsi="Times New Roman"/>
          <w:b/>
          <w:sz w:val="20"/>
        </w:rPr>
      </w:pPr>
      <w:bookmarkStart w:id="141" w:name="toc770053_145"/>
      <w:bookmarkEnd w:id="141"/>
      <w:r>
        <w:rPr>
          <w:rFonts w:ascii="Times New Roman" w:hAnsi="Times New Roman"/>
          <w:b/>
          <w:sz w:val="20"/>
        </w:rPr>
        <w:t xml:space="preserve">Collaboration, License and Services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Harvard Option and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Tectonic entered into an option agreement with the President and Fellows of Harvard College (“Harvard”) and obtained an option to negotiate a license under Harvard’s interest in certain patent rights (the “Patent Rights”) in exchange for an option fee in the low five digits. In October 2021, Tectonic exercised the option and in February 2022 entered into a license agreement with Harvard (the “Harvard License Agreement”). Under the Harvard License Agreement, Tectonic obtained (i) an exclusive, worldwide, royalty-bearing license under Harvard’s interests in the Patent Rights, and (ii) a non-exclusive, worldwide, royalty-bearing license to use Harvard’s interest in certain know-how to develop, manufacture and commercialize licensed products and know-how enabled products, and (iii) a non-exclusive, worldwide, royalty-bearing license to use discovery materials to develop, manufacture and commercialize discovered products. Harvard retained the right for itself and for other not-for-profit research organizations and government agencies to practice the Patent Rights and to use Harvard’s know-how and discovery materials within the scope of the license granted for research, educational and scholarly purposes. </w:t>
      </w:r>
    </w:p>
    <w:p>
      <w:pPr>
        <w:pStyle w:val="TextBody"/>
        <w:bidi w:val="0"/>
        <w:spacing w:before="240" w:after="0"/>
        <w:jc w:val="left"/>
        <w:rPr>
          <w:rFonts w:ascii="Times New Roman" w:hAnsi="Times New Roman"/>
          <w:sz w:val="20"/>
        </w:rPr>
      </w:pPr>
      <w:r>
        <w:rPr>
          <w:rFonts w:ascii="Times New Roman" w:hAnsi="Times New Roman"/>
          <w:sz w:val="20"/>
        </w:rPr>
        <w:t xml:space="preserve">Tectonic is required to use commercially reasonable efforts to develop royalty-bearing products and, once regulatory approval is received, to introduce and market such products into the commercial market and to make such products available at locally-affordable prices in certain countries outside the United States and Europe. Tectonic is also required to meet certain development and commercialization diligence milestones within specified time periods. </w:t>
      </w:r>
    </w:p>
    <w:p>
      <w:pPr>
        <w:pStyle w:val="TextBody"/>
        <w:bidi w:val="0"/>
        <w:spacing w:before="240" w:after="0"/>
        <w:jc w:val="left"/>
        <w:rPr>
          <w:rFonts w:ascii="Times New Roman" w:hAnsi="Times New Roman"/>
          <w:sz w:val="20"/>
        </w:rPr>
      </w:pPr>
      <w:r>
        <w:rPr>
          <w:rFonts w:ascii="Times New Roman" w:hAnsi="Times New Roman"/>
          <w:sz w:val="20"/>
        </w:rPr>
        <w:t xml:space="preserve">As partial consideration for the Harvard License Agreement, Tectonic agreed to pay Harvard a one-time license fee of $170,000, with such fee to be paid in equal installments over three years. In July 2022, Tectonic paid Harvard $56,666 and in July 2023 Tectonic paid Harvard $56,667. The final installment of $56,667 under the Harvard License Agreement is due in July 2024. As partial consideration for the Harvard License Agreement, Tectonic entered into a subscription agreement with Harvard in July 2022, pursuant to which Harvard was granted 227,486 shares of common stock of the Company with a fair market value in the mid six digits. </w:t>
      </w:r>
    </w:p>
    <w:p>
      <w:pPr>
        <w:pStyle w:val="TextBody"/>
        <w:bidi w:val="0"/>
        <w:spacing w:before="240" w:after="0"/>
        <w:jc w:val="left"/>
        <w:rPr>
          <w:rFonts w:ascii="Times New Roman" w:hAnsi="Times New Roman"/>
          <w:sz w:val="20"/>
        </w:rPr>
      </w:pPr>
      <w:r>
        <w:rPr>
          <w:rFonts w:ascii="Times New Roman" w:hAnsi="Times New Roman"/>
          <w:sz w:val="20"/>
        </w:rPr>
        <w:t xml:space="preserve">Tectonic is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Tectonic is required to pay a one-time milestone payment of $100,000 for each discovered product granted FDA marketing authorization as well as for the first licensed product or know-how enabled product to reach certain clinical development milestones, up to $8.5 million and for the first licensed product or know-how enabled product to reach certain commercial milestones, up to $2.0 million. Tectonic is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Tectonic receives in connection with a sublicense, strategic partnership or know-how enabled license. With respect to any net sales of licensed products and know-how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enabled products sold in certain countries outside of the United States and Europe, Tectonic and Harvard will negotiate a royalty percentage on a country-by-country basis. </w:t>
      </w:r>
    </w:p>
    <w:p>
      <w:pPr>
        <w:pStyle w:val="TextBody"/>
        <w:bidi w:val="0"/>
        <w:spacing w:before="240" w:after="0"/>
        <w:jc w:val="left"/>
        <w:rPr>
          <w:rFonts w:ascii="Times New Roman" w:hAnsi="Times New Roman"/>
          <w:sz w:val="20"/>
        </w:rPr>
      </w:pPr>
      <w:r>
        <w:rPr>
          <w:rFonts w:ascii="Times New Roman" w:hAnsi="Times New Roman"/>
          <w:sz w:val="20"/>
        </w:rPr>
        <w:t xml:space="preserve">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 Harvard may terminate the Harvard License Agreement if Tectonic fails to maintain insurance at specified levels or fails to comply with the notice requirements therein, upon Tectonic’s uncured material breach or insolvency. Tectonic may terminate the Harvard License Agreement at any time with or without cause upon a specified notice period and upon an uncured material breach by Harvard.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WuXi Master Development and Manufacturing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6, 2022, Tectonic entered into a development and manufacturing agreement (the “WuXi Biologics Manufacturing Agreement”) with WuXi Biologics. The WuXi Biologics Manufacturing Agreement governs the general terms under which WuXi Biologics, or one of its affiliates, will provide biologics development and manufacturing services as specified by Tectonic on a project-by-project basis. Such services are performed under agreed-upon work orders. Under the terms of the WuXi Biologics Manufacturing Agreement, Tectonic has agreed to pay fees for WuXi Biologics’ performance of services in addition to reimbursing WuXi Biologics for reasonable expenses authorized by Tectonic and as provided in each applicable work order.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WuXi Biologics Manufacturing Agreement will expire on the later of May 6, 2025 or the completion of the services under all work orders executed by the parties prior to May 6, 2025, provided that the term may be extended by Tectonic for additional periods. Tectonic will have the right to terminate the WuXi Biologics Manufacturing Agreement or any work order upon thirty days’ prior written notice or immediately if, in Tectonic’s reasonable judgment, WuXi Biologics is or will be unable to perform the Services or WuXi Biologics fails to obtain or maintain any necessary licenses or approvals. Either party may terminate the WuXi Biologics Manufacturing Agreement or any work order if the other party files for bankruptcy, fails to cure a material breach during the cure period or a force majeure event that has lasted for the time period specified within the WuXi Biologics Manufacturing Agreement. WuXi Biologics has the right to terminate if the parties are unable to reach an agreement on an amendment to the services if such services become impossible due solely to changes in applicable law. The term of each work order terminates upon completion of the services under such work order, unless terminated earlier. </w:t>
      </w:r>
    </w:p>
    <w:p>
      <w:pPr>
        <w:pStyle w:val="TextBody"/>
        <w:bidi w:val="0"/>
        <w:spacing w:before="240" w:after="0"/>
        <w:jc w:val="left"/>
        <w:rPr>
          <w:rFonts w:ascii="Times New Roman" w:hAnsi="Times New Roman"/>
          <w:sz w:val="20"/>
        </w:rPr>
      </w:pPr>
      <w:r>
        <w:rPr>
          <w:rFonts w:ascii="Times New Roman" w:hAnsi="Times New Roman"/>
          <w:sz w:val="20"/>
        </w:rPr>
        <w:t xml:space="preserve">The WuXi Biologics Manufacturing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Novotech Master Clinical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2023, Tectonic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Tectonic on a project-by-project basis. Such services are performed under agreed statements of work. Under the terms of the Novotech CSA, Tectonic has agreed to pay fees for Novotech’s performance of services in addition to reimbursing Novotech for reasonably incurred, pass through costs agreed to by Tectonic and as provided in each applicable statement of work. Additionally, under the terms of the Novotech CSA, all documentation, information, and biological, chemical or other materials controlled by Tectonic and furnished to Novotech by or on behalf of Tectonic shall remain the exclusive property of Tectonic, and Tectonic shall own all rights to, and Novotech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Novotech’s service, except for Novotech’s background intellectual property rights as defined under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Tectonic may terminate the Novotech CSA or any statement of work thereunder immediately if Novotech has committed an uncurable breach or has failed to cure a breach after thirty days’ written notice. Tectonic may also terminate the Novotech CSA or any statement of work thereunder for any reason upon thirty days’ prior written notice to Novotech. Novotech may terminate the Novotech CSA or any statement of work thereunder immediately if Tectonic has failed to cure a material breach after thirty days’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The Novotech CSA includes customary terms relating to, among others, indemnification, intellectual property protection, confidentiality, non-solicitation,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ARENSIA Master Agreement for Early Phase Clinical Services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Tectonic entered into a master agreement for early phase clinical services (the “Arensia CSA”) with ARENSIA Exploratory Medicine GmbH (“Arensia”). The Arensia CSA governs the general terms under which Arensia, or one of its affiliates, will provide early phase clinical research services in connection with clinical research programs as specified by Tectonic on a project-by-project basis. Such services are performed under agreed work orders. Under the terms of the Arensia CSA, Tectonic has agreed to pay fees for Arensia’s performance of services in addition to reimbursing Arensia for pre-approved, reasonable expenses actually and necessarily incurred by Arensia as specified in each applicable work order.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Arensia CSA will expire on the later of: (i) five years from the effective date of the Arensia CSA, or October 2028, or (ii) the completion of the services under all work orders executed prior to the fifth anniversary of the effective date of the Arensia CSA, or October 2028. Work orders shall expire upon the completion of the services specified thereunder, provided that Tectonic may terminate a work order if the study governed by such work order is suspended for more than thirty days and either party may terminate a work order for reasonable scientific safety reasons. Tectonic may terminate the Arensia CSA in its entirety for any reason upon thirty days’ prior written notice to Arensia. Either party may terminate the Arensia CSA or any statement of work thereunder immediately if the other party has failed to cure a material breach after thirty days’ written notice or for the other party’s insolvency. </w:t>
      </w:r>
    </w:p>
    <w:p>
      <w:pPr>
        <w:pStyle w:val="TextBody"/>
        <w:bidi w:val="0"/>
        <w:spacing w:before="240" w:after="0"/>
        <w:jc w:val="left"/>
        <w:rPr>
          <w:rFonts w:ascii="Times New Roman" w:hAnsi="Times New Roman"/>
          <w:sz w:val="20"/>
        </w:rPr>
      </w:pPr>
      <w:r>
        <w:rPr>
          <w:rFonts w:ascii="Times New Roman" w:hAnsi="Times New Roman"/>
          <w:sz w:val="20"/>
        </w:rPr>
        <w:t xml:space="preserve">The Arensia CSA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QPS Holdings Master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Tectonic entered into a master contract services agreement (the “QPS Agreement”) with QPS Holdings, LLC (“QPS”). The QPS Agreement governs the general terms under which QPS, or one of its affiliates, will provide services (excluding GMP manufacturing and clinical development related services) as specified by Tectonic on a project-by-project basis. Such services are performed under agreed statements of work. Under the terms of the QPS Agreement, Tectonic has agreed to pay for QPS’s performance of the services as specified in the applicable statement of work. Additionally, under the terms of the QPS Agreement, all documentation, information, and biological, chemical or other materials controlled by Tectonic and furnished to QPS by or on behalf of Tectonic shall remain the exclusive property of Tectonic, and Tectonic shall own all rights to, and QPS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QPS’s services.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QPS Agreement will expire on the later of: (i) two years from the effective date of the QPS Agreement, or October 2025, or (ii) the completion of the services under all work orders executed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anniversary of the effective date of the QPS Agreement, or October 2025. Tectonic may terminate the QPS Agreement or any statement of work thereunder for any reason upon thirty days’ prior written notice or immediately if QPS commits an uncurable breach of the QPS Agreement. QPS may terminate the QPS Agreement or any statement of work thereunder if Tectonic has failed to cure a material breach after thirty days’ written notice or may terminate the QPS Agreement for any reason upon sixty days’ prior written notice provided there are no active statements of work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QPS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ITR LABORATORIES Master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Tectonic entered into a master contract services agreement (the “ITR Agreement”) with ITR Laboratories Canada Inc. (“ITR”). The ITR Agreement governs the general terms under which ITR, or one of its affiliates, will provide services (excluding GMP manufacturing and clinical development related services) as specified by Tectonic on a project-by-project basis. Such services are performed under agreed statements of work. Under the terms of the ITR Agreement, Tectonic has agreed to pay for ITR’s performance of the services as specified in the applicable statement of work. Additionally, under the terms of the ITR Agreement, all documentation, information, and biological, chemical or other materials controlled by Tectonic and furnished to ITR by or on behalf of Tectonic shall remain the exclusive property of Tectonic, and Tectonic shall own all rights to, and ITR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ITR’s services.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ITR Agreement will expire on the later of (i) two years from the effective date of the ITR Agreement, or February 2024; or (ii) the completion of the services under all work orders executed prior to the second anniversary of the effective date of the ITR Agreement, or February 2024. Tectonic may terminate the ITR Agreement or any statement of work thereunder for any reason upon thirty days’ prior written notice or immediately if ITR commits an uncurable breach of the ITR Agreement. ITR may terminate the ITR Agreement or any statement of work thereunder if Tectonic has failed to cure a material breach after thirty days’ written notice or may terminate the ITR Agreement for any reason upon sixty days’ prior written notice provided there are no active statements of work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ITR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sz w:val="20"/>
        </w:rPr>
      </w:pPr>
      <w:bookmarkStart w:id="142" w:name="toc770053_146"/>
      <w:bookmarkEnd w:id="142"/>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Tectonic strives to protect and enhance the proprietary technologies, inventions and improvements that it believe are important to Tectonic’s business, including seeking, maintaining and defending patent rights, whether developed internally or licensed from third parties. Tectonic’s policy is to seek to protect its proprietary position by, among other methods, pursuing and obtaining patent protection in the United States and in jurisdictions outside of the United States related to Tectonic’s proprietary technology, inventions, improvements, platforms and Tectonic product candidates that are important to the development and implementation of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9, 2024, Tectonic’s patent portfolio includes two pending U.S. non-provisional applications, two pending international (Patent Cooperation Treaty) applications, and nine pending foreign applications relating to Fc-relaxin fusion protein compositions (including TX45) and methods of use thereof. Specifically, Tectonic has exclusively in-licensed one patent family from the President and Fellows of Harvard College that consists of one pending U.S. non-provisional patent application and nine pending foreign applications in Australia, Canada, China, Europe, Israel, Japan, Korea, Mexico, and Singapore, with any patent issuing from these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having an expected 20-year expiry date of not earlier than May 2041. Tectonic also wholly owns one patent family that consists of one pending U.S. non-provisional patent application and one pending Patent Cooperation Treaty application, with any patent issuing from these applications having an expected 20-year expiry date of not earlier than November 2042. Tectonic also co-owns one patent family with ModernaTX, Inc., which consists of one pending Patent Cooperation Treaty application relating to constitutively active modified G protein-coupled receptors and methods of use thereof, with any patent issuing from this application having an expected 20-year expiry date of not earlier than August 2043. 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w:t>
      </w:r>
    </w:p>
    <w:p>
      <w:pPr>
        <w:pStyle w:val="TextBody"/>
        <w:bidi w:val="0"/>
        <w:spacing w:before="240" w:after="0"/>
        <w:jc w:val="left"/>
        <w:rPr>
          <w:rFonts w:ascii="Times New Roman" w:hAnsi="Times New Roman"/>
          <w:sz w:val="20"/>
        </w:rPr>
      </w:pPr>
      <w:r>
        <w:rPr>
          <w:rFonts w:ascii="Times New Roman" w:hAnsi="Times New Roman"/>
          <w:sz w:val="20"/>
        </w:rPr>
        <w:t xml:space="preserve">Furthermore, Tectonics relies upon trade secrets and know-how and continuing technological innovation to develop and maintain its competitive position. Tectonic seeks to protect its proprietary information, in part, using confidentiality agreements with Tectonic collaborators, employees and consultants and invention assignment agreements with Tectonic employees. Tectonic also has confidentiality agreements or invention assignment agreements with Tectonic collaborators and selected consultants. These agreements are designed to protect Tectonic proprietary information and, in the case of the invention assignment agreements, to grant Tectonic ownership of technologies that are developed through a relationship with a third party. These agreements may be breached, and Tectonic may not have adequate remedies for any breach. In addition, Tectonic’s trade secrets may otherwise become known or be independently discovered by competitors. To the extent that Tectonic’s collaborators, employees and consultants use intellectual property owned by others in their work for Tectonic, disputes may arise as to the rights in related or resulting know-how and inventions. </w:t>
      </w:r>
    </w:p>
    <w:p>
      <w:pPr>
        <w:pStyle w:val="TextBody"/>
        <w:bidi w:val="0"/>
        <w:spacing w:before="240" w:after="0"/>
        <w:jc w:val="left"/>
        <w:rPr>
          <w:rFonts w:ascii="Times New Roman" w:hAnsi="Times New Roman"/>
          <w:sz w:val="20"/>
        </w:rPr>
      </w:pPr>
      <w:r>
        <w:rPr>
          <w:rFonts w:ascii="Times New Roman" w:hAnsi="Times New Roman"/>
          <w:sz w:val="20"/>
        </w:rPr>
        <w:t>Tectonic’s commercial success will also depend in part on not infringing upon the proprietary rights of third parties. It is uncertain whether the issuance of any third-party patent would require Tectonic to alter its development or commercial strategies, or its product candidates or processes, obtain licenses or cease certain activities. Tectonic’s breach of any license agreements or failure to obtain a license to proprietary rights that Tectonic may require to develop or commercialize Tectonic’s future product candidates may have an adverse impact on Tectonic. If third parties have prepared and filed patent applications prior to March 16, 2013 in the United States that also claim technology to which Tectonic has rights, Tectonic may have to participate in interference proceedings in the USPTO, to determine priority of invention. For more information, please see “</w:t>
      </w:r>
      <w:r>
        <w:rPr>
          <w:rFonts w:ascii="Times New Roman" w:hAnsi="Times New Roman"/>
          <w:i/>
          <w:sz w:val="20"/>
        </w:rPr>
        <w:t>Risk Factors — Risks Related to Intellectual Property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Given Tectonic’s stage of development, it has not yet established a commercial organization or distribution capabilities. </w:t>
      </w:r>
    </w:p>
    <w:p>
      <w:pPr>
        <w:pStyle w:val="TextBody"/>
        <w:bidi w:val="0"/>
        <w:spacing w:before="360" w:after="0"/>
        <w:jc w:val="left"/>
        <w:rPr>
          <w:rFonts w:ascii="Times New Roman" w:hAnsi="Times New Roman"/>
          <w:b/>
          <w:sz w:val="20"/>
        </w:rPr>
      </w:pPr>
      <w:bookmarkStart w:id="143" w:name="toc770053_147"/>
      <w:bookmarkEnd w:id="143"/>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Tectonic does not currently own or operate manufacturing facilities for the production of clinical or commercial quantities of its lead product candidate TX45. Tectonic currently relies, and expects to continue to rely for the foreseeable future, on third-party contract manufacturing organizations, or CMOs, to produce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product candidates for preclinical and clinical testing, as well as for future commercial manufacture of any products that it may commercialize. </w:t>
      </w:r>
    </w:p>
    <w:p>
      <w:pPr>
        <w:pStyle w:val="TextBody"/>
        <w:bidi w:val="0"/>
        <w:spacing w:before="240" w:after="0"/>
        <w:jc w:val="left"/>
        <w:rPr>
          <w:rFonts w:ascii="Times New Roman" w:hAnsi="Times New Roman"/>
          <w:sz w:val="20"/>
        </w:rPr>
      </w:pPr>
      <w:r>
        <w:rPr>
          <w:rFonts w:ascii="Times New Roman" w:hAnsi="Times New Roman"/>
          <w:sz w:val="20"/>
        </w:rPr>
        <w:t xml:space="preserve">Tectonic requires its CMOs to conduct manufacturing activities in compliance with current good manufacturing practice, or cGMP, requirements. It has assembled a team of experienced employees and consultants to provide the necessary technical, quality and regulatory oversight over its CMOs. Currently, Tectonic contracts with one third-party manufacturer, WuXi Biologics, to provide biologics development and manufacturing services. In the future, Tectonic may engage additional third-party manufacturers to support any clinical trials for TX45 as well as commercialization of TX45, if approved, in the United States or other jurisdictions or the clinical development and potential commercialization of additional programs from its pipeline. </w:t>
      </w:r>
    </w:p>
    <w:p>
      <w:pPr>
        <w:pStyle w:val="TextBody"/>
        <w:bidi w:val="0"/>
        <w:spacing w:before="240" w:after="0"/>
        <w:jc w:val="left"/>
        <w:rPr>
          <w:rFonts w:ascii="Times New Roman" w:hAnsi="Times New Roman"/>
          <w:sz w:val="20"/>
        </w:rPr>
      </w:pPr>
      <w:r>
        <w:rPr>
          <w:rFonts w:ascii="Times New Roman" w:hAnsi="Times New Roman"/>
          <w:sz w:val="20"/>
        </w:rPr>
        <w:t xml:space="preserve">Tectonic relies on WuXi Biologics to perform all chemistry, manufacturing, and controls (“CMC”) activities related to its TX45 program. Tectonic requires that WuXi Biologics produces bulk drug substances and finished drug products in accordance with current Good Manufacturing Practices (“cGMPs”), and all other applicable laws and regulations. In addition, Tectonic relies on WuXi Biologics to operate facilities that meet regulatory requirements for production and testing of clinical and commercial products and to work closely with Tectonic to validate manufacturing processes prior to commercial launch. Tectonic oversees WuXi Biologics by performing technical and quality assurance review and/or approval of cGMP documentation, establishing quality agreements to define responsibilities and expectations for goods and services, and observing production and testing activities, among other activities. </w:t>
      </w:r>
    </w:p>
    <w:p>
      <w:pPr>
        <w:pStyle w:val="TextBody"/>
        <w:bidi w:val="0"/>
        <w:spacing w:before="360" w:after="0"/>
        <w:jc w:val="left"/>
        <w:rPr>
          <w:rFonts w:ascii="Times New Roman" w:hAnsi="Times New Roman"/>
          <w:b/>
          <w:sz w:val="20"/>
        </w:rPr>
      </w:pPr>
      <w:bookmarkStart w:id="144" w:name="toc770053_148"/>
      <w:bookmarkEnd w:id="144"/>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the rapid evolution of technologies and understanding of disease etiology, intense competition and a strong emphasis on intellectual property. Tectonic believe that its approach, strategy, scientific capabilities, know-how and experience provide it with competitive advantages. However, Tectonic expects substantial competition from multiple sources, including major pharmaceutical, specialty pharmaceutical, and existing or emerging biotechnology companies, academic research institutions and governmental agencies and public and private research institutions worldwide. Many of Tectonic’s competitors, either alone or with their collaborations, have significantly greater financial resources and expertise in research and development, manufacturing, preclinical testing, conducting clinical trials, obtaining regulatory approvals and marketing approved products than Tectonic does. Smaller or early-stage companies may also prove to be significant competitors, particularly through collaborative arrangements with large and established companies. These competitors also compete with Tectonic in recruiting and retaining qualified scientific and management personnel and establishing clinical trial sites and patient enrollment in clinical trials, as well as in acquiring technologies complementary to, or necessary for, Tectonic’s programs. As a result, Tectonic’s competitors may discover, develop, license or commercialize products before or more successfully than it does. </w:t>
      </w:r>
    </w:p>
    <w:p>
      <w:pPr>
        <w:pStyle w:val="TextBody"/>
        <w:bidi w:val="0"/>
        <w:spacing w:before="240" w:after="0"/>
        <w:jc w:val="left"/>
        <w:rPr>
          <w:rFonts w:ascii="Times New Roman" w:hAnsi="Times New Roman"/>
          <w:sz w:val="20"/>
        </w:rPr>
      </w:pPr>
      <w:r>
        <w:rPr>
          <w:rFonts w:ascii="Times New Roman" w:hAnsi="Times New Roman"/>
          <w:sz w:val="20"/>
        </w:rPr>
        <w:t xml:space="preserve">Tectonic faces competition from companies that are pursuing development of engineered proteins based on human relaxin including Lilly and AstraZeneca, both of whom are currently conducting Phase 2 trials. To Tectonic’s knowledge, neither of these companies have a specific focus on the Group 2 PH / HFpEF population, and, instead, are pursuing either the broader HFpEF population (Lilly) or Group 2 PH in the setting of either HFpEF or hFrEF (AstraZeneca). AstraZeneca has also reported efforts with a small molecule agonist of the RXFP1 receptor and initiated clinical studies; however, the status of its development is unclear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the HHT space, Vaderis has been pursuing development of an oral AKT inhibitor for the treatment of this condition. Investigator-initiated studies of nintendanib (Boehringer Ingelheim) and pazopanib (Novartis) are also ongoing to explore the potential utility of these kinase inhibitors to treat this condition. </w:t>
      </w:r>
    </w:p>
    <w:p>
      <w:pPr>
        <w:pStyle w:val="TextBody"/>
        <w:bidi w:val="0"/>
        <w:spacing w:before="240" w:after="0"/>
        <w:jc w:val="left"/>
        <w:rPr>
          <w:rFonts w:ascii="Times New Roman" w:hAnsi="Times New Roman"/>
          <w:sz w:val="20"/>
        </w:rPr>
      </w:pPr>
      <w:r>
        <w:rPr>
          <w:rFonts w:ascii="Times New Roman" w:hAnsi="Times New Roman"/>
          <w:sz w:val="20"/>
        </w:rPr>
        <w:t xml:space="preserve">Tectonic’s focus on biologic drugs differentiates it from many competitor GPCR companies whose primary focus is on small molecule drug discovery. Additionally, Tectonic’s GPCR membrane protein biochemistry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experience, which is key for generating optimally stabilized and formulated receptors for antibody selection campaigns, combined with its experience using novel antigen formats differentiates it from in vitro display based antibody discovery. Specifically, Tectonic’s use of membrane mimetics that help maintain native receptor extra-cellular domain conformations combined with the membrane protein biochemistry expertise that Tectonic has built over the last three years is a key point of potential differentiation. </w:t>
      </w:r>
    </w:p>
    <w:p>
      <w:pPr>
        <w:pStyle w:val="TextBody"/>
        <w:bidi w:val="0"/>
        <w:spacing w:before="240" w:after="0"/>
        <w:jc w:val="left"/>
        <w:rPr>
          <w:rFonts w:ascii="Times New Roman" w:hAnsi="Times New Roman"/>
          <w:sz w:val="20"/>
        </w:rPr>
      </w:pPr>
      <w:r>
        <w:rPr>
          <w:rFonts w:ascii="Times New Roman" w:hAnsi="Times New Roman"/>
          <w:sz w:val="20"/>
        </w:rPr>
        <w:t xml:space="preserve">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 </w:t>
      </w:r>
    </w:p>
    <w:p>
      <w:pPr>
        <w:pStyle w:val="TextBody"/>
        <w:bidi w:val="0"/>
        <w:spacing w:before="360" w:after="0"/>
        <w:jc w:val="left"/>
        <w:rPr>
          <w:rFonts w:ascii="Times New Roman" w:hAnsi="Times New Roman"/>
          <w:b/>
          <w:sz w:val="20"/>
        </w:rPr>
      </w:pPr>
      <w:bookmarkStart w:id="145" w:name="toc770053_149"/>
      <w:bookmarkEnd w:id="145"/>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Licensure and regulation of biologics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any product candidates Tectonic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w:t>
      </w:r>
    </w:p>
    <w:p>
      <w:pPr>
        <w:pStyle w:val="TextBody"/>
        <w:bidi w:val="0"/>
        <w:spacing w:before="240" w:after="0"/>
        <w:jc w:val="left"/>
        <w:rPr>
          <w:rFonts w:ascii="Times New Roman" w:hAnsi="Times New Roman"/>
          <w:sz w:val="20"/>
        </w:rPr>
      </w:pPr>
      <w:r>
        <w:rPr>
          <w:rFonts w:ascii="Times New Roman" w:hAnsi="Times New Roman"/>
          <w:sz w:val="20"/>
        </w:rPr>
        <w:t xml:space="preserve">An applicant seeking approval to market and distribute a new biologic in the United States generally must satisfactorily complete each of the following steps: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preclinical laboratory tests, animal studies and formulation studies performed in accordance with the FDA’s applicable Good Laboratory Practices (“GLP”)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manufacture, under current good manufacturing practices (“cGMP”) conditions, of the drug substance and drug product that the sponsor intends to use in human clinical trials along with required analytical and stability testing;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application for human clinical testing, which must become effective before human clinical trials may begin;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representing each clinical site before each clinical trial may be initiated;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to establish the safety, potency and purity of the product candidate for each proposed indication, in accordance with current good clinical practices (“GCP”)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 BLA for a biological product requesting marketing for one or more proposed indications, including submission of detailed information on the manufacture and composition of the product in clinical development and proposed labelling;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 of the product by an FDA advisory committee, where appropriate or if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any FDA audits of the preclinical studies and clinical trial sites to assure compliance with GLP, as applicable, and GCP, and the integrity of clinical data in support of the BLA;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Prescription Drug User Fee Act (“PDUFA”) fees, securing FDA approval of the BLA and licensure of the new biological product;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the potential requirement to implement a Risk Evaluation and Mitigation Strategy (“REMS”) and any post-approval studies or other post-marketing commitments required by the FDA.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Preclinical studies and investigational new drug application </w:t>
      </w:r>
    </w:p>
    <w:p>
      <w:pPr>
        <w:pStyle w:val="TextBody"/>
        <w:bidi w:val="0"/>
        <w:spacing w:before="120" w:after="0"/>
        <w:jc w:val="left"/>
        <w:rPr>
          <w:rFonts w:ascii="Times New Roman" w:hAnsi="Times New Roman"/>
          <w:sz w:val="20"/>
        </w:rPr>
      </w:pPr>
      <w:r>
        <w:rPr>
          <w:rFonts w:ascii="Times New Roman" w:hAnsi="Times New Roman"/>
          <w:sz w:val="20"/>
        </w:rPr>
        <w:t xml:space="preserve">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w:t>
      </w:r>
    </w:p>
    <w:p>
      <w:pPr>
        <w:pStyle w:val="TextBody"/>
        <w:bidi w:val="0"/>
        <w:spacing w:before="240" w:after="0"/>
        <w:jc w:val="left"/>
        <w:rPr>
          <w:rFonts w:ascii="Times New Roman" w:hAnsi="Times New Roman"/>
          <w:sz w:val="20"/>
        </w:rPr>
      </w:pPr>
      <w:r>
        <w:rPr>
          <w:rFonts w:ascii="Times New Roman" w:hAnsi="Times New Roman"/>
          <w:sz w:val="20"/>
        </w:rPr>
        <w:t xml:space="preserve">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 </w:t>
      </w:r>
    </w:p>
    <w:p>
      <w:pPr>
        <w:pStyle w:val="TextBody"/>
        <w:bidi w:val="0"/>
        <w:spacing w:before="240" w:after="0"/>
        <w:jc w:val="left"/>
        <w:rPr>
          <w:rFonts w:ascii="Times New Roman" w:hAnsi="Times New Roman"/>
          <w:sz w:val="20"/>
        </w:rPr>
      </w:pPr>
      <w:r>
        <w:rPr>
          <w:rFonts w:ascii="Times New Roman" w:hAnsi="Times New Roman"/>
          <w:sz w:val="20"/>
        </w:rPr>
        <w:t xml:space="preserve">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Tectonic’s planned clinical trials or future clinical trials in a timely manner. </w:t>
      </w:r>
    </w:p>
    <w:p>
      <w:pPr>
        <w:pStyle w:val="TextBody"/>
        <w:bidi w:val="0"/>
        <w:spacing w:before="360" w:after="0"/>
        <w:jc w:val="left"/>
        <w:rPr>
          <w:rFonts w:ascii="Times New Roman" w:hAnsi="Times New Roman"/>
          <w:i/>
          <w:sz w:val="20"/>
        </w:rPr>
      </w:pPr>
      <w:r>
        <w:rPr>
          <w:rFonts w:ascii="Times New Roman" w:hAnsi="Times New Roman"/>
          <w:i/>
          <w:sz w:val="20"/>
        </w:rPr>
        <w:t xml:space="preserve">Human clinical trials in support of a BLA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 </w:t>
      </w:r>
    </w:p>
    <w:p>
      <w:pPr>
        <w:pStyle w:val="TextBody"/>
        <w:bidi w:val="0"/>
        <w:spacing w:before="240" w:after="0"/>
        <w:jc w:val="left"/>
        <w:rPr>
          <w:rFonts w:ascii="Times New Roman" w:hAnsi="Times New Roman"/>
          <w:sz w:val="20"/>
        </w:rPr>
      </w:pPr>
      <w:r>
        <w:rPr>
          <w:rFonts w:ascii="Times New Roman" w:hAnsi="Times New Roman"/>
          <w:sz w:val="20"/>
        </w:rPr>
        <w:t xml:space="preserve">A sponsor who wishes to conduct a clinical trial outside the United States may, but need not, obtain FDA authorization to conduct the clinical trial under an IND. When a foreign clinical trial is conducted under an 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typically are conducted in three sequential phases, but the phases may overlap or be combined. Additional studies may be required after approval. </w:t>
      </w:r>
    </w:p>
    <w:p>
      <w:pPr>
        <w:pStyle w:val="TextBody"/>
        <w:bidi w:val="0"/>
        <w:spacing w:before="240" w:after="0"/>
        <w:jc w:val="left"/>
        <w:rPr>
          <w:rFonts w:ascii="Times New Roman" w:hAnsi="Times New Roman"/>
          <w:sz w:val="20"/>
        </w:rPr>
      </w:pPr>
      <w:r>
        <w:rPr>
          <w:rFonts w:ascii="Times New Roman" w:hAnsi="Times New Roman"/>
          <w:i/>
          <w:sz w:val="20"/>
        </w:rPr>
        <w:t xml:space="preserve">Phase 1 </w:t>
      </w:r>
      <w:r>
        <w:rPr>
          <w:rFonts w:ascii="Times New Roman" w:hAnsi="Times New Roman"/>
          <w:sz w:val="20"/>
        </w:rPr>
        <w:t xml:space="preserve">clinical trials are initially conducted in a limited population to test the product candidate for safety, including adverse effects, dose tolerance, absorption, metabolism, distribution, excretion and pharmacodynamics in healthy humans or, on occasion, in patients. </w:t>
      </w:r>
    </w:p>
    <w:p>
      <w:pPr>
        <w:pStyle w:val="TextBody"/>
        <w:bidi w:val="0"/>
        <w:spacing w:before="240" w:after="0"/>
        <w:jc w:val="left"/>
        <w:rPr>
          <w:rFonts w:ascii="Times New Roman" w:hAnsi="Times New Roman"/>
          <w:sz w:val="20"/>
        </w:rPr>
      </w:pPr>
      <w:r>
        <w:rPr>
          <w:rFonts w:ascii="Times New Roman" w:hAnsi="Times New Roman"/>
          <w:i/>
          <w:sz w:val="20"/>
        </w:rPr>
        <w:t xml:space="preserve">Phase 2 </w:t>
      </w:r>
      <w:r>
        <w:rPr>
          <w:rFonts w:ascii="Times New Roman" w:hAnsi="Times New Roman"/>
          <w:sz w:val="20"/>
        </w:rPr>
        <w:t xml:space="preserve">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w:t>
      </w:r>
    </w:p>
    <w:p>
      <w:pPr>
        <w:pStyle w:val="TextBody"/>
        <w:bidi w:val="0"/>
        <w:spacing w:before="240" w:after="0"/>
        <w:jc w:val="left"/>
        <w:rPr>
          <w:rFonts w:ascii="Times New Roman" w:hAnsi="Times New Roman"/>
          <w:sz w:val="20"/>
        </w:rPr>
      </w:pPr>
      <w:r>
        <w:rPr>
          <w:rFonts w:ascii="Times New Roman" w:hAnsi="Times New Roman"/>
          <w:i/>
          <w:sz w:val="20"/>
        </w:rPr>
        <w:t xml:space="preserve">Phase 3 </w:t>
      </w:r>
      <w:r>
        <w:rPr>
          <w:rFonts w:ascii="Times New Roman" w:hAnsi="Times New Roman"/>
          <w:sz w:val="20"/>
        </w:rPr>
        <w:t xml:space="preserve">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 </w:t>
      </w:r>
    </w:p>
    <w:p>
      <w:pPr>
        <w:pStyle w:val="TextBody"/>
        <w:bidi w:val="0"/>
        <w:spacing w:before="240" w:after="0"/>
        <w:jc w:val="left"/>
        <w:rPr>
          <w:rFonts w:ascii="Times New Roman" w:hAnsi="Times New Roman"/>
          <w:sz w:val="20"/>
        </w:rPr>
      </w:pPr>
      <w:r>
        <w:rPr>
          <w:rFonts w:ascii="Times New Roman" w:hAnsi="Times New Roman"/>
          <w:sz w:val="20"/>
        </w:rPr>
        <w:t xml:space="preserve">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applicable clinical trials must be submitted within specific timeframes to the National Institutes of Health (“NIH”) for public dissemination on its </w:t>
      </w:r>
      <w:r>
        <w:rPr>
          <w:rFonts w:ascii="Times New Roman" w:hAnsi="Times New Roman"/>
          <w:i/>
          <w:sz w:val="20"/>
        </w:rPr>
        <w:t xml:space="preserve">ClinicalTrials.gov </w:t>
      </w:r>
      <w:r>
        <w:rPr>
          <w:rFonts w:ascii="Times New Roman" w:hAnsi="Times New Roman"/>
          <w:sz w:val="20"/>
        </w:rPr>
        <w:t xml:space="preserve">website. </w:t>
      </w:r>
    </w:p>
    <w:p>
      <w:pPr>
        <w:pStyle w:val="TextBody"/>
        <w:bidi w:val="0"/>
        <w:spacing w:before="360" w:after="0"/>
        <w:jc w:val="left"/>
        <w:rPr>
          <w:rFonts w:ascii="Times New Roman" w:hAnsi="Times New Roman"/>
          <w:i/>
          <w:sz w:val="20"/>
        </w:rPr>
      </w:pPr>
      <w:r>
        <w:rPr>
          <w:rFonts w:ascii="Times New Roman" w:hAnsi="Times New Roman"/>
          <w:i/>
          <w:sz w:val="20"/>
        </w:rPr>
        <w:t xml:space="preserve">Pediatric studies </w:t>
      </w:r>
    </w:p>
    <w:p>
      <w:pPr>
        <w:pStyle w:val="TextBody"/>
        <w:bidi w:val="0"/>
        <w:spacing w:before="120" w:after="0"/>
        <w:jc w:val="left"/>
        <w:rPr>
          <w:rFonts w:ascii="Times New Roman" w:hAnsi="Times New Roman"/>
          <w:sz w:val="20"/>
        </w:rPr>
      </w:pPr>
      <w:r>
        <w:rPr>
          <w:rFonts w:ascii="Times New Roman" w:hAnsi="Times New Roman"/>
          <w:sz w:val="20"/>
        </w:rPr>
        <w:t xml:space="preserve">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on its own initiative or at the request of the applicant, grant deferrals for submission of some or all pediatric data until after approval of the product for use in adults, or full or partial waivers from the pediatric data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Compliance with cGMP requirements </w:t>
      </w:r>
    </w:p>
    <w:p>
      <w:pPr>
        <w:pStyle w:val="TextBody"/>
        <w:bidi w:val="0"/>
        <w:spacing w:before="120" w:after="0"/>
        <w:jc w:val="left"/>
        <w:rPr>
          <w:rFonts w:ascii="Times New Roman" w:hAnsi="Times New Roman"/>
          <w:sz w:val="20"/>
        </w:rPr>
      </w:pPr>
      <w:r>
        <w:rPr>
          <w:rFonts w:ascii="Times New Roman" w:hAnsi="Times New Roman"/>
          <w:sz w:val="20"/>
        </w:rPr>
        <w:t xml:space="preserve">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 for products like biologics whose attributes cannot be precisely defined.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w:t>
      </w:r>
    </w:p>
    <w:p>
      <w:pPr>
        <w:pStyle w:val="TextBody"/>
        <w:bidi w:val="0"/>
        <w:spacing w:before="360" w:after="0"/>
        <w:jc w:val="left"/>
        <w:rPr>
          <w:rFonts w:ascii="Times New Roman" w:hAnsi="Times New Roman"/>
          <w:i/>
          <w:sz w:val="20"/>
        </w:rPr>
      </w:pPr>
      <w:r>
        <w:rPr>
          <w:rFonts w:ascii="Times New Roman" w:hAnsi="Times New Roman"/>
          <w:i/>
          <w:sz w:val="20"/>
        </w:rPr>
        <w:t xml:space="preserve">Review and approval of a BLA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 </w:t>
      </w:r>
    </w:p>
    <w:p>
      <w:pPr>
        <w:pStyle w:val="TextBody"/>
        <w:bidi w:val="0"/>
        <w:spacing w:before="240" w:after="0"/>
        <w:jc w:val="left"/>
        <w:rPr>
          <w:rFonts w:ascii="Times New Roman" w:hAnsi="Times New Roman"/>
          <w:sz w:val="20"/>
        </w:rPr>
      </w:pPr>
      <w:r>
        <w:rPr>
          <w:rFonts w:ascii="Times New Roman" w:hAnsi="Times New Roman"/>
          <w:sz w:val="20"/>
        </w:rPr>
        <w:t xml:space="preserve">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Expedited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 </w:t>
      </w:r>
    </w:p>
    <w:p>
      <w:pPr>
        <w:pStyle w:val="TextBody"/>
        <w:bidi w:val="0"/>
        <w:spacing w:before="240" w:after="0"/>
        <w:jc w:val="left"/>
        <w:rPr>
          <w:rFonts w:ascii="Times New Roman" w:hAnsi="Times New Roman"/>
          <w:sz w:val="20"/>
        </w:rPr>
      </w:pPr>
      <w:r>
        <w:rPr>
          <w:rFonts w:ascii="Times New Roman" w:hAnsi="Times New Roman"/>
          <w:sz w:val="20"/>
        </w:rPr>
        <w:t xml:space="preserve">Any product candidate submitted to the FDA for marketing, including under a Fast Track program, may be eligible for other types of FDA programs intended to expedite development and review, such as breakthrough therapy designation, priority review and accelerated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Breakthrough therapy designation. </w:t>
            </w:r>
            <w:r>
              <w:rPr>
                <w:rFonts w:ascii="Times New Roman" w:hAnsi="Times New Roman"/>
                <w:sz w:val="20"/>
              </w:rPr>
              <w:t xml:space="preserve">To qualify for the breakthrough therapy program, product candidates must be intended to treat a serious or life-threatening disease or condition and preliminary clinical evidence must indicate that such product candidates may demonstrate substantial improvement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Priority review. </w:t>
            </w:r>
            <w:r>
              <w:rPr>
                <w:rFonts w:ascii="Times New Roman" w:hAnsi="Times New Roman"/>
                <w:sz w:val="20"/>
              </w:rPr>
              <w:t xml:space="preserve">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Accelerated approval. </w:t>
            </w:r>
            <w:r>
              <w:rPr>
                <w:rFonts w:ascii="Times New Roman" w:hAnsi="Times New Roman"/>
                <w:sz w:val="20"/>
              </w:rPr>
              <w:t xml:space="preserve">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r>
              <w:rPr>
                <w:rFonts w:ascii="Times New Roman" w:hAnsi="Times New Roman"/>
                <w:i/>
                <w:sz w:val="20"/>
              </w:rPr>
              <w:t xml:space="preserve">Breakthrough therapy designation. </w:t>
            </w:r>
            <w:r>
              <w:rPr>
                <w:rFonts w:ascii="Times New Roman" w:hAnsi="Times New Roman"/>
                <w:sz w:val="20"/>
              </w:rPr>
              <w:t xml:space="preserve">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Priority review. </w:t>
            </w:r>
            <w:r>
              <w:rPr>
                <w:rFonts w:ascii="Times New Roman" w:hAnsi="Times New Roman"/>
                <w:sz w:val="20"/>
              </w:rPr>
              <w:t xml:space="preserve">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Accelerated approval. </w:t>
            </w:r>
            <w:r>
              <w:rPr>
                <w:rFonts w:ascii="Times New Roman" w:hAnsi="Times New Roman"/>
                <w:sz w:val="20"/>
              </w:rPr>
              <w:t xml:space="preserve">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these expedited programs change the standards for approval but they may help expedite the development or approval process of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recall, seizure or detention, or refusal to permit the import or export of products; or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 </w:t>
      </w:r>
    </w:p>
    <w:p>
      <w:pPr>
        <w:pStyle w:val="TextBody"/>
        <w:bidi w:val="0"/>
        <w:spacing w:before="360" w:after="0"/>
        <w:jc w:val="left"/>
        <w:rPr>
          <w:rFonts w:ascii="Times New Roman" w:hAnsi="Times New Roman"/>
          <w:i/>
          <w:sz w:val="20"/>
        </w:rPr>
      </w:pPr>
      <w:r>
        <w:rPr>
          <w:rFonts w:ascii="Times New Roman" w:hAnsi="Times New Roman"/>
          <w:i/>
          <w:sz w:val="20"/>
        </w:rPr>
        <w:t xml:space="preserve">Biosimilars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No interchangeable biosimilars, however, have been approved. The FDA has issued several guidance documents outlining an approach to review and approval of biosimilars. Additional guidances are expected to be finalized by the FDA in the near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state-regulated, to regulate the use of biosimilars.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Patent term restoration and extension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 </w:t>
      </w:r>
    </w:p>
    <w:p>
      <w:pPr>
        <w:pStyle w:val="TextBody"/>
        <w:bidi w:val="0"/>
        <w:spacing w:before="360" w:after="0"/>
        <w:jc w:val="left"/>
        <w:rPr>
          <w:rFonts w:ascii="Times New Roman" w:hAnsi="Times New Roman"/>
          <w:i/>
          <w:sz w:val="20"/>
        </w:rPr>
      </w:pPr>
      <w:r>
        <w:rPr>
          <w:rFonts w:ascii="Times New Roman" w:hAnsi="Times New Roman"/>
          <w:i/>
          <w:sz w:val="20"/>
        </w:rPr>
        <w:t xml:space="preserve">Other U.S.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play a primary role in the recommendation and prescription of any product candidates that Tectonic may develop for which Tectonic obtains marketing approval. Tectonic’s current and future arrangements with third-party payors, healthcare providers and customers may implicate broadly applicable fraud and abuse and other healthcare laws and regulations. Restrictions under applicable federal and state healthcare laws and regulations, including certain laws and regulations applicable only if Tectonic has marketed products,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 healthcare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of Medicare &amp; Medicaid Services (“CMS”), information related to payments or other transfers of value made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anti-bribery and false claims laws, which may apply to healthcare items or services that are reimbursed by non-governmental third-party payors, including private insurers.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AVROBIO’s activities are potentially subject to federal and state consumer protection and unfair competition laws.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and continue to be ongoing efforts to implement legislative and regulatory changes regarding the healthcare system. Such changes could prevent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delay marketing approval of any product candidates that Tectonic may develop, restrict or regulate post-approval activities and affect Tectonic’s ability to profitably sell any product candidates for which Tectonic obtains marketing approval. Although Tectonic cannot predict what healthcare or other reform efforts will be successful, such efforts may result in more rigorous coverage criteria, in additional downward pressure on the price that Tectonic, or Tectonic’s future collaborators, may receive for any approved products or in other consequences that may adversely affect Tectonic’s ability to achieve or maintain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Within the United States, the federal government and individual states have aggressively pursued healthcare reform, as evidenced by the passing of the Patient Protection and Affordable Care Act of 2010, as amended by the Health Care and Reconciliation Act of 2010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Tectonic’s business. Modifications have been implemented and additional modifications or repeal may occur. </w:t>
      </w:r>
    </w:p>
    <w:p>
      <w:pPr>
        <w:pStyle w:val="TextBody"/>
        <w:bidi w:val="0"/>
        <w:spacing w:before="240" w:after="0"/>
        <w:jc w:val="left"/>
        <w:rPr>
          <w:rFonts w:ascii="Times New Roman" w:hAnsi="Times New Roman"/>
          <w:sz w:val="20"/>
        </w:rPr>
      </w:pPr>
      <w:r>
        <w:rPr>
          <w:rFonts w:ascii="Times New Roman" w:hAnsi="Times New Roman"/>
          <w:sz w:val="20"/>
        </w:rPr>
        <w:t xml:space="preserve">In August 2022, the Inflation Reduction Act of 2022 (“IRA”) was signed into law. The IRA contains several provisions that may impact Tectonic’s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U.S. Department of Health and Human Services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IRA permits HHS to implement many of these provisions through guidance, as opposed to regulation, for the initial years. On August 29, 2023, HHS announced the list of the first ten drugs that will be subject to price negotiations, although there is currently ongoing litigation challenging the constitutionality of the IRA’s Medicare drug price negotiation program.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The effects of the IRA on Tectonic’s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pricing regulations, reforms of regulatory approval frameworks may adversely affect Tectonic’s pricing strategy.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w:t>
      </w:r>
    </w:p>
    <w:p>
      <w:pPr>
        <w:pStyle w:val="TextBody"/>
        <w:bidi w:val="0"/>
        <w:spacing w:before="240" w:after="0"/>
        <w:jc w:val="left"/>
        <w:rPr>
          <w:rFonts w:ascii="Times New Roman" w:hAnsi="Times New Roman"/>
          <w:sz w:val="20"/>
        </w:rPr>
      </w:pPr>
      <w:r>
        <w:rPr>
          <w:rFonts w:ascii="Times New Roman" w:hAnsi="Times New Roman"/>
          <w:sz w:val="20"/>
        </w:rPr>
        <w:t xml:space="preserve">In the European Union, similar political, economic and regulatory developments may affect Tectonic’s ability to profitably commercialize Tectonic’s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Tectonic may be required to conduct a clinical trial that compares the cost-effectiveness of any product candidates Tectonic may develop to other available therapies. If reimbursement of Tectonic’s products is unavailable or limited in scope or amount, or if pricing is set at unsatisfactory levels, Tectonic’s business could be harmed, possibly materially. </w:t>
      </w:r>
    </w:p>
    <w:p>
      <w:pPr>
        <w:pStyle w:val="TextBody"/>
        <w:bidi w:val="0"/>
        <w:spacing w:before="360" w:after="0"/>
        <w:jc w:val="left"/>
        <w:rPr>
          <w:rFonts w:ascii="Times New Roman" w:hAnsi="Times New Roman"/>
          <w:i/>
          <w:sz w:val="20"/>
        </w:rPr>
      </w:pPr>
      <w:r>
        <w:rPr>
          <w:rFonts w:ascii="Times New Roman" w:hAnsi="Times New Roman"/>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Tectonic might obtain marketing approval for a product in a particular country, but then be subject to price regulations that delay Tectonic’s commercial launch of the product, possibly for lengthy time periods, and negatively impact the revenues Tectonic is able to generate from the sale of the product in that country. Adverse pricing limitations may hinder Tectonic’s ability to recoup its investment in one or more product candidates, even if its product candidates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a third-party payor may depend upon a number of factors, including the third-party payor’s determination that use of a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United States, there is no uniform policy of coverage and reimbursement for products exists among third-party payors. As a result, obtaining coverage and reimbursement approval of a product from a government or other third-party payor is a time-consuming and costly process that could require Tectonic to provide to each payor supporting scientific, clinical and cost-effectiveness data for the use of Tectonic’s products on a payor-by-payor basis, with no assurance that coverage and adequate reimbursement will be obtained. The availability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adequacy of coverage and reimbursement by governmental healthcare programs such as Medicare and Medicaid, private health insurers and other third-party payors are essential for most patients to be able to afford Tectonic’s product candidates, if approved. Tectonic’s ability to achieve acceptable levels of coverage and reimbursement for Tectonic’s product candidates, if approved, by governmental authorities, private health insurers and other organizations will have an effect on Tectonic’s ability to successfully commercialize, Tectonic’s product candidates. Assuming Tectonic obtains coverage for a given product by a third-party payor, the resulting reimbursement payment rates may not be adequate or may require patient out-of-pocket costs that patients find unacceptably high.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Tectonic commercializes and, even if these are available, the level of reimbursement may not be satisfactory. Reimbursement may affect the demand for, or the price of, any product candidate for which Tectonic obtains marketing approval. Obtaining and maintaining adequate reimbursement for Tectonic’s products may be difficult. Tectonic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Tectonic may not be able to successfully commercialize any product candidate for which Tectonic obtains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Tectonic’s costs, including research, development, manufacture, sale and distribution expenses. Interim reimbursement levels for new drugs, if applicable, may also not be sufficient to cover Tectonic’s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Tectonic’s inability to promptly obtain coverage and adequate reimbursement rates from both government-funded and private payors for any approved products that Tectonic develops could have a material adverse effect on Tectonic’s operating results, Tectonic’s ability to raise capital needed to commercialize products and Tectonic’s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Tectonic’s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Tectonic’s ability to sell Tectonic’s product candidates profitably.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Tectonic will be required to comply with comparable regulations in each jurisdiction outside of the United States in which Tectonic chooses to manufacture, develop or seek marketing authorization for Tectonic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394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European Union drug development </w:t>
      </w:r>
    </w:p>
    <w:p>
      <w:pPr>
        <w:pStyle w:val="TextBody"/>
        <w:bidi w:val="0"/>
        <w:spacing w:before="120" w:after="0"/>
        <w:jc w:val="left"/>
        <w:rPr>
          <w:rFonts w:ascii="Times New Roman" w:hAnsi="Times New Roman"/>
          <w:sz w:val="20"/>
        </w:rPr>
      </w:pPr>
      <w:r>
        <w:rPr>
          <w:rFonts w:ascii="Times New Roman" w:hAnsi="Times New Roman"/>
          <w:sz w:val="20"/>
        </w:rPr>
        <w:t xml:space="preserve">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Tectonic intends to conduct clinical trials, much like the FDA and IRB, respectively. Under the new Clinical Trials Regulation (EU) No 536/2014, which replaced the previous Clinical Trials Directive 2001/20/EC on January 31, 2022, a single application is now made through the Clinical Trials Information System for clinical trial authorization in up to 30 EU or European Economic Area (Norway, Iceland and Liechtenstein) (“EEA”) countries at the same time and with a single set of documentation. </w:t>
      </w:r>
    </w:p>
    <w:p>
      <w:pPr>
        <w:pStyle w:val="TextBody"/>
        <w:bidi w:val="0"/>
        <w:spacing w:before="240" w:after="0"/>
        <w:jc w:val="left"/>
        <w:rPr>
          <w:rFonts w:ascii="Times New Roman" w:hAnsi="Times New Roman"/>
          <w:sz w:val="20"/>
        </w:rPr>
      </w:pPr>
      <w:r>
        <w:rPr>
          <w:rFonts w:ascii="Times New Roman" w:hAnsi="Times New Roman"/>
          <w:sz w:val="20"/>
        </w:rPr>
        <w:t xml:space="preserve">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(each, a “Member State Concerned”) of a draft report prepared by a Reference Member State. Part II is assessed separately by each Member State Concerned. The role of the relevant ethics committees in the assessment procedure continues to be governed by the national law of the Member State Concerned, however overall related timelines are defined by the Clinical Trials Regulation. The new Clinical Trials Regulation also provides for simplified reporting procedures for clinical trial sponsors.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Union drug review and approval </w:t>
      </w:r>
    </w:p>
    <w:p>
      <w:pPr>
        <w:pStyle w:val="TextBody"/>
        <w:bidi w:val="0"/>
        <w:spacing w:before="120" w:after="0"/>
        <w:jc w:val="left"/>
        <w:rPr>
          <w:rFonts w:ascii="Times New Roman" w:hAnsi="Times New Roman"/>
          <w:sz w:val="20"/>
        </w:rPr>
      </w:pPr>
      <w:r>
        <w:rPr>
          <w:rFonts w:ascii="Times New Roman" w:hAnsi="Times New Roman"/>
          <w:sz w:val="20"/>
        </w:rPr>
        <w:t xml:space="preserve">In addition, whether or not Tectonic obtains FDA approval for a product, Tectonic must obtain approval of a product by the comparable regulatory authorities of countries outside the United States before Tectonic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 </w:t>
      </w:r>
    </w:p>
    <w:p>
      <w:pPr>
        <w:pStyle w:val="TextBody"/>
        <w:bidi w:val="0"/>
        <w:spacing w:before="240" w:after="0"/>
        <w:jc w:val="left"/>
        <w:rPr>
          <w:rFonts w:ascii="Times New Roman" w:hAnsi="Times New Roman"/>
          <w:sz w:val="20"/>
        </w:rPr>
      </w:pPr>
      <w:r>
        <w:rPr>
          <w:rFonts w:ascii="Times New Roman" w:hAnsi="Times New Roman"/>
          <w:sz w:val="20"/>
        </w:rPr>
        <w:t xml:space="preserve">To obtain regulatory approval for Tectonic’s medicinal product candidates in the European Union, a marketing authorization application (“MAA”) needs to be submitted. There are a number of potential routes open to obtain a marketing authorization (“MA”) in the European Union. A centralized MA is issued by the European Commission through the centralized procedure, based on the opinion of the Committee for Medicinal Products for Human Use (“CHMP”) of the EMA, and is valid throughout the European Union, and in the additional Member States of the EEA. The centralized procedure is compulsory for medicinal products manufactured using biotechnological processes, orphan medicinal products, advanced therapy medicinal products (gene-therapy, somatic cell-therapy or tissue-engineered medicines) and products containing a new active substance which is not yet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 </w:t>
      </w:r>
    </w:p>
    <w:p>
      <w:pPr>
        <w:pStyle w:val="TextBody"/>
        <w:bidi w:val="0"/>
        <w:spacing w:before="240" w:after="0"/>
        <w:jc w:val="left"/>
        <w:rPr>
          <w:rFonts w:ascii="Times New Roman" w:hAnsi="Times New Roman"/>
          <w:sz w:val="20"/>
        </w:rPr>
      </w:pPr>
      <w:r>
        <w:rPr>
          <w:rFonts w:ascii="Times New Roman" w:hAnsi="Times New Roman"/>
          <w:sz w:val="20"/>
        </w:rPr>
        <w:t xml:space="preserve">National mAs are issued by the competent authorities of the EU Member States and only cover their respective territory. This procedure is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Member State in which the MA is sought, one of which is selected by the applicant as the Reference Member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mAs in the European Union have an initial duration of five years. After these five years, the authorization may be renewed for an unlimited period on the basis of a re-evaluation of the risk-benefit balance. </w:t>
      </w:r>
    </w:p>
    <w:p>
      <w:pPr>
        <w:pStyle w:val="TextBody"/>
        <w:bidi w:val="0"/>
        <w:spacing w:before="360" w:after="0"/>
        <w:jc w:val="left"/>
        <w:rPr>
          <w:rFonts w:ascii="Times New Roman" w:hAnsi="Times New Roman"/>
          <w:i/>
          <w:sz w:val="20"/>
        </w:rPr>
      </w:pPr>
      <w:r>
        <w:rPr>
          <w:rFonts w:ascii="Times New Roman" w:hAnsi="Times New Roman"/>
          <w:i/>
          <w:sz w:val="20"/>
        </w:rPr>
        <w:t xml:space="preserve">Data protection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Tectonic’s industry) with respect to the processing of personal data and the cross-border transfer of such data. Tectonic will be subject to the GDPR to the extent Tectonic processes the personal data of individuals based in the EEA/UK. </w:t>
      </w:r>
    </w:p>
    <w:p>
      <w:pPr>
        <w:pStyle w:val="TextBody"/>
        <w:bidi w:val="0"/>
        <w:spacing w:before="360" w:after="0"/>
        <w:jc w:val="left"/>
        <w:rPr>
          <w:rFonts w:ascii="Times New Roman" w:hAnsi="Times New Roman"/>
          <w:b/>
          <w:sz w:val="20"/>
        </w:rPr>
      </w:pPr>
      <w:bookmarkStart w:id="146" w:name="toc770053_150"/>
      <w:bookmarkEnd w:id="146"/>
      <w:r>
        <w:rPr>
          <w:rFonts w:ascii="Times New Roman" w:hAnsi="Times New Roman"/>
          <w:b/>
          <w:sz w:val="20"/>
        </w:rPr>
        <w:t xml:space="preserve">Employees and 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4, 2024, Tectonic had 44 full-time employees, 32 of whom were primarily engaged in research and development activities and 35 of Tectonic’s employees had an M.D. or Ph.D. degree. None of Tectonic’s employees is represented by a labor union and Tectonic considers its employee relations to be good. </w:t>
      </w:r>
    </w:p>
    <w:p>
      <w:pPr>
        <w:pStyle w:val="TextBody"/>
        <w:bidi w:val="0"/>
        <w:spacing w:before="240" w:after="0"/>
        <w:jc w:val="left"/>
        <w:rPr>
          <w:rFonts w:ascii="Times New Roman" w:hAnsi="Times New Roman"/>
          <w:sz w:val="20"/>
        </w:rPr>
      </w:pPr>
      <w:r>
        <w:rPr>
          <w:rFonts w:ascii="Times New Roman" w:hAnsi="Times New Roman"/>
          <w:sz w:val="20"/>
        </w:rPr>
        <w:t xml:space="preserve">Tectonic’s human capital objectives include, as applicable, identifying, recruiting, retaining, incentivizing and integrating Tectonic’s existing and additional employees. The principal purposes of Tectonic’s equity incentive plans are to attract, retain and motivate selected employees, consultants and directors through the granting of stock-based compensation awards. </w:t>
      </w:r>
    </w:p>
    <w:p>
      <w:pPr>
        <w:pStyle w:val="TextBody"/>
        <w:bidi w:val="0"/>
        <w:spacing w:before="360" w:after="0"/>
        <w:jc w:val="left"/>
        <w:rPr>
          <w:rFonts w:ascii="Times New Roman" w:hAnsi="Times New Roman"/>
          <w:b/>
          <w:sz w:val="20"/>
        </w:rPr>
      </w:pPr>
      <w:bookmarkStart w:id="147" w:name="toc770053_151"/>
      <w:bookmarkEnd w:id="147"/>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Tectonic’s headquarters are currently located in Watertown, Massachusetts and consists of approximately 19,000 square feet of leased research laboratory and office space under a lease that expires in January 2026. Tectonic believes that its facilities are adequate to meet its current needs. </w:t>
      </w:r>
    </w:p>
    <w:p>
      <w:pPr>
        <w:pStyle w:val="TextBody"/>
        <w:bidi w:val="0"/>
        <w:spacing w:before="360" w:after="0"/>
        <w:jc w:val="left"/>
        <w:rPr>
          <w:rFonts w:ascii="Times New Roman" w:hAnsi="Times New Roman"/>
          <w:b/>
          <w:sz w:val="20"/>
        </w:rPr>
      </w:pPr>
      <w:bookmarkStart w:id="148" w:name="toc770053_152"/>
      <w:bookmarkEnd w:id="148"/>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Tectonic may become involved in legal proceedings arising in the ordinary course of its business. Tectonic is not currently a party to any material legal proceedings, and Tectonic is not aware of any pending or threatened legal proceeding against Tectonic that Tectonic believes could have an adverse effect on Tectonic’s business, operating results 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49" w:name="toc770053_153"/>
      <w:bookmarkEnd w:id="149"/>
      <w:r>
        <w:rPr>
          <w:rFonts w:ascii="Times New Roman" w:hAnsi="Times New Roman"/>
          <w:b/>
          <w:sz w:val="20"/>
        </w:rPr>
        <w:t xml:space="preserve">AVROBIO’S 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AVROBIO’s financial condition and results of operations should be read in conjunction with AVROBIO’s consolidated financial statements and notes thereto appearing elsewhere in this proxy statement/prospectus. Some of the information contained in this discussion and analysis or set forth elsewhere in this proxy statement/prospectus, including information with respect to AVROBIO’s plans and strategy for AVROBIO’s business and related financing, includes forward-looking statements that involve risks and uncertainties. As a result of many factors, AVROBIO’s actual results could differ materially from the results described in or implied by the forward-looking statements contained in the following discussion and analysis.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AVROBIO is a gene therapy company with a purpose to free people from a lifetime of genetic disease. AVROBIO has been focused on developing potentially curative HSC gene therapies to treat patients with rare diseases following a single dose treatment regimen. The gene therapies AVROBIO has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ERTs.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following a comprehensive review of AVROBIO’s business by the AVROBIO Board, AVROBIO announced its intention to halt development of its programs and explore strategic alternatives focused on maximizing stockholder value, which may include, but are not limited to, an acquisition, a merger, business combination or divestiture. </w:t>
      </w:r>
    </w:p>
    <w:p>
      <w:pPr>
        <w:pStyle w:val="TextBody"/>
        <w:bidi w:val="0"/>
        <w:spacing w:before="240" w:after="0"/>
        <w:jc w:val="left"/>
        <w:rPr>
          <w:rFonts w:ascii="Times New Roman" w:hAnsi="Times New Roman"/>
          <w:sz w:val="20"/>
        </w:rPr>
      </w:pPr>
      <w:r>
        <w:rPr>
          <w:rFonts w:ascii="Times New Roman" w:hAnsi="Times New Roman"/>
          <w:sz w:val="20"/>
        </w:rPr>
        <w:t xml:space="preserve">Subsequently, in connection with ongoing cost reduction efforts related to AVROBIO’s ongoing review of potential strategic alternatives, AVROBIO has terminated all AVROBIO-sponsored treatment-related and AVROBIO-sponsored long-term follow-up clinical studies relating to AVROBIO’s AVR-RD-02 (Gaucher disease type 1) program, and AVROBIO-sponsored long term follow-up studies relating to AVROBIO’s AVR-RD-01 (Fabry disease) program (which AVROBIO previously deprioritized). In addition, in September 2023, AVROBIO terminated its agreements with the University of Manchester for the license and development of a gene therapy for MPSII (Hunter syndrome) and discontinued AVROBIO’s AVR-RD-05 (Hunter syndrome gene therapy) program. Previously, in June 2023, AVROBIO sold its cystinosis gene therapy program to Novartis. As of the date of the filing of this proxy statement/prospectus,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rPr>
      </w:pPr>
      <w:r>
        <w:rPr>
          <w:rFonts w:ascii="Times New Roman" w:hAnsi="Times New Roman"/>
          <w:sz w:val="20"/>
        </w:rPr>
        <w:t xml:space="preserve">After a comprehensive review of strategic alternatives, including identifying and reviewing potential candidates for a strategic transaction, on January 30, 2024, AVROBIO entered into the Merger Agreement, with Merger Sub and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certain investors have agreed to purchase shares of Tectonic common stock at a purchase price of $12.39908 per share, subject to and immediately prior to the closing of the merger, pursuant to the terms of the Subscription Agreement, and certain investors have consummated or will consummate certain additional purchases of Tectonic common stock pursuant to the conversion of the Company SAFEs entered into by such investors and Tectonic, for an aggregate purchase price among the transactions contemplated by the Subscription Agreement and such Company SAFEs of approximately $130.7 million.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time of the merger, each share of then-outstanding Tectonic common stock will be converted into the right to receive a number of shares of AVROBIO common stock, equal to the exchange ratio as set forth in the Merger Agreement. Concurrently with the closing of the merger, and assuming approval by AVROBIO stockholders, AVROBIO anticipates effecting a reverse stock split at a ratio in the range between 1:3 to 1:30, inclusive. Additionally, at or prior to the effective time of the merger, AVROBIO and a rights agent will enter into a CVR Agreement, pursuant to which AVROBIO stockholders of record as of immediately prior to such effective time (including holders of AVROBIO common stock issued upon settlement of the AVROBIO RSUs) will receive one non-transferable CVR for each outstanding share of AVROBIO common stock held by such stockholder on such date.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common stock to be issued in connection with the proposed merger. The closings of the private financings are conditioned upon the satisfaction or waiver of the conditions to the closing of the merger as well as certain other conditions. The closing of the merger is conditioned upon the satisfaction or waiver of the receipt of cash proceeds not less than $114.5 million in connection with the consummation of the transactions contemplated by the private financings. If the transactions are completed, the business of Tectonic will continue as the business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 </w:t>
      </w:r>
    </w:p>
    <w:p>
      <w:pPr>
        <w:pStyle w:val="TextBody"/>
        <w:bidi w:val="0"/>
        <w:spacing w:before="240" w:after="0"/>
        <w:jc w:val="left"/>
        <w:rPr>
          <w:rFonts w:ascii="Times New Roman" w:hAnsi="Times New Roman"/>
          <w:sz w:val="20"/>
        </w:rPr>
      </w:pPr>
      <w:r>
        <w:rPr>
          <w:rFonts w:ascii="Times New Roman" w:hAnsi="Times New Roman"/>
          <w:sz w:val="20"/>
        </w:rPr>
        <w:t xml:space="preserve">Since AVROBIO’s inception in 2015, AVROBIO has devoted substantially all of its resources to organizing and staffing the company, business planning, raising capital, acquiring or discovering product candidates and securing related intellectual property rights, conducting discovery, research and development activities for its programs and planning for potential commercialization. To date, AVROBIO has not generated any product revenue and has financed operations primarily through the private placement of its securities and through public offerings of AVROBIO common stock. Through December 31, 2023, AVROBIO had received gross cash proceeds of $87.5 million from sales of AVROBIO’s preferred stock; gross cash proceeds, before deducting underwriting discounts and commissions and expenses, of $428.1 million from sales of AVROBIO common stock through AVROBIO’s IPO and follow-on offerings; gross cash proceeds, before deducting commissions and expenses, of $23.5 million from sales of AVROBIO common stock through AVROBIO’s ATM facility; $15.0 million drawn in term loans under the Term Loan Agreement, which was repaid in full and terminated on June 9, 2023; and gross proceeds, before deducting transaction costs, of $87.5 million from the sale of AVROBIO’s cystinosis gene therapy program. </w:t>
      </w:r>
    </w:p>
    <w:p>
      <w:pPr>
        <w:pStyle w:val="TextBody"/>
        <w:bidi w:val="0"/>
        <w:spacing w:before="240" w:after="0"/>
        <w:jc w:val="left"/>
        <w:rPr>
          <w:rFonts w:ascii="Times New Roman" w:hAnsi="Times New Roman"/>
          <w:sz w:val="20"/>
        </w:rPr>
      </w:pPr>
      <w:r>
        <w:rPr>
          <w:rFonts w:ascii="Times New Roman" w:hAnsi="Times New Roman"/>
          <w:sz w:val="20"/>
        </w:rPr>
        <w:t xml:space="preserve">Additionally, AVROBIO has incurred significant operating losses. AVROBIO’s ability to generate product revenue sufficient to achieve profitability will depend heavily on the successful development and eventual commercialization of one or more of AVROBIO’s current or future product candidates and programs. AVROBIO’s net income (lossses) were $12.2 million and $(105.9) million for the years ended December 31, 2023 and 2022, respectively. As of December 31, 2023, AVROBIO had an accumulated deficit of $477.3 million. Should AVROBIO resume development of its product candidates, AVROBIO would expect to continue to incur significant expenses for at least the next several years as it advances product candidates from preclinical development and clinical trials and seeks regulatory approval of the product candidates. Should AVROBIO resume development of its product candidates, it would expect to expend significant resources to advance these candidates. In addition, if AVROBIO obtains marketing approval for any of the product candidates, AVROBIO expects to incur significant commercialization expenses related to product manufacturing, marketing, sales and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it would need substantial additional funding to support continuing operations and pursue its growth strategy. Until such time as AVROBIO can generate significant revenue from product sales, if ever, AVROBIO expects to finance its operations with proceeds from outside sources, with a majority of such proceeds to be derived from sales of equity. AVROBIO may also pursue additional funding from outside sources, including borrowing arrangements and entry into potential future collaboration agreements for one or more of its programs. AVROBIO may be unable to raise additional funds or enter into such other agreements or arrangements when needed on favorable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product development, AVROBIO is unable to predict the timing or amount of increased expenses or when or if AVROBIO will be able to achieve or maintain profitability, should AVROBIO resume development of its product candidates. Even if AVROBIO is able to generate product sales, AVROBIO may not become profitable. If AVROBIO fails to become profitable or is unable to sustain profitability on a continuing basis, AVROBIO may be unable to continue operations at planned levels and be forced to reduce or terminate operations. </w:t>
      </w:r>
    </w:p>
    <w:p>
      <w:pPr>
        <w:pStyle w:val="TextBody"/>
        <w:bidi w:val="0"/>
        <w:spacing w:before="360" w:after="0"/>
        <w:jc w:val="left"/>
        <w:rPr>
          <w:rFonts w:ascii="Times New Roman" w:hAnsi="Times New Roman"/>
          <w:b/>
          <w:sz w:val="20"/>
        </w:rPr>
      </w:pPr>
      <w:bookmarkStart w:id="150" w:name="toc770053_154"/>
      <w:bookmarkEnd w:id="150"/>
      <w:r>
        <w:rPr>
          <w:rFonts w:ascii="Times New Roman" w:hAnsi="Times New Roman"/>
          <w:b/>
          <w:sz w:val="20"/>
        </w:rPr>
        <w:t xml:space="preserve">Components of AVROBIO’s Consolidated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discovery and development of AVROBIO’s product candidates. AVROBIO expenses research and development costs as incurred. These expenses consist of costs incurred in connection with the development of AVROBIO’s product candidates, including: </w:t>
      </w:r>
    </w:p>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license maintenance fees and milestone fees incurred in connection with various license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under agreements with CROs, CMOs, as well as investigative sites and consultants that conduct AVROBIO’s clinical trials, preclinical studies and other scientific development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scale-up expenses and the cost of acquiring and manufacturing preclinical and clinical trial materials and commercial materials, including manufacturing validation batches;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purchasing lab supplies and non-capital equipment used in AVROBIO’s preclinical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related benefits, travel and stock-based compensation expense for employees engaged in research and development functions;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allocated facilities costs, depreciation and other expenses, which include rent and utilities.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recognizes external development costs based on an evaluation of the progress to completion of specific tasks using information provided to AVROBIO by its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AVROBIO’s direct research and development expenses are tracked on a program-by-program basis for AVROBIO’s product candidates and consist primarily of external costs, such as fees paid to outside consultants, CROs, CMOs, and central laboratories in connection with AVROBIO’s preclinical development, process development, manufacturing and clinical development activities. AVROBIO’s direct research and development expenses by program also include fees incurred under license agreements. AVROBIO does not allocate employee costs or facility expenses, including depreciation or other indirect costs, to specific programs because these costs are deployed across multiple programs and, as such, are not separately classified. AVROBIO uses internal resources primarily to oversee the research and discovery as well as for managing AVROBIO’s preclinical development, process development, manufacturing and clinical development activities. These employees work across multiple programs and, therefore, AVROBIO does not track their costs by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Total research and development expenses decreased during the year ended December 31, 2023 as compared to the year ended December 31, 2022, which was driven by AVROBIO’s decision to halt further development of its programs and explore strategic alternatives. This decrease was partially offset by increases in expenses related to AVROBIO’s Gaucher and Hunter product candidates, which were driven by costs associated with the termination of these programs.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AVROBIO’s research and development expenses related to AVROBIO’s product candidates (in thousands): </w:t>
      </w:r>
    </w:p>
    <w:p>
      <w:pPr>
        <w:pStyle w:val="TextBody"/>
        <w:bidi w:val="0"/>
        <w:spacing w:before="0" w:after="0"/>
        <w:jc w:val="left"/>
        <w:rPr/>
      </w:pPr>
      <w:r>
        <w:rPr/>
        <w:t> </w:t>
      </w:r>
    </w:p>
    <w:tbl>
      <w:tblPr>
        <w:tblW w:w="6015" w:type="dxa"/>
        <w:jc w:val="left"/>
        <w:tblInd w:w="0" w:type="dxa"/>
        <w:tblLayout w:type="fixed"/>
        <w:tblCellMar>
          <w:top w:w="0" w:type="dxa"/>
          <w:left w:w="0" w:type="dxa"/>
          <w:bottom w:w="0" w:type="dxa"/>
          <w:right w:w="0" w:type="dxa"/>
        </w:tblCellMar>
      </w:tblPr>
      <w:tblGrid>
        <w:gridCol w:w="3965"/>
        <w:gridCol w:w="120"/>
        <w:gridCol w:w="140"/>
        <w:gridCol w:w="680"/>
        <w:gridCol w:w="155"/>
        <w:gridCol w:w="60"/>
        <w:gridCol w:w="140"/>
        <w:gridCol w:w="680"/>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Gaucher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10,859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8,662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Hunter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4,968</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Fabry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9,644</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Cystinosis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4,615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Pompe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830</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research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Unallocated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26,897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43,362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47,700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72,186</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activities are central to AVROBIO’s business model. Product candidates in later stages of clinical development generally have higher development costs than those in earlier stages of clinical development, primarily due to the increased size and duration of later-stage clinical trials. Should AVROBIO resume development of its product candidates, AVROBIO would expect AVROBIO’s research and development expenses will increase substantially over the next several years, particularly as AVROBIO increases personnel costs, including stock-based compensation, contractor costs and facilities costs and advance the development of its product candidates. Should AVROBIO resume development of its product candidates, AVROBIO also expects to incur additional expenses related to milestone and royalty payments payable to third parties with whom AVROBIO has entered into license agreements to acquire the rights to AVROBIO’s product candidates. Please see “</w:t>
      </w:r>
      <w:r>
        <w:rPr>
          <w:rFonts w:ascii="Times New Roman" w:hAnsi="Times New Roman"/>
          <w:i/>
          <w:sz w:val="20"/>
        </w:rPr>
        <w:t>Risk Factors—Risks Related to AVROBIO’s Business, Financial Position and Need for Additional Capital—AVROBIO has incurred net losses since inception. AVROBIO expects to incur net losses for the foreseeable future and may never achieve or maintain profitability</w:t>
      </w:r>
      <w:r>
        <w:rPr>
          <w:rFonts w:ascii="Times New Roman" w:hAnsi="Times New Roman"/>
          <w:sz w:val="20"/>
        </w:rPr>
        <w:t xml:space="preserve">” beginning on page 48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successful development and commercialization of AVROBIO’s product candidates is highly uncertain. At this time, AVROBIO cannot reasonably estimate or know the nature, timing and costs of the efforts that will be necessary to complete the preclinical and clinical development of any of AVROBIO’s product candidates should we resume their development, or when, if ever, material net cash inflows may commence from any of AVROBIO’s product candidates. This uncertainty is due to the numerous risks and uncertainties associated with product development and commercialization, including the uncertainty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outcome and costs of AVROBIO’s preclinical development activities, clinical trials and other research and development activities;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 appropriate safety profile with IND-enabling studies;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patient enrollment in, and the design, initiation and completion of, clinical trials;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of any marketing approvals from applicable regulatory authorities;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commercial manufacturing capabilities or making arrangements with third-party manufacturers;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timely delivery of commercial-grade drug formulations that can be used in AVROBIO’s clinical trials and for commercial launch;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maintaining, defending and enforcing patent claims and other intellectual property rights;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and changing government regulation;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AVROBIO’s product candidates, if and when approved, whether alone or in collaboration with others;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the product candidates following approval; and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risks disclosed in the section entitled “</w:t>
            </w:r>
            <w:r>
              <w:rPr>
                <w:rFonts w:ascii="Times New Roman" w:hAnsi="Times New Roman"/>
                <w:i/>
                <w:sz w:val="20"/>
              </w:rPr>
              <w:t>Risk Factors</w:t>
            </w:r>
            <w:r>
              <w:rPr>
                <w:rFonts w:ascii="Times New Roman" w:hAnsi="Times New Roman"/>
                <w:sz w:val="20"/>
              </w:rPr>
              <w:t xml:space="preserve">” beginning on page 36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may never succeed in achieving regulatory approval for any of AVROBIO’s product candidates. AVROBIO may obtain unexpected results from AVROBIO’s clinical trials. AVROBIO may elect to discontinue, delay or modify clinical trials of some product candidates or focus on others. Any changes in the outcome of any of these variables with respect to the development of AVROBIO’s product candidates in preclinical and clinical development could mean a significant change in the costs and timing associated with the development of these product candidates. For example, if the FDA or another regulatory authority were to delay AVROBIO’s planned start of clinical trials or require AVROBIO to conduct clinical trials or other testing beyond those that AVROBIO currently expects, or if AVROBIO experiences significant delays in enrollment in any of AVROBIO’s planned clinical trials, AVROBIO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AVROBIO may never generate the necessary data or results required to obtain marketing approval and achieve product sales. In addition, AVROBIO’s product candidates, if approved, may not achieve commercial success.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would anticipate that its general and administrative expenses would increase as AVROBIO increases its headcount to support research activities and development of its product candidates. AVROBIO also anticipates that it would incur increased accounting, audit, legal, compliance, director and officer insurance costs as well as investor and public relations expenses associated with being a public company. AVROBIO anticipates the additional costs for these services would substantially increase AVROBIO’s general and administrative expenses. Additionally, if and when AVROBIO believes a regulatory approval of a product candidate appears likely, AVROBIO anticipates an increase in payroll and other commercialization-related expenses as a result of AVROBIO’s preparation for commercial operations, especially as it relates to the sales and marketing of AVROBIO’s product candidates.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240" w:after="0"/>
        <w:jc w:val="left"/>
        <w:rPr>
          <w:rFonts w:ascii="Times New Roman" w:hAnsi="Times New Roman"/>
          <w:sz w:val="20"/>
        </w:rPr>
      </w:pPr>
      <w:r>
        <w:rPr>
          <w:rFonts w:ascii="Times New Roman" w:hAnsi="Times New Roman"/>
          <w:sz w:val="20"/>
        </w:rPr>
        <w:t xml:space="preserve">Other (expense) income, net primarily consists of interest income earned on AVROBIO’s cash and cash equivalents, and changes in foreign currency, and interest expense related to AVROBIO’s Term Loan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401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151" w:name="toc770053_155"/>
      <w:bookmarkEnd w:id="151"/>
      <w:r>
        <w:rPr>
          <w:rFonts w:ascii="Times New Roman" w:hAnsi="Times New Roman"/>
          <w:b/>
          <w:sz w:val="20"/>
        </w:rPr>
        <w:t xml:space="preserve">Consolidated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Years ended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AVROBIO’s consolidated results of operations (in thousands): </w:t>
      </w:r>
    </w:p>
    <w:p>
      <w:pPr>
        <w:pStyle w:val="TextBody"/>
        <w:bidi w:val="0"/>
        <w:spacing w:before="0" w:after="0"/>
        <w:jc w:val="left"/>
        <w:rPr/>
      </w:pPr>
      <w:r>
        <w:rPr/>
        <w:t> </w:t>
      </w:r>
    </w:p>
    <w:tbl>
      <w:tblPr>
        <w:tblW w:w="6395" w:type="dxa"/>
        <w:jc w:val="left"/>
        <w:tblInd w:w="0" w:type="dxa"/>
        <w:tblLayout w:type="fixed"/>
        <w:tblCellMar>
          <w:top w:w="0" w:type="dxa"/>
          <w:left w:w="0" w:type="dxa"/>
          <w:bottom w:w="0" w:type="dxa"/>
          <w:right w:w="0" w:type="dxa"/>
        </w:tblCellMar>
      </w:tblPr>
      <w:tblGrid>
        <w:gridCol w:w="2780"/>
        <w:gridCol w:w="120"/>
        <w:gridCol w:w="140"/>
        <w:gridCol w:w="680"/>
        <w:gridCol w:w="155"/>
        <w:gridCol w:w="120"/>
        <w:gridCol w:w="140"/>
        <w:gridCol w:w="875"/>
        <w:gridCol w:w="155"/>
        <w:gridCol w:w="120"/>
        <w:gridCol w:w="140"/>
        <w:gridCol w:w="800"/>
        <w:gridCol w:w="170"/>
      </w:tblGrid>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47,700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72,186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(24,486</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23,967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33,248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(9,281</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71,667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105,434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(33,767</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83,736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83,736</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impairment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(1,877</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(105,434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115,626</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2,719</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2,798</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(105,890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118,424</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377</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12,157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(105,890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118,047</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decreased by $24.5 million to $47.7 million for the year ended December 31, 2023, from approximately $72.2 million for the year ended December 31, 2022. This decrease was driven by a $12.3 million decrease in personnel-related and consulting costs, including non-cash stock-based compensation, a $7.8 million decrease in manufacturing costs, a $2.5 million decrease in preclinical costs, a $1.5 million decrease in allocated facility expense, and a $0.3 million decrease in development costs, which includes a payment made in connection with the termination of the MPSII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decreased by $9.3 million to $24.0 million for the year ended December 31, 2023, from to $33.2 million for the year ended December 31, 2022. This decrease was driven by a $10.8 million decrease in personnel-related and consulting costs, including non-cash stock-based compensation and a $0.9 million decrease in information technology-related costs which was partially offset by a $2.4 million increase in legal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Gain on Asset Sale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AVROBIO recognized $83.7 million as a gain on asset sale, net of $3.8 million in transaction costs AVROBIO completed the Cystinosis Sale on June 9, 2023. </w:t>
      </w:r>
    </w:p>
    <w:p>
      <w:pPr>
        <w:pStyle w:val="TextBody"/>
        <w:bidi w:val="0"/>
        <w:spacing w:before="360" w:after="0"/>
        <w:jc w:val="left"/>
        <w:rPr>
          <w:rFonts w:ascii="Times New Roman" w:hAnsi="Times New Roman"/>
          <w:i/>
          <w:sz w:val="20"/>
        </w:rPr>
      </w:pPr>
      <w:r>
        <w:rPr>
          <w:rFonts w:ascii="Times New Roman" w:hAnsi="Times New Roman"/>
          <w:i/>
          <w:sz w:val="20"/>
        </w:rPr>
        <w:t>Loss on Impairment</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AVROBIO recognized a $1.9 million loss on impairment. Of this amount, $0.9 million is related to the loss on impairment of property, plant, and equipment as a result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reclassification of these assets to held for sale. In addition, $0.9 million is related to the loss on impairment of the right of use asset for the subleased lab space located in Cambridge, Massachusetts, which is no longer in use.</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was $2.3 million for the year ended December 31, 2023, compared to $(0.5) million of other income (expense), net for the year ended December 31, 2022. The increase in income was driven by a $2.8 million increase in interest income earned on short-term money market funds. Interest expense is relatively consistent period over period. The Term Loan Agreement was terminated in the second quarter of 2023 which resulted in an increase in interest expense from the loss on the extinguishment of debt due to the write-off of the debt discount balance. </w:t>
      </w:r>
    </w:p>
    <w:p>
      <w:pPr>
        <w:pStyle w:val="TextBody"/>
        <w:bidi w:val="0"/>
        <w:spacing w:before="360" w:after="0"/>
        <w:jc w:val="left"/>
        <w:rPr>
          <w:rFonts w:ascii="Times New Roman" w:hAnsi="Times New Roman"/>
          <w:i/>
          <w:sz w:val="20"/>
        </w:rPr>
      </w:pPr>
      <w:r>
        <w:rPr>
          <w:rFonts w:ascii="Times New Roman" w:hAnsi="Times New Roman"/>
          <w:i/>
          <w:sz w:val="20"/>
        </w:rPr>
        <w:t xml:space="preserve">Provision for 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AVROBIO recognized $0.4 million as a provision for income tax expense as a result of income recognized from the Cystinosis Sale. </w:t>
      </w:r>
    </w:p>
    <w:p>
      <w:pPr>
        <w:pStyle w:val="TextBody"/>
        <w:bidi w:val="0"/>
        <w:spacing w:before="360" w:after="0"/>
        <w:jc w:val="left"/>
        <w:rPr>
          <w:rFonts w:ascii="Times New Roman" w:hAnsi="Times New Roman"/>
          <w:b/>
          <w:sz w:val="20"/>
        </w:rPr>
      </w:pPr>
      <w:bookmarkStart w:id="152" w:name="toc770053_156"/>
      <w:bookmarkEnd w:id="152"/>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Since AVROBIO’s inception, AVROBIO has not generated any revenue and have incurred significant operating losses and negative cash flows from AVROBIO’s operations. AVROBIO has funded AVROBIO’s operations to date primarily with proceeds from the sale of preferred stock and AVROBIO’s common stock through AVROBIO’s IPO, and AVROBIO has raised additional capital through subsequent follow-on offerings and AVROBIO’s ATM facility. Through December 31, 2023, AVROBIO had received gross cash proceeds of $87.5 million from sales of AVROBIO’s preferred stock; gross cash proceeds, before deducting underwriting discounts and commissions and expenses, of $428.1 million from sales of AVROBIO’s common stock through AVROBIO’s IPO and follow-on offerings; gross cash proceeds, before deducting commissions and expenses, of $23.5 million from sales of AVROBIO’s common stock in “at-the-market” offerings under AVROBIO’s ATM facility; $15.0 million drawn in term loans under the Term Loan Agreement, which was repaid in full and terminated on June 9, 2023; and gross proceeds, before deducting transaction costs, of $87.5 million from the sale of AVROBIO’s cystinosis gene therapy program. </w:t>
      </w:r>
    </w:p>
    <w:p>
      <w:pPr>
        <w:pStyle w:val="TextBody"/>
        <w:bidi w:val="0"/>
        <w:spacing w:before="240" w:after="0"/>
        <w:jc w:val="left"/>
        <w:rPr>
          <w:rFonts w:ascii="Times New Roman" w:hAnsi="Times New Roman"/>
          <w:sz w:val="20"/>
        </w:rPr>
      </w:pPr>
      <w:r>
        <w:rPr>
          <w:rFonts w:ascii="Times New Roman" w:hAnsi="Times New Roman"/>
          <w:sz w:val="20"/>
        </w:rPr>
        <w:t xml:space="preserve">On July 1, 2019, AVROBIO filed a shelf registration statement on Form S-3 with the SEC (the “July 2019 Shelf”), which covers the offering, issuance and sale by AVROBIO of up to an aggregate of $200.0 million of AVROBIO’s common stock, preferred stock, debt securities, warrants and/or units. AVROBIO simultaneously entered into a Sales Agreement with Cowen and Company, LLC, as sales agent, to provide for the offering, issuance and sale by AVROBIO of up to $50.0 million of AVROBIO’s common stock from time to time in ATM offerings under the July 2019 Shelf. The July 2019 Shelf was declared effective by the SEC on July 10, 2019.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2019, AVROBIO filed a shelf registration statement on Form S-3 with the SEC, or the December 2019 Shelf, which covers the offering, issuance and sale by AVROBIO of up to an aggregate of $250.0 million of AVROBIO’s common stock, preferred stock, debt securities, warrants and/or units. The December 2019 Shelf was declared effective by the SEC on January 14, 2020. </w:t>
      </w:r>
    </w:p>
    <w:p>
      <w:pPr>
        <w:pStyle w:val="TextBody"/>
        <w:bidi w:val="0"/>
        <w:spacing w:before="240" w:after="0"/>
        <w:jc w:val="left"/>
        <w:rPr>
          <w:rFonts w:ascii="Times New Roman" w:hAnsi="Times New Roman"/>
          <w:sz w:val="20"/>
        </w:rPr>
      </w:pPr>
      <w:r>
        <w:rPr>
          <w:rFonts w:ascii="Times New Roman" w:hAnsi="Times New Roman"/>
          <w:sz w:val="20"/>
        </w:rPr>
        <w:t xml:space="preserve">In July 2019, AVROBIO closed an underwritten public offering (the “July 2019 Follow-On Offering”) under the July 2019 Shelf of 7,475,000 shares of AVROBIO’s common stock at a public offering price of $18.50 per share, which included 975,000 shares of AVROBIO’s common stock resulting from the full exercise of the underwriters’ option to purchase additional shares at the public offering price. The net proceeds to AVROBIO from this offering, after deducting underwriting discounts and commissions and other offering expenses payable by AVROBIO, were $129.5 million.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2020, AVROBIO closed an underwritten public offering (the “February 2020 Follow-On Offering”) under the December 2019 Shelf of 4,350,000 shares of AVROBIO’s common stock at a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offering price of $23.00 per share. The net proceeds to AVROBIO from this offering, after deducting underwriting discounts and commissions and other offering expenses payable by AVROBIO, were $93.6 million. </w:t>
      </w:r>
    </w:p>
    <w:p>
      <w:pPr>
        <w:pStyle w:val="TextBody"/>
        <w:bidi w:val="0"/>
        <w:spacing w:before="240" w:after="0"/>
        <w:jc w:val="left"/>
        <w:rPr>
          <w:rFonts w:ascii="Times New Roman" w:hAnsi="Times New Roman"/>
          <w:sz w:val="20"/>
        </w:rPr>
      </w:pPr>
      <w:r>
        <w:rPr>
          <w:rFonts w:ascii="Times New Roman" w:hAnsi="Times New Roman"/>
          <w:sz w:val="20"/>
        </w:rPr>
        <w:t xml:space="preserve">In June 2020, AVROBIO sold an aggregate of 384,140 shares of common stock under the ATM facility for net proceeds, after deducting commissions and other offering expenses payable by AVROBIO, of $8.1 million.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2020, AVROBIO closed an underwritten public offering (the “November 2020 Follow-On Offering”) of 5,000,000 shares of AVROBIO’s common stock at a public offering price of $15.00 per share. The net proceeds to AVROBIO from the November 2020 Follow-On Offering, after deducting underwriting discounts and commissions and other offering expenses payable by AVROBIO, were $70.2 million. </w:t>
      </w:r>
    </w:p>
    <w:p>
      <w:pPr>
        <w:pStyle w:val="TextBody"/>
        <w:bidi w:val="0"/>
        <w:spacing w:before="240" w:after="0"/>
        <w:jc w:val="left"/>
        <w:rPr>
          <w:rFonts w:ascii="Times New Roman" w:hAnsi="Times New Roman"/>
          <w:sz w:val="20"/>
        </w:rPr>
      </w:pPr>
      <w:r>
        <w:rPr>
          <w:rFonts w:ascii="Times New Roman" w:hAnsi="Times New Roman"/>
          <w:sz w:val="20"/>
        </w:rPr>
        <w:t xml:space="preserve">In May 2021, AVROBIO sold an aggregate of 1,829,268 shares of common stock under the ATM facility for net proceeds, after deducting commissions and other offering expenses payable by AVROBIO, of $14.5 million. As of September 30, 2023, approximately $26.5 million of common stock remained available for future issuance under the ATM facility. </w:t>
      </w:r>
    </w:p>
    <w:p>
      <w:pPr>
        <w:pStyle w:val="TextBody"/>
        <w:bidi w:val="0"/>
        <w:spacing w:before="240" w:after="0"/>
        <w:jc w:val="left"/>
        <w:rPr>
          <w:rFonts w:ascii="Times New Roman" w:hAnsi="Times New Roman"/>
          <w:sz w:val="20"/>
        </w:rPr>
      </w:pPr>
      <w:r>
        <w:rPr>
          <w:rFonts w:ascii="Times New Roman" w:hAnsi="Times New Roman"/>
          <w:sz w:val="20"/>
        </w:rPr>
        <w:t xml:space="preserve">On November 2, 2021 (the “Term Loan Agreement Closing Date”), AVROBIO entered into the Term Loan Agreement. The Term Loan Agreement provided for (i) on the Term Loan Agreement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and (iii) an additional discretionary $15.0 million term loan facility available upon AVROBIO’s request and approval by the Agent and the Lenders, (collectively, the “Term Loans”). AVROBIO drew $15.0 million in term loans on the Term Loan Agreement Closing Date. On June 9, 2023, upon the closing of the Cystinosis Sale, all outstanding amounts due and owed, including principal, interest, and other charges, under the Term Loan Agreement, dated as of November 2, 2021, by and among AVROBIO, SVB and the other parties thereto, were repaid in full and the Term Loan Agreement was terminated. Upon repayment, the obligations of AVROBIO under the Term Loan Agreement were satisfied in full, the Term Loan Agreement and all related loan documents were terminated and all liens and security interests granted thereunder were released and terminated (excluding certain indemnification obligations that expressly survive termination of the Term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In July 2022, the July 2019 Shelf expired, and on November 8, 2022, AVROBIO filed a shelf registration statement on Form S-3 with the SEC (the “November 2022 Shelf”), which covered the offering, issuance and sale by AVROBIO of up to an aggregate of $250.0 million of AVROBIO’s common stock, preferred stock, debt securities, warrants and/or units. The December 2019 Shelf expired in December 2022, and the November 2022 Shelf carried forward unsold securities previously covered by the December 2019 Shelf, thus registering an aggregate total of $250.0 million of AVROBIO’s common stock, preferred stock, debt securities, warrants and/or units. In connection with the November 2022 Shelf, AVROBIO simultaneously entered into a new Sales Agreement with Cowen and Company, LLC, as sales agent, to provide for the offering, issuance and sale by AVROBIO of up to $50.0 million of AVROBIO’s common stock from time to time in under the ATM Facility. As of the date hereof, AVROBIO have not made any sales under the ATM Facility. On November 3, 2023, AVROBIO withdrew the November 2022 Shelf. AVROBIO will not make any potential sales under the ATM Facility until a new shelf registration statement on Form S-3 is filed and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AVROBIO had cash and cash equivalents of $98.0 million. Cash in excess of immediate requirements is invested primarily with a view to liquidity and capital preservation. </w:t>
      </w:r>
    </w:p>
    <w:p>
      <w:pPr>
        <w:pStyle w:val="TextBody"/>
        <w:bidi w:val="0"/>
        <w:spacing w:before="240" w:after="0"/>
        <w:jc w:val="left"/>
        <w:rPr>
          <w:rFonts w:ascii="Times New Roman" w:hAnsi="Times New Roman"/>
          <w:sz w:val="20"/>
        </w:rPr>
      </w:pPr>
      <w:r>
        <w:rPr>
          <w:rFonts w:ascii="Times New Roman" w:hAnsi="Times New Roman"/>
          <w:sz w:val="20"/>
        </w:rPr>
        <w:t xml:space="preserve">AVROBIO’s material cash requirements include contractual obligations with third parties. AVROBIO has non-cancelable operating leases for office and laboratory space, which are located in Cambridge, Massachusetts and will expire in April 2024. As of December 31, 2023, AVROBIO expects its future minimum lease payments under this commitment to total approximately $0.9 million in 2024. These minimum lease payments do not include any related common area maintenance charges or real estate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AVROBIO enters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AVROBIO’s service providers, up to the date of cancellation. These payments are not included above as the amount and timing of such payments are not known. </w:t>
      </w:r>
    </w:p>
    <w:p>
      <w:pPr>
        <w:pStyle w:val="TextBody"/>
        <w:bidi w:val="0"/>
        <w:spacing w:before="240" w:after="0"/>
        <w:jc w:val="left"/>
        <w:rPr>
          <w:rFonts w:ascii="Times New Roman" w:hAnsi="Times New Roman"/>
          <w:sz w:val="20"/>
        </w:rPr>
      </w:pPr>
      <w:r>
        <w:rPr>
          <w:rFonts w:ascii="Times New Roman" w:hAnsi="Times New Roman"/>
          <w:sz w:val="20"/>
        </w:rPr>
        <w:t>In addition, pursuant to AVROBIO’s current or former license agreements with UHN, BioMarin, The University of Manchester, Papillon and the Lund University rights holders, AVROBIO is or was required to make certain milestone and royalty payments to AVROBIO’s licensors. See “</w:t>
      </w:r>
      <w:r>
        <w:rPr>
          <w:rFonts w:ascii="Times New Roman" w:hAnsi="Times New Roman"/>
          <w:i/>
          <w:sz w:val="20"/>
        </w:rPr>
        <w:t>Business-License Agreements</w:t>
      </w:r>
      <w:r>
        <w:rPr>
          <w:rFonts w:ascii="Times New Roman" w:hAnsi="Times New Roman"/>
          <w:sz w:val="20"/>
        </w:rPr>
        <w:t xml:space="preserve">” for additional details regarding AVROBIO’s payment obligations to these licensors.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AVROBIO’s cash flows for each of the periods presented (in thousands): </w:t>
      </w:r>
    </w:p>
    <w:p>
      <w:pPr>
        <w:pStyle w:val="TextBody"/>
        <w:bidi w:val="0"/>
        <w:spacing w:before="0" w:after="0"/>
        <w:jc w:val="left"/>
        <w:rPr/>
      </w:pPr>
      <w:r>
        <w:rPr/>
        <w:t> </w:t>
      </w:r>
    </w:p>
    <w:tbl>
      <w:tblPr>
        <w:tblW w:w="8540" w:type="dxa"/>
        <w:jc w:val="left"/>
        <w:tblInd w:w="0" w:type="dxa"/>
        <w:tblLayout w:type="fixed"/>
        <w:tblCellMar>
          <w:top w:w="0" w:type="dxa"/>
          <w:left w:w="0" w:type="dxa"/>
          <w:bottom w:w="0" w:type="dxa"/>
          <w:right w:w="0" w:type="dxa"/>
        </w:tblCellMar>
      </w:tblPr>
      <w:tblGrid>
        <w:gridCol w:w="6185"/>
        <w:gridCol w:w="120"/>
        <w:gridCol w:w="140"/>
        <w:gridCol w:w="755"/>
        <w:gridCol w:w="155"/>
        <w:gridCol w:w="120"/>
        <w:gridCol w:w="140"/>
        <w:gridCol w:w="755"/>
        <w:gridCol w:w="170"/>
      </w:tblGrid>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70"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(63,190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(97,208</w:t>
            </w:r>
          </w:p>
        </w:tc>
        <w:tc>
          <w:tcPr>
            <w:tcW w:w="170" w:type="dxa"/>
            <w:tcBorders/>
            <w:shd w:fill="CCEEFF" w:val="clear"/>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85,076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(267</w:t>
            </w:r>
          </w:p>
        </w:tc>
        <w:tc>
          <w:tcPr>
            <w:tcW w:w="170" w:type="dxa"/>
            <w:tcBorders/>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(16,029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262</w:t>
            </w:r>
          </w:p>
        </w:tc>
        <w:tc>
          <w:tcPr>
            <w:tcW w:w="170" w:type="dxa"/>
            <w:tcBorders/>
            <w:shd w:fill="CCEEFF" w:val="clear"/>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increase in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5,857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(97,213</w:t>
            </w:r>
          </w:p>
        </w:tc>
        <w:tc>
          <w:tcPr>
            <w:tcW w:w="170"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operating activities used $63.2 million of cash and cash equivalents, resulting from AVROBIO’s net income of $12.2 million, including gain on asset sale of $83.7 million, which was offset by the gain on asset sale that is classified as investing activities, net non-cash charges of $12.7 million and changes in AVROBIO’s operating assets and liabilities of $4.3 million. Net cash used by changes in AVROBIO’s operating assets and liabilities for the year ended December 31, 2023 was primarily due to a $6.7 million decrease in accrued expenses and other current liabilities and a $2.5 million decrease in current and non-current operating lease liabilities, partially offset by a $5.2 million decrease in prepaids and other current assets. The non-cash charges included $6.9 million of stock-based compensation expense, $1.9 million in non-cash asset impairment charges, $1.1 million in non-cash interest expense, $1.9 million in non-cash lease expense, and $0.6 million in depreciation and amortization expense.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operating activities used $97.2 million of cash and cash equivalents, resulting from AVROBIO’s net loss of $(105.9) million and cash used by changes in AVROBIO’s operating assets and liabilities of $7.4 million which was offset by non-cash charges of $16.1 million. Net cash used by changes in AVROBIO’s operating assets and liabilities for the year ended December 31, 2022 consists primarily of a $2.5 million decrease in prepaid expenses and other current assets, a $3.9 million decrease in accrued expenses and other currently liabilities, a $3.1 million decrease in accounts payable, and a $2.9 million decrease in current and non-current operating lease liabilities. The increase in accrued expenses and other current liabilities was primarily due to an increase in accrued compensation and benefit costs.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(used in) investing activities was $85.1 million for the year ended December 31, 2023 compared to $(0.3) million for the year ended December 31, 2022. The increase in cash provided by investing activities is related to the net proceeds received for the sale of the cystinosis program in the second quarter of 2023 for proceeds net of transaction costs of $83.7 million, and $1.4 million in proceeds from the sale of property, plant, and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405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by financing activities was $16.0 million for the year ended December 31, 2023 compared to net cash provided by financing activities of $0.3 million for the year ended December 31, 2022. The change is related to the repayment of the Term Loan Agreement in the second quarter of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would expect its expenses to increase substantially in connection with such activities, particularlywith respect to the preclinical activities and clinical trials of AVROBIO’s product candidates. AVROBIO’s expenses would also increase should AVROBIO: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its development of its product candidates, including enrollment and dosing of patients in clinical trials;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initiates clinical trials and preclinical studies for AVROBIO’s product candidates;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and develop or in-license or acquire additional product candidates and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industrialize AVROBIO’s HSC gene therapy approach into a robust, scalable and, if approved, commercially viable process;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marketing approvals for AVROBIO’s product candidates that successfully complete clinical trials,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 candidates for which AVROBIO may obtain marketing approval;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and retains additional personnel, such as clinical, quality control, and scientific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expands AVROBIO’s infrastructure, office space and facilities to accommodate AVROBIO’s employee base, including adding equipment and physical infrastructure to support AVROBIO’s research and development; and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to incur additional public company-related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Until such time, if ever, that AVROBIO can generate product revenue sufficient to achieve profitability, AVROBIO expects to finance AVROBIO’s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AVROBIO’s ability to take specific actions, such as incurring additional debt, making capital expenditures or declaring dividends. If AVROBIO raises additional funds through government and other third-party funding, collaboration agreements, strategic alliances, licensing arrangements or marketing and distribution arrangements, AVROBIO may have to relinquish valuable rights to AVROBIO’s technologies, future revenue streams, research programs or product candidates or grant licenses on terms that may not be favorable to AVROBIO. If AVROBIO is unable to raise additional funds through equity or debt financings when needed, AVROBIO may be required to delay, limit, reduce or terminate AVROBIO’s product development or future commercialization efforts or grant rights to develop and market products or product candidates that AVROBIO would otherwise prefer to develop and market itself. </w:t>
      </w:r>
    </w:p>
    <w:p>
      <w:pPr>
        <w:pStyle w:val="TextBody"/>
        <w:bidi w:val="0"/>
        <w:spacing w:before="360" w:after="0"/>
        <w:jc w:val="left"/>
        <w:rPr>
          <w:rFonts w:ascii="Times New Roman" w:hAnsi="Times New Roman"/>
          <w:b/>
          <w:sz w:val="20"/>
        </w:rPr>
      </w:pPr>
      <w:bookmarkStart w:id="153" w:name="toc770053_158"/>
      <w:bookmarkEnd w:id="153"/>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AVROBIO’s consolidated financial statements are prepared in accordance with GAAP principles in the United States. The preparation of AVROBIO’s consolidated financial statements and related disclosures requires AVROBIO to make estimates and judgments that affect the reported amounts of assets, liabilities, revenue, costs and expenses, and the disclosure of contingent assets and liabilities in AVROBIO’s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AVROBIO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AVROBIO evaluates its estimates and assumptions on an ongoing basis. AVROBIO’s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While AVROBIO’s significant accounting policies are described in more detail in Note 2 “</w:t>
      </w:r>
      <w:r>
        <w:rPr>
          <w:rFonts w:ascii="Times New Roman" w:hAnsi="Times New Roman"/>
          <w:i/>
          <w:sz w:val="20"/>
        </w:rPr>
        <w:t>Summary of Significant Accounting Policies”</w:t>
      </w:r>
      <w:r>
        <w:rPr>
          <w:rFonts w:ascii="Times New Roman" w:hAnsi="Times New Roman"/>
          <w:sz w:val="20"/>
        </w:rPr>
        <w:t xml:space="preserve"> to AVROBIO’s consolidated financial statements appearing in its Annual Report on Form 10-K for the fiscal year ended December 31, 2023, filed with the SEC on March 14, 2024, AVROBIO believes that the following accounting policies are those most critical to the judgments and estimates used in the preparation of AVROBIO’s consolidated financial statements.</w:t>
      </w:r>
    </w:p>
    <w:p>
      <w:pPr>
        <w:pStyle w:val="TextBody"/>
        <w:bidi w:val="0"/>
        <w:spacing w:before="360" w:after="0"/>
        <w:jc w:val="left"/>
        <w:rPr>
          <w:rFonts w:ascii="Times New Roman" w:hAnsi="Times New Roman"/>
          <w:b/>
          <w:i/>
          <w:sz w:val="20"/>
        </w:rPr>
      </w:pPr>
      <w:r>
        <w:rPr>
          <w:rFonts w:ascii="Times New Roman" w:hAnsi="Times New Roman"/>
          <w:b/>
          <w:i/>
          <w:sz w:val="20"/>
        </w:rPr>
        <w:t>Accrued 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As part of the process of preparing AVROBIO’s consolidated financial statements, AVROBIO is required to estimate its accrued research and development expenses. This process involves reviewing open contracts and purchase orders, communicating with AVROBIO’s personnel to identify services that have been performed on AVROBIO’s behalf and estimating the level of service performed and the associated cost incurred for the service when AVROBIO has not yet been invoiced or otherwise notified of actual costs. The majority of AVROBIO’s service providers invoice AVROBIO in arrears for services performed, on a pre-determined schedule or when contractual milestones are met; however, some require advanced payments. AVROBIO makes estimates of its accrued expenses as of each balance sheet date in the consolidated financial statements based on facts and circumstances known to AVROBIO at that time. AVROBIO periodically confirms the accuracy of these estimates with the service providers and make adjustments if necessary. Examples of estimated accrued research and development expenses include fees paid to:</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vendors, including central laboratories, in connection with preclinical development activities;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CROs and investigative sites in connection with preclinical and clinical studies; and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CMOs in connection with drug substance and drug product formulation of preclinical and clinical trial materials. </w:t>
            </w:r>
          </w:p>
        </w:tc>
      </w:tr>
    </w:tbl>
    <w:p>
      <w:pPr>
        <w:pStyle w:val="TextBody"/>
        <w:bidi w:val="0"/>
        <w:spacing w:before="240" w:after="0"/>
        <w:jc w:val="left"/>
        <w:rPr>
          <w:rFonts w:ascii="Times New Roman" w:hAnsi="Times New Roman"/>
          <w:sz w:val="20"/>
        </w:rPr>
      </w:pPr>
      <w:r>
        <w:rPr>
          <w:rFonts w:ascii="Times New Roman" w:hAnsi="Times New Roman"/>
          <w:sz w:val="20"/>
        </w:rPr>
        <w:t>AVROBIO bases its expenses related to preclinical studies and clinical trials on AVROBIO’s estimates of the services received and efforts expended pursuant to quotes and contracts with multiple research institutions and CROs that conduct and manage preclinical studies and clinical trials on AVROBIO’s behalf. The financial terms of these agreements are subject to negotiation, vary from contract to contract and may result in uneven payment flows. There may be instances in which payments made to AVROBIO’s vendors will exceed the level of services provided and result in a prepayment of the expense. Payments under some of these contracts depend on factors such as the successful enrollment of patients and the completion of clinical trial milestones. In accruing service fees, AVROBIO estimates the time period over which services will be performed and the level of effort to be expended in each period. If the actual timing of the performance of services or the level of effort varies from the estimate, AVROBIO adjusts the accrual or the amount of prepaid expenses accordingly. Although AVROBIO does not expect its estimates to be materially different from amounts actually incurred, AVROBIO’s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AVROBIO’s prior estimates of accrued research and development expenses.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Stock-Based Compensation</w:t>
      </w:r>
    </w:p>
    <w:p>
      <w:pPr>
        <w:pStyle w:val="TextBody"/>
        <w:bidi w:val="0"/>
        <w:spacing w:before="120" w:after="0"/>
        <w:jc w:val="left"/>
        <w:rPr>
          <w:rFonts w:ascii="Times New Roman" w:hAnsi="Times New Roman"/>
          <w:sz w:val="20"/>
        </w:rPr>
      </w:pPr>
      <w:r>
        <w:rPr>
          <w:rFonts w:ascii="Times New Roman" w:hAnsi="Times New Roman"/>
          <w:sz w:val="20"/>
        </w:rPr>
        <w:t>AVROBIO measures stock options and other stock-based awards granted to employees and members of the AVROBIO Board for their services as directors based on the fair value on the date of the grant and recognize the corresponding compensation expense of those awards over the requisite service period, which is generally the vesting period of the respective award. AVROBIO has issued stock options, restricted stock and RSUs with service-based vesting conditions.</w:t>
      </w:r>
    </w:p>
    <w:p>
      <w:pPr>
        <w:pStyle w:val="TextBody"/>
        <w:bidi w:val="0"/>
        <w:spacing w:before="240" w:after="0"/>
        <w:jc w:val="left"/>
        <w:rPr>
          <w:rFonts w:ascii="Times New Roman" w:hAnsi="Times New Roman"/>
          <w:sz w:val="20"/>
        </w:rPr>
      </w:pPr>
      <w:r>
        <w:rPr>
          <w:rFonts w:ascii="Times New Roman" w:hAnsi="Times New Roman"/>
          <w:sz w:val="20"/>
        </w:rPr>
        <w:t xml:space="preserve">Modifications to stock-based awards are treated as an exchange of the original award for a new award with total compensation equal to the grant-date fair value of the original award plus any incremental value of the modification. The incremental value is based on the excess of the fair value of the modified award over the fair value of the original award immediately before the modification.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adoption of Accounting Standards Update (ASU) No. 2018-07, </w:t>
      </w:r>
      <w:r>
        <w:rPr>
          <w:rFonts w:ascii="Times New Roman" w:hAnsi="Times New Roman"/>
          <w:i/>
          <w:sz w:val="20"/>
        </w:rPr>
        <w:t>Compensation—Stock Compensation (Topic 718): Improvements to Nonemployee Share-Based Payment Accounting (ASU 2018-07)</w:t>
      </w:r>
      <w:r>
        <w:rPr>
          <w:rFonts w:ascii="Times New Roman" w:hAnsi="Times New Roman"/>
          <w:sz w:val="20"/>
        </w:rPr>
        <w:t>, as discussed in Note 2 “</w:t>
      </w:r>
      <w:r>
        <w:rPr>
          <w:rFonts w:ascii="Times New Roman" w:hAnsi="Times New Roman"/>
          <w:i/>
          <w:sz w:val="20"/>
        </w:rPr>
        <w:t>Summary of Significant Accounting Policies”</w:t>
      </w:r>
      <w:r>
        <w:rPr>
          <w:rFonts w:ascii="Times New Roman" w:hAnsi="Times New Roman"/>
          <w:sz w:val="20"/>
        </w:rPr>
        <w:t xml:space="preserve"> to AVROBIO’s consolidated financial statements appearing in AVROBIO’s Annual Report on Form 10-K for the fiscal year ended December 31, 2023, filed with the SEC on March 14, 2024, the measurement date for non-employee awards was generally the date the services were completed, resulting in financial reporting period adjustments to stock-based compensation during the vesting terms for changes in the fair value of the awards. After the adoption of ASU 2018-07, the measurement date for non-employee awards is the later of the adoption date of ASU 2018-07, or the date of grant, without change in the fair value of the award.</w:t>
      </w:r>
    </w:p>
    <w:p>
      <w:pPr>
        <w:pStyle w:val="TextBody"/>
        <w:bidi w:val="0"/>
        <w:spacing w:before="240" w:after="0"/>
        <w:jc w:val="left"/>
        <w:rPr>
          <w:rFonts w:ascii="Times New Roman" w:hAnsi="Times New Roman"/>
          <w:sz w:val="20"/>
        </w:rPr>
      </w:pPr>
      <w:r>
        <w:rPr>
          <w:rFonts w:ascii="Times New Roman" w:hAnsi="Times New Roman"/>
          <w:sz w:val="20"/>
        </w:rPr>
        <w:t>AVROBIO estimates the fair value of each stock option grant using the Black-Scholes option-pricing model, which uses as inputs the estimated fair value of AVROBIO common stock and assumptions AVROBIO makes for the volatility of AVROBIO common stock, the expected term of AVROBIO stock options, the risk-free interest rate for a period that approximates the expected term of AVROBIO stock options and AVROBIO expected dividend yield.</w:t>
      </w:r>
    </w:p>
    <w:p>
      <w:pPr>
        <w:pStyle w:val="TextBody"/>
        <w:bidi w:val="0"/>
        <w:spacing w:before="240" w:after="0"/>
        <w:jc w:val="left"/>
        <w:rPr>
          <w:rFonts w:ascii="Times New Roman" w:hAnsi="Times New Roman"/>
          <w:sz w:val="20"/>
        </w:rPr>
      </w:pPr>
      <w:r>
        <w:rPr>
          <w:rFonts w:ascii="Times New Roman" w:hAnsi="Times New Roman"/>
          <w:sz w:val="20"/>
        </w:rPr>
        <w:t>AVROBIO determined the assumptions for the Black-Scholes option-pricing model as discussed below. Each of these inputs is subjective and generally requires significant judgment to determine.</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Determination of the Fair Value of Common Stock.</w:t>
            </w:r>
            <w:r>
              <w:rPr>
                <w:rFonts w:ascii="Times New Roman" w:hAnsi="Times New Roman"/>
                <w:sz w:val="20"/>
              </w:rPr>
              <w:t xml:space="preserve"> The fair value of AVROBIO common stock is determined based on the quoted market price of AVROBIO common stock. Prior to AVROBIO’s IPO, there was no public market for AVROBIO common stock, and consequently, the estimated fair value of AVROBIO common stock was determined by the AVROBIO Board as of the date of each option grant, with input from management, considering third-party valuations of AVROBIO common stock as well as the AVROBIO Board’s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Following the closing of AVROBIO’s IPO, it was no longer necessary for the AVROBIO Board to estimate the fair market value of AVROBIO common stock in connection with AVROBIO’s accounting for granted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 The expected term represents the period that the stock-based awards are expected to be outstanding. The expected term of stock options granted has been determined using the simplified method, which uses the midpoint between the vesting date and the contractual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 The risk-free interest rate is based on the U.S. Treasury yield curve in effect at the date of grant for zero-coupon U.S. Treasury constant maturity notes with terms approximately equal to the stock-based award’s expected term.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 Because AVROBIO does not have long-term trading history of AVROBIO’s common stock, the expected volatility was derived from the average historical stock volatilities of several public companies within AVROBIO’s industry that AVROBIO considers to be comparable to AVROBIO’s business over a period equivalent to the expected term of the stock-based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Dividend Rate.</w:t>
            </w:r>
            <w:r>
              <w:rPr>
                <w:rFonts w:ascii="Times New Roman" w:hAnsi="Times New Roman"/>
                <w:sz w:val="20"/>
              </w:rPr>
              <w:t xml:space="preserve"> The expected dividend is zero as AVROBIO has not paid and does not anticipate paying any dividends in the foreseeable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 assumptions used in the Black-Scholes model change significantly, stock-based compensation for future awards may differ materially compared with the awards granted previously.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have, during the periods presented, and we do not currently have, any off-balance sheet arrangements, as defined in the rules and regulations of the SEC. </w:t>
      </w:r>
    </w:p>
    <w:p>
      <w:pPr>
        <w:pStyle w:val="TextBody"/>
        <w:bidi w:val="0"/>
        <w:spacing w:before="360" w:after="0"/>
        <w:jc w:val="left"/>
        <w:rPr>
          <w:rFonts w:ascii="Times New Roman" w:hAnsi="Times New Roman"/>
          <w:b/>
          <w:sz w:val="20"/>
        </w:rPr>
      </w:pPr>
      <w:bookmarkStart w:id="154" w:name="toc770053_159"/>
      <w:bookmarkEnd w:id="154"/>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AVROBIO’s financial position and results of operations is disclosed in AVROBIO’s consolidated financial statements beginning on page F-1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5" w:name="toc770053_160"/>
      <w:bookmarkEnd w:id="155"/>
      <w:r>
        <w:rPr>
          <w:rFonts w:ascii="Times New Roman" w:hAnsi="Times New Roman"/>
          <w:b/>
          <w:sz w:val="20"/>
        </w:rPr>
        <w:t xml:space="preserve">TECTONIC 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Tectonic’s financial condition and results of operations together with the sectioned titled “Tectonic’s Business” and Tectonic’s financial statements and the related notes appearing elsewhere in this proxy statement/prospectus. Some of the information contained in this discussion and analysis or set forth elsewhere in this proxy statement/prospectus, including information with respect to Tectonic’s plans and strategy for its business and related financing, includes forward-looking statements that involve risks, uncertainties, and assumptions. As a result of many factors, including those factors set forth in the section titled “Risk Factors—Risks Related to Tectonic,” Tectonic’s actual results could differ materially from the results described in or implied by these forward-looking statements. You should carefully read the section titled “Risk Factors—Risks Related to Tectonic” to gain an understanding of the factors that could cause actual results to differ materially from Tectonic’s forward-looking statements. Please also see the section titled “Cautionary Note Regarding Forward-Looking Statements.” </w:t>
      </w:r>
    </w:p>
    <w:p>
      <w:pPr>
        <w:pStyle w:val="TextBody"/>
        <w:bidi w:val="0"/>
        <w:spacing w:before="360" w:after="0"/>
        <w:jc w:val="left"/>
        <w:rPr>
          <w:rFonts w:ascii="Times New Roman" w:hAnsi="Times New Roman"/>
          <w:b/>
          <w:sz w:val="20"/>
        </w:rPr>
      </w:pPr>
      <w:bookmarkStart w:id="156" w:name="toc770053_161"/>
      <w:bookmarkEnd w:id="156"/>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 </w:t>
      </w:r>
    </w:p>
    <w:p>
      <w:pPr>
        <w:pStyle w:val="TextBody"/>
        <w:bidi w:val="0"/>
        <w:spacing w:before="240" w:after="0"/>
        <w:jc w:val="left"/>
        <w:rPr>
          <w:rFonts w:ascii="Times New Roman" w:hAnsi="Times New Roman"/>
          <w:sz w:val="20"/>
        </w:rPr>
      </w:pPr>
      <w:r>
        <w:rPr>
          <w:rFonts w:ascii="Times New Roman" w:hAnsi="Times New Roman"/>
          <w:sz w:val="2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Tectonic uses its proprietary GEODe™ technology platform in an attempt to overcome the known challenges of GPCR-targeted drug discovery. </w:t>
      </w:r>
    </w:p>
    <w:p>
      <w:pPr>
        <w:pStyle w:val="TextBody"/>
        <w:bidi w:val="0"/>
        <w:spacing w:before="240" w:after="0"/>
        <w:jc w:val="left"/>
        <w:rPr>
          <w:rFonts w:ascii="Times New Roman" w:hAnsi="Times New Roman"/>
          <w:sz w:val="20"/>
        </w:rPr>
      </w:pPr>
      <w:r>
        <w:rPr>
          <w:rFonts w:ascii="Times New Roman" w:hAnsi="Times New Roman"/>
          <w:sz w:val="20"/>
        </w:rPr>
        <w:t xml:space="preserve">Tectonic’s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 therapeutic potential in the treatment of cardiovascular disease. Unfortunately, the development of a viable therapeutic has been challenging, primarily because of relaxin’s very short half-life. Tectonic believes TX45’s pharmacological profile, the direct result of applying Tectonic’s protein engineering capabilities, has the potential to, can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/HFpEF hereafter, as the initial disease setting. Tectonic hypothesizes that in this setting, treatment with relaxin could improve hemodynamics through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that the platform may never result in the regulatory approval of a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Since Tectonic’s inception in 2019, Tectonic’s operations have focused on organizing and staffing the company, business planning, raising capital, establishing Tectonic’s intellectual property portfolio and conducting preclinical studies and clinical trials. Tectonic does not have any product candidates approved for sale and has not generated any revenue from product sales. Tectonic has funded its operations primarily with proceeds from sales of Series A-1, A-2, A-3, and A-4 convertible preferred stock (collectively, the “Preferred Stock”), proceeds from issuance of convertible promissory notes, which were all converted to convertible preferred stock in March 2021 and proceeds from issuance of SAFEs in October and December 2023. From inception through December 31, 2023, Tectonic has received $114.7 million in capital contributions from sales of Preferred Stock, issuance of convertible promissory notes, and proceeds from issuance of SAFEs. As of December 31, 2023, Tectonic had $28.8 million in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Tectonic has incurred significant operating losses. Tectonic’s net losses were $42.8 million and $32.2 million for the years ended December 31, 2023 and 2022, respectively. As of December 31, 2023, Tectonic had an accumulated deficit of $90.6 million. Tectonic expects to continue to incur significant expenses and operating losses for the foreseeable future. Tectonic anticipates that its expenses will increase significantly in connection with its ongoing activities, as Tectonic: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Tectonic’s ongoing and planned research and development of Tectonic’s lead product candidate TX45 and Tectonic’s other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initiates preclinical studies and clinical trials for any additional product candidates that Tectonic may pursue in the future;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discover and develop additional product candidates and further expand Tectonic’s clinical product pipeline;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regulatory approvals for any product candidates that successfully complete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to scale up internal and external manufacturing capacity with the aim of securing sufficient quantities to meet Tectonic’s capacity requirements for clinical trials and eventual potential commercialization;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sales, marketing and distribution infrastructure to commercialize any product candidate for which Tectonic may obtain regulatory approval;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develops, maintains, expands and protects Tectonic’s intellectual property portfolio;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other product candidates and technologies;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clinical, quality control and manufacturing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adds clinical, operational, financial and management information systems and personnel, including personnel to support Tectonic’s product development and planned future commercialization efforts;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incurs additional legal, accounting, investor relations and other expenses associated with operating as a public company following the completion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Tectonic will not generate revenue from product sales unless and until Tectonic successfully completes clinical development and obtains regulatory approval for one or more of Tectonic’s product candidates. If Tectonic obtains regulatory approval for any of Tectonic’s product candidates and does not enter into a commercialization partnership, Tectonic expects to incur significant expenses related to developing Tectonic’s internal commercialization capability to support product sales, marketing and distribution. Further, following the completion of the merger, the combined company will continue to incur additional costs associated with operating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As a result, Tectonic will need substantial additional funding to support Tectonic’s continuing operations and pursue Tectonic’s growth strategy. Until such time as Tectonic can generate significant revenue from product sales, if ever, Tectonic expects to finance its operations through a combination of public or private equity offerings, debt financings or other capital sources, which may include collaborations with other companies, marketing, distribution or licensing arrangements with third parties, or other strategic transactions. Tectonic may be unable to raise additional funds or enter into such other agreements or arrangements when needed on favorable terms, or at all. If Tectonic fails to raise capital or enter into such agreements as and when needed, Tectonic may have to significantly delay, reduce or eliminate its product discovery and development programs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pharmaceutical product development, Tectonic is unable to accurately predict the timing or amount of increased expenses or when or if Tectonic will be able to achieve or maintain profitability. Even if Tectonic is able to generate product sales, Tectonic may not become profitable. If Tectonic fails to become profitable or is unable to sustain profitability on a continuing basis, then Tectonic may be unable to continue its operations at planned levels and be forced to reduce or terminate Tectonic’s operations. </w:t>
      </w:r>
    </w:p>
    <w:p>
      <w:pPr>
        <w:pStyle w:val="TextBody"/>
        <w:bidi w:val="0"/>
        <w:spacing w:before="240" w:after="0"/>
        <w:jc w:val="left"/>
        <w:rPr>
          <w:rFonts w:ascii="Times New Roman" w:hAnsi="Times New Roman"/>
          <w:sz w:val="20"/>
        </w:rPr>
      </w:pPr>
      <w:r>
        <w:rPr>
          <w:rFonts w:ascii="Times New Roman" w:hAnsi="Times New Roman"/>
          <w:sz w:val="20"/>
        </w:rPr>
        <w:t>Tectonic expects that its existing cash and cash equivalents upon completion of the merger and Tectonic’s private financings will enable it to fund its operating expenses and capital expenditure requirements into mid-2027. Tectonic has based this estimate on assumptions that may prove to be wrong, and Tectonic could exhaust its available capital resources sooner than Tectonic expects. See “—</w:t>
      </w:r>
      <w:r>
        <w:rPr>
          <w:rFonts w:ascii="Times New Roman" w:hAnsi="Times New Roman"/>
          <w:i/>
          <w:sz w:val="20"/>
        </w:rPr>
        <w:t>Liquidity and Capital Resources</w:t>
      </w:r>
      <w:r>
        <w:rPr>
          <w:rFonts w:ascii="Times New Roman" w:hAnsi="Times New Roman"/>
          <w:sz w:val="20"/>
        </w:rPr>
        <w:t>” and “</w:t>
      </w:r>
      <w:r>
        <w:rPr>
          <w:rFonts w:ascii="Times New Roman" w:hAnsi="Times New Roman"/>
          <w:i/>
          <w:sz w:val="20"/>
        </w:rPr>
        <w:t>Risk Factors—Risks Related to Tectonic’s Financial Position and Need for Additional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Tectonic does not complete the merger, it plans to seek additional funding through private equity financings, debt financings or other capital sources, including collaboration agreements, strategic alliances and licensing arrangements. Tectonic may not be able to obtain financing on acceptable terms, or at all. As of December 31, 2023, Tectonic expects that its existing cash and cash equivalents will not be sufficient to fund Tectonic’s current and planned operations for at least the next twelve months following the issuance date of its consolidated financial statements. Tectonic will need to raise additional capital to finance Tectonic’s operations, which cannot be assured. Tectonic concluded as of March 25, 2024, the issuance date of Tectonic’s consolidated financial statements for the year ended December 31, 2023, that this circumstance raises substantial doubt about Tectonic’s ability to continue as a going concern within twelve months of the issuance date of those financial statements. See Note 1 to Tectonic’s annual consolidated financial statements appearing at the end of this proxy statement/prospectus for additional information on Tectonic’s assessment. </w:t>
      </w:r>
    </w:p>
    <w:p>
      <w:pPr>
        <w:pStyle w:val="TextBody"/>
        <w:bidi w:val="0"/>
        <w:spacing w:before="240" w:after="0"/>
        <w:jc w:val="left"/>
        <w:rPr>
          <w:rFonts w:ascii="Times New Roman" w:hAnsi="Times New Roman"/>
          <w:sz w:val="20"/>
        </w:rPr>
      </w:pPr>
      <w:r>
        <w:rPr>
          <w:rFonts w:ascii="Times New Roman" w:hAnsi="Times New Roman"/>
          <w:sz w:val="20"/>
        </w:rPr>
        <w:t xml:space="preserve">Similarly, in its report on Tectonic’s consolidated financial statements for the year ended December 31, 2023, Tectonic’s independent auditor includes an explanatory paragraph stating that Tectonic’s recurring losses from operations since inception, expectation of generating operating losses in the foreseeable future and need for additional capital to finance Tectonic’s future operations raise substantial doubt about Tectonic’s ability to continue as a going concern.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412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157" w:name="toc770053_162"/>
      <w:bookmarkEnd w:id="157"/>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Tectonic entered into the Merger Agreement with AVROBIO and Merger Sub. Pursuant to the Merger Agreement, and subject to the satisfaction or waiver of the conditions described in the Merger Agreement, Merger Sub will merge with and into Tectonic, with Tectonic surviving as a wholly owned subsidiary of AVROBIO. The Merger Agreement and the transactions contemplated therein were approved by the members of the AVROBIO Board and Tectonic Board.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at the effective time, (a) each outstanding share of Tectonic common stock (including shares of Tectonic common stock issued upon conversion of Tectonic preferred stock and the private financing shares) will be converted into the right to receive a number of shares of AVROBIO common stock equal to the exchange ratio; and (b) each then outstanding Tectonic stock option that is outstanding and unexercised immediately prior to the effective time will be assumed by AVROBIO, subject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execution of the Merger Agreement, certain investors of Tectonic have entered into a Subscription Agreement with Tectonic, pursuant to which such investors have agreed to purchase Tectonic common stock at a price of $12.39908 per share, and will consummate purchases of Tectonic common stock pursuant to the terms of the Subscription Agreement, for an aggregate purchase price of approximately $96.6 million. The Subscription Agreement is expected to be consummated immediately prior to the closing of the merger. The Subscription Agreement is conditioned upon the satisfaction or waiver of all conditions to the closing of the merger as set forth in the Merger Agreement as well as certain other conditions. The closing of the merger is conditioned upon the satisfaction or waiver of the receipt of cash proceeds not less than $114.5 million in connection with the consummation of the transactions contemplated by the private financings. The shares of Tectonic common stock that are issued pursuant to the Subscription Agreement will be converted into shares of AVROBIO common stock upon the closing of the merger. </w:t>
      </w:r>
    </w:p>
    <w:p>
      <w:pPr>
        <w:pStyle w:val="TextBody"/>
        <w:bidi w:val="0"/>
        <w:spacing w:before="360" w:after="0"/>
        <w:jc w:val="left"/>
        <w:rPr>
          <w:rFonts w:ascii="Times New Roman" w:hAnsi="Times New Roman"/>
          <w:b/>
          <w:sz w:val="20"/>
        </w:rPr>
      </w:pPr>
      <w:bookmarkStart w:id="158" w:name="toc770053_163"/>
      <w:bookmarkEnd w:id="158"/>
      <w:r>
        <w:rPr>
          <w:rFonts w:ascii="Times New Roman" w:hAnsi="Times New Roman"/>
          <w:b/>
          <w:sz w:val="20"/>
        </w:rPr>
        <w:t xml:space="preserve">Macroeconomic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global economy presents significant risks to Tectonic’s business. Tectonic is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Tectonic is closely monitoring the impact of the current macroeconomic conditions on all aspects of its business, including the impacts on Tectonic’s participants in its clinical trials, employees, suppliers, vendors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collaboration partners, the ultimate extent of the impact on Tectonic’s business remains highly uncertain and will depend on future developments and factors that continue to evolve. Most of these developments and factors are outside Tectonic’s control and could exist for an extended period of time. Tectonic will continue to evaluate the nature and extent of the potential impacts to Tectonic’s business, results of operations, liquidity and capital resources.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Tectonic has not generated any revenue since its inception and does not expect to generate any revenue from the sale of products in the foreseeable future, if at all. If Tectonic’s development efforts for its product candidates are successful and result in regulatory approval, or in collaboration or license agreements with third parties, Tectonic may generate revenue in the future from product sales or payments from collaboration or license agreements that Tectonic may enter into with third parties, or any combination thereof. Tectonic cannot predict if, when or to what extent Tectonic will generate revenue from the commercialization and sale of Tectonic’s product candidates. Tectonic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of costs incurred for Tectonic’s research activities, including Tectonic’s discovery efforts and the development of its programs and platform. These expenses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related benefits and share-based compensation expense, for employees engaged in research and development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research and the preclinical and clinical development of Tectonic’s programs and Tectonic’s product candidates, including under agreements with third parties;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10"/>
        <w:gridCol w:w="60"/>
        <w:gridCol w:w="5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consumables and other research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related to research and development activities, which include direct or allocated expenses for rent and maintenance of facilities, and utilities;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payments made under third-party licensing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 expenses all research and development costs in the periods in which they are incurred. Costs for certain development activities are recognized based on Tectonic’s evaluation of the progress to completion of specific tasks using information and data provided to Tectonic by Tectonic’s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240" w:after="0"/>
        <w:jc w:val="left"/>
        <w:rPr>
          <w:rFonts w:ascii="Times New Roman" w:hAnsi="Times New Roman"/>
          <w:sz w:val="20"/>
        </w:rPr>
      </w:pPr>
      <w:r>
        <w:rPr>
          <w:rFonts w:ascii="Times New Roman" w:hAnsi="Times New Roman"/>
          <w:sz w:val="20"/>
        </w:rPr>
        <w:t xml:space="preserve">Tectonic’s direct research and development expenses relate to the development of Tectonic’s lead product candidate, TX45, as well as the nonclinical safety pharmacology and toxicology testing of Tectonic’s product candidates. Tectonic’s external services expenses consist of the external costs and fees paid to consultants and other research laboratories in connection with Tectonic’s preclinical development and clinical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Costs that are deployed across multiple of Tectonic’s programs, including the HHT program and programs aimed at the discovery and development of potential therapies for fibrotic disease, and its platform technology and are not directly attributable to any single program are not allocated to any single program and, as such, are not separately classified. These costs include multi-program employee costs, cross-program payments made under third-party licensing agreements, costs of laboratory supplies and facilities expenses, including rent, depreciation and other indirect costs, The costs of Tectonic’s discovery efforts and projects are included in unallocated employee-related expenses, laboratory supplies and other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personnel-related costs, including share-based compensation, for Tectonic’s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travel expenses, office and information technology costs and facilities, depreciation and other expenses related to general and administrative activities, which include direct or allocated expenses for rent and maintenance of facilities and utilities. </w:t>
      </w:r>
    </w:p>
    <w:p>
      <w:pPr>
        <w:pStyle w:val="TextBody"/>
        <w:bidi w:val="0"/>
        <w:spacing w:before="240" w:after="0"/>
        <w:jc w:val="left"/>
        <w:rPr>
          <w:rFonts w:ascii="Times New Roman" w:hAnsi="Times New Roman"/>
          <w:sz w:val="20"/>
        </w:rPr>
      </w:pPr>
      <w:r>
        <w:rPr>
          <w:rFonts w:ascii="Times New Roman" w:hAnsi="Times New Roman"/>
          <w:sz w:val="20"/>
        </w:rPr>
        <w:t xml:space="preserve">Tectonic anticipates that its general and administrative expenses will increase in the future as the combined company is expected to incur significantly increased accounting, audit, legal, regulatory, compliance, director and officer insurance, and investor and public relations expenses associated with operating as a public company. Tectonic also expects to incur additional intellectual property-related expenses as Tectonic files patent applications to protect innovations arising from Tectonic’s research and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Preferred Stock Tranche Liability Gain </w:t>
      </w:r>
    </w:p>
    <w:p>
      <w:pPr>
        <w:pStyle w:val="TextBody"/>
        <w:bidi w:val="0"/>
        <w:spacing w:before="120" w:after="0"/>
        <w:jc w:val="left"/>
        <w:rPr>
          <w:rFonts w:ascii="Times New Roman" w:hAnsi="Times New Roman"/>
          <w:sz w:val="20"/>
        </w:rPr>
      </w:pPr>
      <w:r>
        <w:rPr>
          <w:rFonts w:ascii="Times New Roman" w:hAnsi="Times New Roman"/>
          <w:sz w:val="20"/>
        </w:rPr>
        <w:t xml:space="preserve">As part of Tectonic’s issuance of preferred stock, Tectonic provided the investors with the right to purchase additional shares of Series A-1 and Series A-2 convertible preferred stock upon the approval of the Tectonic Board and a majority vote of the holders of the preferred stock. Tectonic recorded this right and obligation to the investors as a preferred stock tranche liability on its consolidated balance sheets and initially recorded the liability at its fair value upon the issuance date of the Preferred Stock. Tectonic remeasured its preferred stock tranche liability to fair value at each reporting date and recognize the changes in fair value as a component of other income (expense), net in Tectonic’s consolidated statements of operations and comprehensive loss. The tranche liability was settled in September 2022.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there was no outstanding preferred stock tranche liability, as all tranche rights were exercised and the associated liability was settled during the year ended December 31, 2022. </w:t>
      </w:r>
    </w:p>
    <w:p>
      <w:pPr>
        <w:pStyle w:val="TextBody"/>
        <w:bidi w:val="0"/>
        <w:spacing w:before="360" w:after="0"/>
        <w:jc w:val="left"/>
        <w:rPr>
          <w:rFonts w:ascii="Times New Roman" w:hAnsi="Times New Roman"/>
          <w:i/>
          <w:sz w:val="20"/>
        </w:rPr>
      </w:pPr>
      <w:r>
        <w:rPr>
          <w:rFonts w:ascii="Times New Roman" w:hAnsi="Times New Roman"/>
          <w:i/>
          <w:sz w:val="20"/>
        </w:rPr>
        <w:t xml:space="preserve">Loss on Issuance of SAFEs and 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Tectonic issued SAFEs for proceeds of $34.1 million. The SAFEs were recorded as liabilities in the consolidated balance sheet at their fair value on the issuance dates. Until redemption, the SAFEs are measured at a fair value on a recurring basis, with subsequent changes in fair value recorded in other income and expenses on the consolidated statement of operations and comprehensive loss.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primarily consists of interest earned on Tectonic’s invested cash balances, which consist of deposit accounts and a sweep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415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primarily consists of interest expense on finance lease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primarily consists of the difference between transactional currency and functional 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Since Tectonic’s inception, it has not recorded any income tax benefits for the net losses it has incurred or for the research and development tax credits earned in each year by Tectonic’s operations in the United States, as Tectonic believes, based upon the weight of available evidence, that it is more likely than not that all of Tectonic’s net operating loss carryforwards and tax credit carryforwards will not be realized.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Tectonic had federal net operating loss carryforwards of $43.6 million and $29.0 million, respectively. As of December 31, 2023 and 2022, Tectonic had state net operating loss carryforwards of $35.3 million and $26.5 million, respectively. Tectonic’s federal net operating loss carryforwards may be carried forward indefinitely. Tectonic’s state net operating loss carryforwards begin to expire in 2039. As of December 31, 2023, Tectonic capitalized $36.2 million of research and development expenses under the Tax Cuts Jobs Act. Tectonic has recorded a full valuation against Tectonic’s net deferred tax assets at each balance sheet date. </w:t>
      </w:r>
    </w:p>
    <w:p>
      <w:pPr>
        <w:pStyle w:val="TextBody"/>
        <w:bidi w:val="0"/>
        <w:spacing w:before="360" w:after="0"/>
        <w:jc w:val="left"/>
        <w:rPr>
          <w:rFonts w:ascii="Times New Roman" w:hAnsi="Times New Roman"/>
          <w:b/>
          <w:sz w:val="20"/>
        </w:rPr>
      </w:pPr>
      <w:bookmarkStart w:id="159" w:name="toc770053_164"/>
      <w:bookmarkEnd w:id="159"/>
      <w:r>
        <w:rPr>
          <w:rFonts w:ascii="Times New Roman" w:hAnsi="Times New Roman"/>
          <w:b/>
          <w:sz w:val="20"/>
        </w:rPr>
        <w:t xml:space="preserve">Components of Tectonic’s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Years Ended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Tectonic’s results of operations for the years ended December 31, 2023 and 2022: </w:t>
      </w:r>
    </w:p>
    <w:p>
      <w:pPr>
        <w:pStyle w:val="TextBody"/>
        <w:bidi w:val="0"/>
        <w:spacing w:before="0" w:after="0"/>
        <w:jc w:val="left"/>
        <w:rPr/>
      </w:pPr>
      <w:r>
        <w:rPr/>
        <w:t> </w:t>
      </w:r>
    </w:p>
    <w:tbl>
      <w:tblPr>
        <w:tblW w:w="9714" w:type="dxa"/>
        <w:jc w:val="left"/>
        <w:tblInd w:w="0" w:type="dxa"/>
        <w:tblLayout w:type="fixed"/>
        <w:tblCellMar>
          <w:top w:w="0" w:type="dxa"/>
          <w:left w:w="0" w:type="dxa"/>
          <w:bottom w:w="0" w:type="dxa"/>
          <w:right w:w="0" w:type="dxa"/>
        </w:tblCellMar>
      </w:tblPr>
      <w:tblGrid>
        <w:gridCol w:w="4490"/>
        <w:gridCol w:w="120"/>
        <w:gridCol w:w="140"/>
        <w:gridCol w:w="755"/>
        <w:gridCol w:w="155"/>
        <w:gridCol w:w="120"/>
        <w:gridCol w:w="227"/>
        <w:gridCol w:w="1232"/>
        <w:gridCol w:w="155"/>
        <w:gridCol w:w="120"/>
        <w:gridCol w:w="140"/>
        <w:gridCol w:w="755"/>
        <w:gridCol w:w="155"/>
        <w:gridCol w:w="120"/>
        <w:gridCol w:w="60"/>
        <w:gridCol w:w="680"/>
        <w:gridCol w:w="290"/>
      </w:tblGrid>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9" w:type="dxa"/>
            <w:gridSpan w:val="6"/>
            <w:tcBorders>
              <w:bottom w:val="single" w:sz="8" w:space="0" w:color="000000"/>
            </w:tcBorders>
            <w:tcMar>
              <w:bottom w:w="28" w:type="dxa"/>
            </w:tcMar>
            <w:vAlign w:val="center"/>
          </w:tcPr>
          <w:p>
            <w:pPr>
              <w:pStyle w:val="TableContents"/>
              <w:bidi w:val="0"/>
              <w:spacing w:before="0" w:after="283"/>
              <w:jc w:val="center"/>
              <w:rPr/>
            </w:pPr>
            <w:r>
              <w:rPr>
                <w:b/>
              </w:rPr>
              <w:t xml:space="preserve">Year Ended </w:t>
            </w:r>
            <w:r>
              <w:rPr/>
              <w:br/>
            </w:r>
            <w:r>
              <w:rPr>
                <w:b/>
              </w:rPr>
              <w:t>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36,966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25,654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11,312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44</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7,176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44,648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32,830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11,818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(44,648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(32,830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the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290</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19,700</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650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181</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(32,180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(10,643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double" w:sz="6" w:space="1" w:color="000000"/>
              </w:pBdr>
              <w:bidi w:val="0"/>
              <w:spacing w:before="0" w:after="0"/>
              <w:jc w:val="left"/>
              <w:rPr/>
            </w:pPr>
            <w:r>
              <w:rPr/>
              <w:t> </w:t>
            </w:r>
          </w:p>
        </w:tc>
        <w:tc>
          <w:tcPr>
            <w:tcW w:w="123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66"/>
        <w:gridCol w:w="120"/>
        <w:gridCol w:w="140"/>
        <w:gridCol w:w="680"/>
        <w:gridCol w:w="60"/>
        <w:gridCol w:w="120"/>
        <w:gridCol w:w="247"/>
        <w:gridCol w:w="1210"/>
        <w:gridCol w:w="60"/>
        <w:gridCol w:w="120"/>
        <w:gridCol w:w="140"/>
        <w:gridCol w:w="680"/>
        <w:gridCol w:w="155"/>
        <w:gridCol w:w="120"/>
        <w:gridCol w:w="60"/>
        <w:gridCol w:w="335"/>
        <w:gridCol w:w="292"/>
      </w:tblGrid>
      <w:tr>
        <w:trPr/>
        <w:tc>
          <w:tcPr>
            <w:tcW w:w="56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56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7" w:type="dxa"/>
            <w:gridSpan w:val="6"/>
            <w:tcBorders>
              <w:bottom w:val="single" w:sz="8" w:space="0" w:color="000000"/>
            </w:tcBorders>
            <w:tcMar>
              <w:bottom w:w="28" w:type="dxa"/>
            </w:tcMar>
            <w:vAlign w:val="center"/>
          </w:tcPr>
          <w:p>
            <w:pPr>
              <w:pStyle w:val="TableContents"/>
              <w:bidi w:val="0"/>
              <w:spacing w:before="0" w:after="283"/>
              <w:jc w:val="center"/>
              <w:rPr/>
            </w:pPr>
            <w:r>
              <w:rPr>
                <w:b/>
              </w:rPr>
              <w:t xml:space="preserve">Year Ended </w:t>
            </w:r>
            <w:r>
              <w:rPr/>
              <w:br/>
            </w:r>
            <w:r>
              <w:rPr>
                <w:b/>
              </w:rP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2" w:type="dxa"/>
            <w:tcBorders/>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56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 research and development expenses by program:</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56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TX45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20,291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11,854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8,437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71</w:t>
            </w:r>
          </w:p>
        </w:tc>
        <w:tc>
          <w:tcPr>
            <w:tcW w:w="292" w:type="dxa"/>
            <w:tcBorders/>
            <w:vAlign w:val="center"/>
          </w:tcPr>
          <w:p>
            <w:pPr>
              <w:pStyle w:val="TableContents"/>
              <w:bidi w:val="0"/>
              <w:spacing w:before="0" w:after="283"/>
              <w:jc w:val="left"/>
              <w:rPr/>
            </w:pPr>
            <w:r>
              <w:rPr/>
              <w:t>% </w:t>
            </w:r>
          </w:p>
        </w:tc>
      </w:tr>
      <w:tr>
        <w:trPr/>
        <w:tc>
          <w:tcPr>
            <w:tcW w:w="56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Platform development, early-stage research and unallocated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56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9,174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17</w:t>
            </w:r>
          </w:p>
        </w:tc>
        <w:tc>
          <w:tcPr>
            <w:tcW w:w="292" w:type="dxa"/>
            <w:tcBorders/>
            <w:vAlign w:val="center"/>
          </w:tcPr>
          <w:p>
            <w:pPr>
              <w:pStyle w:val="TableContents"/>
              <w:bidi w:val="0"/>
              <w:spacing w:before="0" w:after="283"/>
              <w:jc w:val="left"/>
              <w:rPr/>
            </w:pPr>
            <w:r>
              <w:rPr/>
              <w:t> </w:t>
            </w:r>
          </w:p>
        </w:tc>
      </w:tr>
      <w:tr>
        <w:trPr/>
        <w:tc>
          <w:tcPr>
            <w:tcW w:w="56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1,537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(18</w:t>
            </w:r>
          </w:p>
        </w:tc>
        <w:tc>
          <w:tcPr>
            <w:tcW w:w="292" w:type="dxa"/>
            <w:tcBorders/>
            <w:shd w:fill="CCEEFF" w:val="clear"/>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Facility, supplies and 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4,644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3,089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50</w:t>
            </w:r>
          </w:p>
        </w:tc>
        <w:tc>
          <w:tcPr>
            <w:tcW w:w="292" w:type="dxa"/>
            <w:tcBorders/>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121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pBdr>
                <w:top w:val="single" w:sz="2"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r>
      <w:tr>
        <w:trPr/>
        <w:tc>
          <w:tcPr>
            <w:tcW w:w="56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36,966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25,654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11,312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44</w:t>
            </w:r>
          </w:p>
        </w:tc>
        <w:tc>
          <w:tcPr>
            <w:tcW w:w="292" w:type="dxa"/>
            <w:tcBorders/>
            <w:shd w:fill="CCEEFF" w:val="clear"/>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121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pBdr>
                <w:top w:val="double" w:sz="6"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$37.0 million for the year ended December 31, 2023, as compared to $25.7 million for the year ended December 31, 2022. The increase of $11.3 million was primarily due to an increase of $8.4 million in direct research and development expenses which were specifically attributed to Tectonic’s lead product candidate, TX45, as it progressed to phase 1 clinical trials in Q4 2023. The $8.4 million increase in research and development expense for TX45 was primarily due to a $3.6 million increase in CDMO costs associated with TX45’s clinical trial, $3.1 million in external research costs for additional work with external research providers, and $1.9 million increase in clinical trial CRO costs. The increase was partially offset by $0.8 million reduction in lab supplies costs, achieved by purchasing directly from suppliers rather than through marketplaces. The increase of $1.6 million in personnel related costs was primarily due to Tectonic’s increased headcount in its research and development functions as Tectonic continued to develop its lead product candidate and expand Tectonic’s early-stage development product candidate pipeline. The increase of $1.6 million in facility, supplies, and other expenses was primarily due to an increase in facilities costs attributed to increased research activities and an increase in laboratory activities attributable to increased headcount and lead and early-stage product candidate development. The decrease of $0.3 million in external services was primarily due to a decrease in consulting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4565"/>
        <w:gridCol w:w="120"/>
        <w:gridCol w:w="140"/>
        <w:gridCol w:w="560"/>
        <w:gridCol w:w="60"/>
        <w:gridCol w:w="120"/>
        <w:gridCol w:w="292"/>
        <w:gridCol w:w="1168"/>
        <w:gridCol w:w="60"/>
        <w:gridCol w:w="120"/>
        <w:gridCol w:w="219"/>
        <w:gridCol w:w="596"/>
        <w:gridCol w:w="155"/>
        <w:gridCol w:w="60"/>
        <w:gridCol w:w="60"/>
        <w:gridCol w:w="260"/>
        <w:gridCol w:w="290"/>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pPr>
            <w:r>
              <w:rPr>
                <w:b/>
              </w:rPr>
              <w:t xml:space="preserve">Year Ended </w:t>
            </w:r>
            <w:r>
              <w:rPr/>
              <w:br/>
            </w:r>
            <w:r>
              <w:rPr>
                <w:b/>
              </w:rP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3,944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3,937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consultant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2,037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555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29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Facility related and 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1,202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pBdr>
                <w:top w:val="single" w:sz="2" w:space="1" w:color="000000"/>
              </w:pBdr>
              <w:bidi w:val="0"/>
              <w:spacing w:before="0" w:after="0"/>
              <w:jc w:val="left"/>
              <w:rPr/>
            </w:pPr>
            <w:r>
              <w:rPr/>
              <w:t> </w:t>
            </w:r>
          </w:p>
        </w:tc>
        <w:tc>
          <w:tcPr>
            <w:tcW w:w="11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pBdr>
                <w:top w:val="single" w:sz="2" w:space="1" w:color="000000"/>
              </w:pBdr>
              <w:bidi w:val="0"/>
              <w:spacing w:before="0" w:after="0"/>
              <w:jc w:val="left"/>
              <w:rPr/>
            </w:pPr>
            <w:r>
              <w:rPr/>
              <w:t> </w:t>
            </w:r>
          </w:p>
        </w:tc>
        <w:tc>
          <w:tcPr>
            <w:tcW w:w="59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7,682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7,176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596" w:type="dxa"/>
            <w:tcBorders/>
            <w:vAlign w:val="center"/>
          </w:tcPr>
          <w:p>
            <w:pPr>
              <w:pStyle w:val="TableContents"/>
              <w:bidi w:val="0"/>
              <w:spacing w:before="0" w:after="283"/>
              <w:jc w:val="right"/>
              <w:rPr/>
            </w:pPr>
            <w:r>
              <w:rPr/>
              <w:t>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pBdr>
                <w:top w:val="double" w:sz="6" w:space="1" w:color="000000"/>
              </w:pBdr>
              <w:bidi w:val="0"/>
              <w:spacing w:before="0" w:after="0"/>
              <w:jc w:val="left"/>
              <w:rPr/>
            </w:pPr>
            <w:r>
              <w:rPr/>
              <w:t> </w:t>
            </w:r>
          </w:p>
        </w:tc>
        <w:tc>
          <w:tcPr>
            <w:tcW w:w="116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pBdr>
                <w:top w:val="double" w:sz="6" w:space="1" w:color="000000"/>
              </w:pBdr>
              <w:bidi w:val="0"/>
              <w:spacing w:before="0" w:after="0"/>
              <w:jc w:val="left"/>
              <w:rPr/>
            </w:pPr>
            <w:r>
              <w:rPr/>
              <w:t> </w:t>
            </w:r>
          </w:p>
        </w:tc>
        <w:tc>
          <w:tcPr>
            <w:tcW w:w="59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26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$7.7 million for the year ended December 31, 2023 as compared to $7.2 million for the year ended December 31, 2022. The increase of $0.5 million was primarily due to an increase of $0.6 million in professional and consultant fees related to the SAFE financings and an increase in audit fees during the year ended December 31, 2023, partially offset by a decrease of $0.1 million in facility related costs and other expenses due to decrease in subscription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Preferred Stock Tranche Liability Gain </w:t>
      </w:r>
    </w:p>
    <w:p>
      <w:pPr>
        <w:pStyle w:val="TextBody"/>
        <w:bidi w:val="0"/>
        <w:spacing w:before="120" w:after="0"/>
        <w:jc w:val="left"/>
        <w:rPr>
          <w:rFonts w:ascii="Times New Roman" w:hAnsi="Times New Roman"/>
          <w:sz w:val="20"/>
        </w:rPr>
      </w:pPr>
      <w:r>
        <w:rPr>
          <w:rFonts w:ascii="Times New Roman" w:hAnsi="Times New Roman"/>
          <w:sz w:val="20"/>
        </w:rPr>
        <w:t xml:space="preserve">There was no preferred stock tranche liability gain for the year ended December 31, 2023, as compared to a preferred stock tranche liability gain of $0.6 million for the year ended December 31, 2022, which was due to the remeasurement of the preferred stock tranche liability prior to the exercise of all tranche rights in September 2022. The gain resulted from the remeasurement of the liability through the settlement date. </w:t>
      </w:r>
    </w:p>
    <w:p>
      <w:pPr>
        <w:pStyle w:val="TextBody"/>
        <w:bidi w:val="0"/>
        <w:spacing w:before="360" w:after="0"/>
        <w:jc w:val="left"/>
        <w:rPr>
          <w:rFonts w:ascii="Times New Roman" w:hAnsi="Times New Roman"/>
          <w:i/>
          <w:sz w:val="20"/>
        </w:rPr>
      </w:pPr>
      <w:r>
        <w:rPr>
          <w:rFonts w:ascii="Times New Roman" w:hAnsi="Times New Roman"/>
          <w:i/>
          <w:sz w:val="20"/>
        </w:rPr>
        <w:t xml:space="preserve">Loss on Issuance of SAFEs </w:t>
      </w:r>
    </w:p>
    <w:p>
      <w:pPr>
        <w:pStyle w:val="TextBody"/>
        <w:bidi w:val="0"/>
        <w:spacing w:before="120" w:after="0"/>
        <w:jc w:val="left"/>
        <w:rPr>
          <w:rFonts w:ascii="Times New Roman" w:hAnsi="Times New Roman"/>
          <w:sz w:val="20"/>
        </w:rPr>
      </w:pPr>
      <w:r>
        <w:rPr>
          <w:rFonts w:ascii="Times New Roman" w:hAnsi="Times New Roman"/>
          <w:sz w:val="20"/>
        </w:rPr>
        <w:t xml:space="preserve">The loss on issuance of SAFEs relates to the October SAFEs whose fair value exceeded the proceeds received of $0.3 million on their issuance date.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SAFE liabilities gain of $1.3 million resulted from the remeasurement of the SAFE liabilities to fair value from the issuance date through December 31, 2023.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$0.4 million for the year ended December 31, 2023 compared to the year ended December 31, 2022 due to an increase in interest rates in 2023.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was consistent for the year ended December 31,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increased by $0.4 million for the year ended December 31, 2023 compared to the year ended December 31, 2022 due to an increase in the research and development tax refund applied for with Australia. </w:t>
      </w:r>
    </w:p>
    <w:p>
      <w:pPr>
        <w:pStyle w:val="TextBody"/>
        <w:bidi w:val="0"/>
        <w:spacing w:before="360" w:after="0"/>
        <w:jc w:val="left"/>
        <w:rPr>
          <w:rFonts w:ascii="Times New Roman" w:hAnsi="Times New Roman"/>
          <w:b/>
          <w:sz w:val="20"/>
        </w:rPr>
      </w:pPr>
      <w:bookmarkStart w:id="160" w:name="toc770053_165"/>
      <w:bookmarkEnd w:id="160"/>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Tectonic’s inception, Tectonic has incurred significant operating losses. Tectonic expects to incur significant expenses and operating losses for the foreseeable future as Tectonic advance the preclinical and clinical development of Tectonic’s research programs and product candidates. Tectonic expects that its research and development and general and administrative costs will increase in connection with conducting additional preclinical studies and clinical trials for Tectonic’s current and future research programs and product candidates, contracting with CMOs to support preclinical studies and clinical trials, expanding Tectonic’s intellectual property portfolio, and providing general and administrative support for Tectonic’s operations. As a result, Tectonic will need additional capital to fund its operations, which Tectonic may obtain from additional equity or debt financings, collaborations, licensing arrangements or other sources. </w:t>
      </w:r>
    </w:p>
    <w:p>
      <w:pPr>
        <w:pStyle w:val="TextBody"/>
        <w:bidi w:val="0"/>
        <w:spacing w:before="240" w:after="0"/>
        <w:jc w:val="left"/>
        <w:rPr>
          <w:rFonts w:ascii="Times New Roman" w:hAnsi="Times New Roman"/>
          <w:sz w:val="20"/>
        </w:rPr>
      </w:pPr>
      <w:r>
        <w:rPr>
          <w:rFonts w:ascii="Times New Roman" w:hAnsi="Times New Roman"/>
          <w:sz w:val="20"/>
        </w:rPr>
        <w:t xml:space="preserve">Tectonic does not currently have any approved products and has never generated any revenue from product sales. To date, Tectonic has funded its operations primarily through proceeds from sales of preferred stock, proceeds from issuance of convertible promissory notes and proceeds from issuance of SAFEs. From inception through December 31, 2023, Tectonic has received $114.7 million in capital contributions from sales of preferred stock and convertible promissory notes and proceeds from issuance of SAFEs. As of December 31, 2023, Tectonic had $28.8 million in cash and cash equivalents and an accumulated deficit of $90.6 million.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418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a summary of Tectonic’s cash flows for the years ended December 31, 2023 and 2022: </w:t>
      </w:r>
    </w:p>
    <w:p>
      <w:pPr>
        <w:pStyle w:val="TextBody"/>
        <w:bidi w:val="0"/>
        <w:spacing w:before="0" w:after="0"/>
        <w:jc w:val="left"/>
        <w:rPr/>
      </w:pPr>
      <w:r>
        <w:rPr/>
        <w:t> </w:t>
      </w:r>
    </w:p>
    <w:tbl>
      <w:tblPr>
        <w:tblW w:w="8487" w:type="dxa"/>
        <w:jc w:val="left"/>
        <w:tblInd w:w="0" w:type="dxa"/>
        <w:tblLayout w:type="fixed"/>
        <w:tblCellMar>
          <w:top w:w="0" w:type="dxa"/>
          <w:left w:w="0" w:type="dxa"/>
          <w:bottom w:w="0" w:type="dxa"/>
          <w:right w:w="0" w:type="dxa"/>
        </w:tblCellMar>
      </w:tblPr>
      <w:tblGrid>
        <w:gridCol w:w="5480"/>
        <w:gridCol w:w="120"/>
        <w:gridCol w:w="184"/>
        <w:gridCol w:w="993"/>
        <w:gridCol w:w="203"/>
        <w:gridCol w:w="157"/>
        <w:gridCol w:w="184"/>
        <w:gridCol w:w="996"/>
        <w:gridCol w:w="170"/>
      </w:tblGrid>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(40,681</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(27,637</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(279</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(2,088</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33,747</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37,628</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16</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single" w:sz="2" w:space="1" w:color="000000"/>
              </w:pBdr>
              <w:bidi w:val="0"/>
              <w:spacing w:before="0" w:after="0"/>
              <w:jc w:val="left"/>
              <w:rPr/>
            </w:pPr>
            <w:r>
              <w:rPr/>
              <w:t> </w:t>
            </w:r>
          </w:p>
        </w:tc>
        <w:tc>
          <w:tcPr>
            <w:tcW w:w="993" w:type="dxa"/>
            <w:tcBorders/>
            <w:vAlign w:val="center"/>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single" w:sz="2" w:space="1" w:color="000000"/>
              </w:pBdr>
              <w:bidi w:val="0"/>
              <w:spacing w:before="0" w:after="0"/>
              <w:jc w:val="left"/>
              <w:rPr/>
            </w:pPr>
            <w:r>
              <w:rPr/>
              <w:t> </w:t>
            </w:r>
          </w:p>
        </w:tc>
        <w:tc>
          <w:tcPr>
            <w:tcW w:w="996"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(7,197</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7,903</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double" w:sz="6" w:space="1" w:color="000000"/>
              </w:pBdr>
              <w:bidi w:val="0"/>
              <w:spacing w:before="0" w:after="0"/>
              <w:jc w:val="left"/>
              <w:rPr/>
            </w:pPr>
            <w:r>
              <w:rPr/>
              <w:t> </w:t>
            </w:r>
          </w:p>
        </w:tc>
        <w:tc>
          <w:tcPr>
            <w:tcW w:w="993" w:type="dxa"/>
            <w:tcBorders/>
            <w:vAlign w:val="center"/>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double" w:sz="6" w:space="1" w:color="000000"/>
              </w:pBdr>
              <w:bidi w:val="0"/>
              <w:spacing w:before="0" w:after="0"/>
              <w:jc w:val="left"/>
              <w:rPr/>
            </w:pPr>
            <w:r>
              <w:rPr/>
              <w:t> </w:t>
            </w:r>
          </w:p>
        </w:tc>
        <w:tc>
          <w:tcPr>
            <w:tcW w:w="996"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operating activities used $40.7 million of cash, primarily resulting from a net loss of $42.8 million and changes in Tectonic’s operating assets and liabilities of $0.6 million, offset by non-cash charges of $2.7 million. Non-cash charges primarily consisted of $1.5 million in depreciation and amortization expense, $1.1 million in share-based compensation expense, and $1.1 million in non-cash lease expense, offset by a $1.3 million of change in fair value of the SAFE liabilities Net cash used by changes in Tectonic’s operating assets and liabilities consisted primarily of a $1.0 million decrease in operating lease liabilities, a $1.0 million increase in prepaid and other current assets, and a $0.2 million decrease in accounts payable, offset by a $1.6 million increase in accrued expenses and other current liabilities. The increase in prepaid and other current assets and accrued and other current liabilities and decrease in accounts payable was primarily due to the timing of vendor and research partner payments and invoicing. The decrease in operating lease liabilities was primarily due to the lease payments made in 2023.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operating activities used $27.6 million of cash, primarily resulting from a net loss of $32.2 million, offset by non-cash charges of $2.7 million and changes in Tectonic’s operating assets and liabilities of $1.8 million. Non-cash charges primarily consisted of $1.1 million in share-based compensation expense, $1.0 million in depreciation and amortization expense, $0.9 million in non-cash lease expense and $0.4 million in non-cash expense associated with the issuance of common stock for the exchange of a license, partially offset by $0.6 million in preferred stock tranche liability gain. Net cash provided by changes in Tectonic’s operating assets and liabilities consisted primarily of a $4.5 million increase in accrued expenses and other current liabilities, offset by a $1.2 million decrease in accounts payable and a $1.1 million decrease in operating lease liabilities. The increase in accrued expenses and other current liabilities and decrease in accounts payable were primarily due to the timing of vendor and research partner payments and invoicing. The decrease in operating lease liabilities was primarily due to the lease payments made in 2022.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net cash used in investing activities was $0.3 million and $2.1 million, respectively. The change in net cash used in investing activities during the years ended December 31, 2023 and 2022 was due to a decrease of Tectonic’s purchases of property, equipment, and improvements, which was driven by efforts of Tectonic to be more conservative with cash available in order to focus on research and development as well as the ongoing expenditures from the merger and SAFE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net cash provided by financing activities was $33.7 million and $37.6 million, respectively. Net cash provided by financing activities during the year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December 31, 2023 was primarily due to Tectonic’s issuance of SAFEs of $34.1 million, offset by $0.5 million of repayment of finance lease obligations. Net cash provided by financing activities during the year ended December 31, 2022 was primarily due to Tectonic’s issuance of preferred stock of $38.0 million, offset by $0.4 million of repayment of finance lease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Tectonic expects its expenses to increase in connection with its ongoing activities, particularly as Tectonic continues the research and development of, continue or initiate clinical trials of, and seek marketing approval for, Tectonic’s product candidates including its lead product candidate TX45. In addition, if Tectonic obtains marketing approval for TX45 or any of its other product candidates, Tectonic expects to incur significant commercialization expenses related to program sales, marketing, manufacturing and distribution to the extent that such sales, marketing and distribution are not the responsibility of potential collaborators. Furthermore, following the completion of the merger, Tectonic expects to incur additional costs associated with operating as a public company. Accordingly, Tectonic will need to obtain substantial additional funding in connection with its continuing operations. If Tectonic is unable to raise capital when needed or on attractive terms, Tectonic would be forced to delay, reduce or eliminate Tectonic’s research and development programs or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Tectonic expects its existing cash and cash equivalents, together with the net proceeds from the merger, will enable Tectonic to fund its operating expenses and capital expenditure requirements for at least the next twelve months. Tectonic’s future capital requirements will depend on many factors, including: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product discovery, preclinical studies and clinical trials;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prioritization and number of Tectonic’s research and development programs;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Tectonic’s product candidate;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establish and maintain collaborations on favorable terms, if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or occurrence of other developments that trigger payments under the license agreements and any other collaboration agreements Tectonic enters into;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Tectonic is obligated to reimburse, or entitled to reimbursement of, clinical trial costs under collaboration agreements,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Tectonic’s intellectual property rights and defending intellectual property-related claims;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Tectonic acquires or in-license other product candidates and technologies;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securing manufacturing arrangements for commercial production;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establishing or contracting for sales and marketing capabilities if Tectonic obtains regulatory approvals to market Tectonic’s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product candidates and conducting preclinical studies and clinical trials is a time-consuming, expensive and uncertain process that takes many years to complete, and Tectonic may never generate the necessary data or results required to obtain marketing approval and achieve product sales. In addition, Tectonic’s product candidates, if approved, may not achieve commercial success. Tectonic’s commercial revenues, if any, will be derived from sales of product candidates that Tectonic does not expect to be commercially available for many years, if at all. Accordingly, Tectonic will need to continue to rely on additional financing to achieve its business objectives. Adequate additional financing may not be available to Tectonic on acceptable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Until such time, if ever, as Tectonic can generate substantial product revenues, Tectonic expects to finance its cash needs through a combination of equity offerings, debt financings, collaborations, strategic alliances and licensing arrangements. Debt financing, if available, may involve agreements that include covenants limiting or restricting Tectonic’s ability to take specific actions, such as incurring additional debt,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Tectonic raises funds through additional collaborations, strategic alliances or licensing arrangements with third parties, Tectonic may have to relinquish valuable rights to Tectonic’s technologies, future revenue streams, research programs or product candidates or to grant licenses on terms that may not be favorable to Tectonic. If Tectonic is unable to raise additional funds through equity or debt financings when needed, Tectonic may be required to delay, limit, reduce or terminate Tectonic’s product development or future commercialization efforts or grant rights to develop and market product candidates that Tectonic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merger, Tectonic expects to incur additional costs associated with operating as a public company. In addition, Tectonic anticipates that Tectonic will need substantial additional funding in connection with Tectonic’s continuing operations. Tectonic projections of operating capital requirements are based on Tectonic’s current operating plan, which includes several assumptions that may prove to be incorrect and Tectonic may use all of its available capital resources sooner than it expects. </w:t>
      </w:r>
    </w:p>
    <w:p>
      <w:pPr>
        <w:pStyle w:val="TextBody"/>
        <w:bidi w:val="0"/>
        <w:spacing w:before="240" w:after="0"/>
        <w:jc w:val="left"/>
        <w:rPr>
          <w:rFonts w:ascii="Times New Roman" w:hAnsi="Times New Roman"/>
          <w:sz w:val="20"/>
        </w:rPr>
      </w:pPr>
      <w:r>
        <w:rPr>
          <w:rFonts w:ascii="Times New Roman" w:hAnsi="Times New Roman"/>
          <w:sz w:val="20"/>
        </w:rPr>
        <w:t xml:space="preserve">Tectonic currently has no ongoing material financing commitments, such as lines of credit or guarantees, that are expected to affect Tectonic’s liquidity over the next five years, other than Tectonic’s lease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Tectonic evaluated certain adverse conditions and events that raise substantial doubt about Tectonic’s ability to continue as a going concern within twelve months after the date that the accompanying financial statements were issued or available to be issued. Since Tectonic’s inception, Tectonic has funded its operations primarily with proceeds from the sale of preferred stock, issuance of convertible promissory notes and issuance of SAFEs. Tectonic has also incurred significant recurring losses, including net losses of $42.8 million and $32.2 million for the years ended December 31, 2023 and 2022, respectively. In addition, Tectonic used $40.7 million and $27.6 million in operations for the years ended December 31, 2023 and 2022, respectively. As of December 31, 2023, Tectonic has an accumulated deficit of $90.6 million. </w:t>
      </w:r>
    </w:p>
    <w:p>
      <w:pPr>
        <w:pStyle w:val="TextBody"/>
        <w:bidi w:val="0"/>
        <w:spacing w:before="360" w:after="0"/>
        <w:jc w:val="left"/>
        <w:rPr>
          <w:rFonts w:ascii="Times New Roman" w:hAnsi="Times New Roman"/>
          <w:b/>
          <w:sz w:val="20"/>
        </w:rPr>
      </w:pPr>
      <w:bookmarkStart w:id="161" w:name="toc770053_166"/>
      <w:bookmarkEnd w:id="161"/>
      <w:r>
        <w:rPr>
          <w:rFonts w:ascii="Times New Roman" w:hAnsi="Times New Roman"/>
          <w:b/>
          <w:sz w:val="20"/>
        </w:rPr>
        <w:t xml:space="preserve">Contractual Obligations &amp; Commitments </w:t>
      </w:r>
    </w:p>
    <w:p>
      <w:pPr>
        <w:pStyle w:val="TextBody"/>
        <w:bidi w:val="0"/>
        <w:spacing w:before="120" w:after="0"/>
        <w:jc w:val="left"/>
        <w:rPr>
          <w:rFonts w:ascii="Times New Roman" w:hAnsi="Times New Roman"/>
          <w:i/>
          <w:sz w:val="20"/>
        </w:rPr>
      </w:pPr>
      <w:r>
        <w:rPr>
          <w:rFonts w:ascii="Times New Roman" w:hAnsi="Times New Roman"/>
          <w:i/>
          <w:sz w:val="20"/>
        </w:rPr>
        <w:t xml:space="preserve">Lease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Tectonic’s contractual obligations and commitments as of December 31, 2023: </w:t>
      </w:r>
    </w:p>
    <w:p>
      <w:pPr>
        <w:pStyle w:val="TextBody"/>
        <w:bidi w:val="0"/>
        <w:spacing w:before="0" w:after="0"/>
        <w:jc w:val="left"/>
        <w:rPr/>
      </w:pPr>
      <w:r>
        <w:rPr/>
        <w:t> </w:t>
      </w:r>
    </w:p>
    <w:tbl>
      <w:tblPr>
        <w:tblW w:w="7299" w:type="dxa"/>
        <w:jc w:val="left"/>
        <w:tblInd w:w="0" w:type="dxa"/>
        <w:tblLayout w:type="fixed"/>
        <w:tblCellMar>
          <w:top w:w="0" w:type="dxa"/>
          <w:left w:w="0" w:type="dxa"/>
          <w:bottom w:w="0" w:type="dxa"/>
          <w:right w:w="0" w:type="dxa"/>
        </w:tblCellMar>
      </w:tblPr>
      <w:tblGrid>
        <w:gridCol w:w="1430"/>
        <w:gridCol w:w="120"/>
        <w:gridCol w:w="199"/>
        <w:gridCol w:w="796"/>
        <w:gridCol w:w="60"/>
        <w:gridCol w:w="120"/>
        <w:gridCol w:w="140"/>
        <w:gridCol w:w="560"/>
        <w:gridCol w:w="60"/>
        <w:gridCol w:w="120"/>
        <w:gridCol w:w="510"/>
        <w:gridCol w:w="949"/>
        <w:gridCol w:w="60"/>
        <w:gridCol w:w="120"/>
        <w:gridCol w:w="40"/>
        <w:gridCol w:w="40"/>
        <w:gridCol w:w="105"/>
        <w:gridCol w:w="210"/>
        <w:gridCol w:w="246"/>
        <w:gridCol w:w="459"/>
        <w:gridCol w:w="60"/>
        <w:gridCol w:w="120"/>
        <w:gridCol w:w="140"/>
        <w:gridCol w:w="560"/>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Less than</w:t>
              <w:b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to 3</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to 5</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More than</w:t>
              <w:b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583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4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1,542</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1,534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3,246</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pBdr>
                <w:top w:val="single" w:sz="2" w:space="1" w:color="000000"/>
              </w:pBdr>
              <w:bidi w:val="0"/>
              <w:spacing w:before="0" w:after="0"/>
              <w:jc w:val="left"/>
              <w:rPr/>
            </w:pPr>
            <w:r>
              <w:rPr/>
              <w:t> </w:t>
            </w:r>
          </w:p>
        </w:tc>
        <w:tc>
          <w:tcPr>
            <w:tcW w:w="79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pBdr>
                <w:top w:val="single" w:sz="2" w:space="1" w:color="000000"/>
              </w:pBdr>
              <w:bidi w:val="0"/>
              <w:spacing w:before="0" w:after="0"/>
              <w:jc w:val="left"/>
              <w:rPr/>
            </w:pPr>
            <w:r>
              <w:rPr/>
              <w:t> </w:t>
            </w:r>
          </w:p>
        </w:tc>
        <w:tc>
          <w:tcPr>
            <w:tcW w:w="94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w:t>
            </w:r>
          </w:p>
        </w:tc>
        <w:tc>
          <w:tcPr>
            <w:tcW w:w="246" w:type="dxa"/>
            <w:tcBorders/>
            <w:vAlign w:val="center"/>
          </w:tcPr>
          <w:p>
            <w:pPr>
              <w:pStyle w:val="TableContents"/>
              <w:pBdr>
                <w:top w:val="single" w:sz="2" w:space="1" w:color="000000"/>
              </w:pBdr>
              <w:bidi w:val="0"/>
              <w:spacing w:before="0" w:after="0"/>
              <w:jc w:val="left"/>
              <w:rPr/>
            </w:pPr>
            <w:r>
              <w:rPr/>
              <w:t> </w:t>
            </w:r>
          </w:p>
        </w:tc>
        <w:tc>
          <w:tcPr>
            <w:tcW w:w="4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2,117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2,627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4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4,788</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pBdr>
                <w:top w:val="double" w:sz="6" w:space="1" w:color="000000"/>
              </w:pBdr>
              <w:bidi w:val="0"/>
              <w:spacing w:before="0" w:after="0"/>
              <w:jc w:val="left"/>
              <w:rPr/>
            </w:pPr>
            <w:r>
              <w:rPr/>
              <w:t> </w:t>
            </w:r>
          </w:p>
        </w:tc>
        <w:tc>
          <w:tcPr>
            <w:tcW w:w="79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pBdr>
                <w:top w:val="double" w:sz="6" w:space="1" w:color="000000"/>
              </w:pBdr>
              <w:bidi w:val="0"/>
              <w:spacing w:before="0" w:after="0"/>
              <w:jc w:val="left"/>
              <w:rPr/>
            </w:pPr>
            <w:r>
              <w:rPr/>
              <w:t> </w:t>
            </w:r>
          </w:p>
        </w:tc>
        <w:tc>
          <w:tcPr>
            <w:tcW w:w="94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w:t>
            </w:r>
          </w:p>
        </w:tc>
        <w:tc>
          <w:tcPr>
            <w:tcW w:w="246" w:type="dxa"/>
            <w:tcBorders/>
            <w:vAlign w:val="center"/>
          </w:tcPr>
          <w:p>
            <w:pPr>
              <w:pStyle w:val="TableContents"/>
              <w:pBdr>
                <w:top w:val="double" w:sz="6" w:space="1" w:color="000000"/>
              </w:pBdr>
              <w:bidi w:val="0"/>
              <w:spacing w:before="0" w:after="0"/>
              <w:jc w:val="left"/>
              <w:rPr/>
            </w:pPr>
            <w:r>
              <w:rPr/>
              <w:t> </w:t>
            </w:r>
          </w:p>
        </w:tc>
        <w:tc>
          <w:tcPr>
            <w:tcW w:w="45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Tectonic can cancel without a significant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421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University of Texas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Tectonic executed a research agreement with the University of Texas, whereby the University of Texas and Tectonic are conducting joint research activities in accordance with an agreed upon research program. An upfront fee of $25,000 was paid upon execution of the agreement in 2020, with the remaining balance due in two payments of $37,500 each. The first payment was due upon the completion of the joint research activities and the second payment due upon the receipt of the final research report by Tectonic, however, the agreement was terminated on June 30, 2022.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Tectonic did not pay any amounts to the University of Texas under the agreement because the joint research activities were not completed before the research agreement terminated. </w:t>
      </w:r>
    </w:p>
    <w:p>
      <w:pPr>
        <w:pStyle w:val="TextBody"/>
        <w:bidi w:val="0"/>
        <w:spacing w:before="360" w:after="0"/>
        <w:jc w:val="left"/>
        <w:rPr>
          <w:rFonts w:ascii="Times New Roman" w:hAnsi="Times New Roman"/>
          <w:i/>
          <w:sz w:val="20"/>
        </w:rPr>
      </w:pPr>
      <w:r>
        <w:rPr>
          <w:rFonts w:ascii="Times New Roman" w:hAnsi="Times New Roman"/>
          <w:i/>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Tectonic entered into an option agreement with the President and Fellows of Harvard College (“Harvard”) and obtained an option to negotiate a license under Harvard’s interest in certain patent rights (the “Patent Rights”) in exchange for an option fee in the low five digits. In October 2021,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 </w:t>
      </w:r>
    </w:p>
    <w:p>
      <w:pPr>
        <w:pStyle w:val="TextBody"/>
        <w:bidi w:val="0"/>
        <w:spacing w:before="240" w:after="0"/>
        <w:jc w:val="left"/>
        <w:rPr>
          <w:rFonts w:ascii="Times New Roman" w:hAnsi="Times New Roman"/>
          <w:sz w:val="20"/>
        </w:rPr>
      </w:pPr>
      <w:r>
        <w:rPr>
          <w:rFonts w:ascii="Times New Roman" w:hAnsi="Times New Roman"/>
          <w:sz w:val="20"/>
        </w:rPr>
        <w:t xml:space="preserve">As partial consideration for the Harvard License Agreement, Tectonic agreed to pay Harvard a one-time license fee of $170,000, with such fee to be paid in equal installments over three years. In July 2022, Tectonic paid Harvard $56,666 and in July 2023 Tectonic paid Harvard $56,667. The final installment of $56,667 under the Harvard License Agreement is due in July 2024. As partial consideration for the Harvard License Agreement, Tectonic entered into a subscription agreement with Harvard in July 2022, pursuant to which Harvard was granted 227,486 shares of common stock of the Company with a fair market value in the mid six digits. </w:t>
      </w:r>
    </w:p>
    <w:p>
      <w:pPr>
        <w:pStyle w:val="TextBody"/>
        <w:bidi w:val="0"/>
        <w:spacing w:before="240" w:after="0"/>
        <w:jc w:val="left"/>
        <w:rPr>
          <w:rFonts w:ascii="Times New Roman" w:hAnsi="Times New Roman"/>
          <w:sz w:val="20"/>
        </w:rPr>
      </w:pPr>
      <w:r>
        <w:rPr>
          <w:rFonts w:ascii="Times New Roman" w:hAnsi="Times New Roman"/>
          <w:sz w:val="20"/>
        </w:rPr>
        <w:t xml:space="preserve">Tectonic is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Tectonic is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Tectonic is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Tectonic receives in connection with a sublicense, strategic partnership or know-how enabled license. With respect to any net sales of licensed products and know-how enabled products sold in certain countries outside of the United States and Europe, Tectonic and Harvard will negotiate a royalty percentage on a country-by-country basis. </w:t>
      </w:r>
    </w:p>
    <w:p>
      <w:pPr>
        <w:pStyle w:val="TextBody"/>
        <w:bidi w:val="0"/>
        <w:spacing w:before="240" w:after="0"/>
        <w:jc w:val="left"/>
        <w:rPr>
          <w:rFonts w:ascii="Times New Roman" w:hAnsi="Times New Roman"/>
          <w:sz w:val="20"/>
        </w:rPr>
      </w:pPr>
      <w:r>
        <w:rPr>
          <w:rFonts w:ascii="Times New Roman" w:hAnsi="Times New Roman"/>
          <w:sz w:val="20"/>
        </w:rPr>
        <w:t>For a more detailed description of this agreement, see the section titled “</w:t>
      </w:r>
      <w:r>
        <w:rPr>
          <w:rFonts w:ascii="Times New Roman" w:hAnsi="Times New Roman"/>
          <w:i/>
          <w:sz w:val="20"/>
        </w:rPr>
        <w:t xml:space="preserve">Tectonic’s Business–Harvard Option and License </w:t>
      </w:r>
      <w:r>
        <w:rPr>
          <w:rFonts w:ascii="Times New Roman" w:hAnsi="Times New Roman"/>
          <w:sz w:val="20"/>
        </w:rPr>
        <w:t xml:space="preserve">Agreement” and note 6 to the consolidated Tectonic financial statements included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422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Alloy Therapeutics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Tectonic executed a license agreement with Alloy Therapeutics, LLC (ATX), whereby Tectonic will use ATX technology for the purpose of preclinical development, clinical development and commercialization of potential product candidates, for an initial period of three years, with the option to extend the term for an additional two years. Tectonic will pay ATX a non-refundable and non-creditable annual fee of $0.1 million on each anniversary of the agreement. On November 7, 2022, ATX and Tectonic amended the agreement and extended the period of payment for the first fee due in May 2023. Additionally, Tectonic will be responsible for annual partnering fees if Tectonic decides to pursue clinical development of a product candidate using the ATX technology. The partnering fees may be creditable against future milestone development fees paid by Tectonic. Tectonic will also be responsible to pay ATX development milestone payments for the movement of certain product candidates thought clinical trials, which range from the low six digits to the low seven digits upon completion of each milestone and amount to $4.8 million in total milestone payments under the license agreement. Provided Tectonic is able to commercialize a product using ATX technology, Tectonic will be responsible to pay ATX commercial payments in the low seven digits per year during the first six years of commercial sales, amounting to an amount in the high eight digits in total commercial payments under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and 2022, Tectonic paid $0.1 million and $0 to ATX,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Adimab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 2023, Tectonic entered into a discovery agreement with Adimab, LLC (“Adimab”), an antibody discovery company, whereby Tectonic and Adimab are collaborating on human antibody discovery in accordance with an agreed upon research program. Tectonic paid an upfront technology access fee totaling $20,000 upon execution of the agreement during the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Tectonic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the option, with a non-creditable, non-refundable option exercise fee of $0.5 million,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Tectonic generates from products that utilize Adimab technology. Tectonic has the right to terminate the agreement if certain criteria are met. During the year ended December 31, 2023, Tectonic incurred $0.1 million of costs associated with the FTEs. </w:t>
      </w:r>
    </w:p>
    <w:p>
      <w:pPr>
        <w:pStyle w:val="TextBody"/>
        <w:bidi w:val="0"/>
        <w:spacing w:before="360" w:after="0"/>
        <w:jc w:val="left"/>
        <w:rPr>
          <w:rFonts w:ascii="Times New Roman" w:hAnsi="Times New Roman"/>
          <w:b/>
          <w:sz w:val="20"/>
        </w:rPr>
      </w:pPr>
      <w:bookmarkStart w:id="162" w:name="toc770053_167"/>
      <w:bookmarkEnd w:id="162"/>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Tectonic’s management’s discussion and analysis of its financial condition and results of operations is based on Tectonic’s consolidated financial statements, which have been prepared in accordance with generally accepted accounting principles in the United States, or GAAP. The preparation of these consolidated financial statements requires Tectonic to make estimates and assumptions that affect the reported amounts of assets and liabilities, the disclosures of contingent assets and liabilities at the date of the consolidated financial statements and the reported amounts of expenses during the reporting periods. Tectonic bases its estimates on historical experience, known trends and events, and various other assumptions that Tectonic believes are reasonable under the circumstances, the results of which form the basis for making judgments about the carrying values of assets and liabilities recorded expenses that are not readily apparent from other sources. Tectonic evaluates its estimates and assumptions on an ongoing basis. Actual results may differ from these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While Tectonic’s significant accounting policies are described in greater detail in Note 2 to Tectonic’s consolidated financial statements appearing at the end of this proxy statement/prospectus, Tectonic believes that the following accounting policies are those most critical to the judgements and estimates used in the preparation of Tectonic’s consolidated financial statements.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Prepaid and Accrued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process of preparing its consolidated financial statements, Tectonic is required to estimate its prepaid and accrued research and development expenses. This process involves estimating the level of service performed and the associated cost incurred for the services when Tectonic has not yet been invoiced or otherwise notified of actual costs. The majority of Tectonics’ service providers invoice Tectonic in arrears for services performed, on a pre-determined schedule or when contractual milestones are met; however, some require advance payments. Tectonic makes estimates of its prepaid and accrued research and development expenses as of each balance sheet date in the consolidated financial statements based on facts and circumstances known to Tectonic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Tectonic does not expect its estimates to be materially different from amounts actually incurred, Tectonic’s understanding of the status and timing of services performed relative to the actual status and timing of services performed may vary and may result in changes in estimates reported in the current period. To date, there have not been any material adjustments to Tectonic’s prior estimates of prepaid and accrued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SAFE Liabilities </w:t>
      </w:r>
    </w:p>
    <w:p>
      <w:pPr>
        <w:pStyle w:val="TextBody"/>
        <w:bidi w:val="0"/>
        <w:spacing w:before="240" w:after="0"/>
        <w:jc w:val="left"/>
        <w:rPr>
          <w:rFonts w:ascii="Times New Roman" w:hAnsi="Times New Roman"/>
          <w:sz w:val="20"/>
        </w:rPr>
      </w:pPr>
      <w:r>
        <w:rPr>
          <w:rFonts w:ascii="Times New Roman" w:hAnsi="Times New Roman"/>
          <w:sz w:val="20"/>
        </w:rPr>
        <w:t xml:space="preserve">Tectonic accounts for the SAFEs as liabilities at fair value and adjusts the liabilities to fair value at each period end date until a triggering event occurs that results in the settlement of the liabilities. Triggering events include an equity financing, public listing transaction, change of control and dissolution. Changes in the liabilities’ fair values are recognized in the Company’s statement of operations and comprehensive loss in change in fair value of SAFE liabilities. The fair value of the SAFEs has been estimated using probability-weighted scenario analyses and discount rates derived by application of the build-up method to reflect the cost of equity. </w:t>
      </w:r>
    </w:p>
    <w:p>
      <w:pPr>
        <w:pStyle w:val="TextBody"/>
        <w:bidi w:val="0"/>
        <w:spacing w:before="240" w:after="0"/>
        <w:jc w:val="left"/>
        <w:rPr>
          <w:rFonts w:ascii="Times New Roman" w:hAnsi="Times New Roman"/>
          <w:sz w:val="20"/>
        </w:rPr>
      </w:pPr>
      <w:r>
        <w:rPr>
          <w:rFonts w:ascii="Times New Roman" w:hAnsi="Times New Roman"/>
          <w:sz w:val="20"/>
        </w:rPr>
        <w:t xml:space="preserve">The valuation of the SAFE liabilities as of December 31, 2023, was determined based on a probability-weighted scenario analysis that assumed the probabilities of the occurrence of an equity financing, public listing transaction and dissolution to be 10.0%, 87.5% and 2.5% respectively. The estimated time to redemption used was five months for an equity financing and dissolution and four months for a public listing transaction. The valuation used a discount rate of 30.2% to approximate the cost of equity, which was derived from application of a build-up method that incorporated the risk-free rate at the valuation date, and adjustments to reflect market risk, a small stock premium, and a selected company-specific risk premium. The valuation of the SAFE liabilities at the October issuance date was determined using the same methodology; however, the discount rate was 30.9% due to the higher risk-free interest rate at the valuation date. In October 2023, the probabilities of the occurrence of an equity financing, public listing transaction and dissolution used were 87.5%, 10%, and 2.5%, respectively. The estimated time to redemption used was 1.5 months for an equity financing and 5.5 months for a public listing transaction and dissolution.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Tectonic measures stock options granted to employees and non-employees based on their fair value on the date of the grant using the Black-Scholes-Merton (“BSM”) option pricing model. Compensation expense for those awards is recognized over the requisite service period, which is generally the vesting period of the respective award for employees. Compensation expense for awards to non-employee with service-based 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conditions is recognized in the same manner as if Tectonic had paid cash in exchange for the goods or services, which is generally the over the vesting period of the award. Tectonic uses the straight-line method to recognize the expense of awards with service-based vesting conditions. Tectonic accounts for forfeitures of stock options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BSM requires the use of assumptions to determine the fair value of the stock options. The determination of fair value of the Tectonic common stock is described below. Other assumptions used in the BSM, the volatility of Tectonic’s common stock, the expected term of Tectonic’s common stock, the risk-free interest rate for a period that approximates the expected term of Tectonic’s common stock and Tectonic’s expected dividend yield, are determined by Tectonic management.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Tectonic’s common stock to date, the estimated fair value of Tectonic’s common stock has been determined by Tectonic’s Board as of the date of grant of each stock options, with input from management, considering Tectonic’s most recently available third-party valuations of Tectonic common stock and the Tectonic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and were prepared using the option pricing model (“OPM”). OPM uses option theory to value the various classes of Tectonic’s securities in light of their respective claims to the enterprise value. Total shareholders’ deficit value is allocated to the various share classes based upon their respective claims on a series of call options with strike prices at various value levels depending upon the rights and preferences of each class. A BSM is typically employed in this analysis, with an option term assumption that is consistent with Tectonic’s expected time to a liquidity event and a volatility assumption based on the estimated stock price volatility of a peer group of comparable public companies over a similar term. In addition to considering the results of these third-party valuations, the Tectonic Board considered various objective and subjective factors to determine the fair value of Tectonic’s common stock as of each grant date, including: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prices of Tectonic’s common stock at the time of each grant of stock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Tectonics’ research and development programs, including the status of preclinical studies and clinical trials for Tectonic’s product candidates;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stage of development and business strategy;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110"/>
        <w:gridCol w:w="60"/>
        <w:gridCol w:w="9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financial position, including cash on hand, and Tectonic’s historical and forecasted performance and operating results;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Tectonic’s common stock and Tectonic’s Series A convertible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such as an initial public offering, or IPO, merger or sale of Tectonic in light of prevailing market conditions; and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analysis of IPOs and market performance of similar companies in the biotechnology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Tectonic had used significantly different assumptions or estimates, the fair value of Tectonic’s common stock and Tectonic’s share-based compensation expense could have been materially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the merger is completed and there is a public trading market for Tectonic’s common stock, it will no longer be necessary for the Tectonic Board to estimate the fair value of Tectonics’ common stock in connection with Tectonics’ accounting for granted stock options or other such awards Tectonic may grant, as the fair value of Tectonic’s common stock and stock options will be determined based on the quoted market price of Tectonic’s common stock. </w:t>
      </w:r>
    </w:p>
    <w:p>
      <w:pPr>
        <w:pStyle w:val="TextBody"/>
        <w:bidi w:val="0"/>
        <w:spacing w:before="360" w:after="0"/>
        <w:jc w:val="left"/>
        <w:rPr>
          <w:rFonts w:ascii="Times New Roman" w:hAnsi="Times New Roman"/>
          <w:b/>
          <w:sz w:val="20"/>
        </w:rPr>
      </w:pPr>
      <w:bookmarkStart w:id="163" w:name="toc770053_168"/>
      <w:bookmarkEnd w:id="163"/>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Tectonic’s financial position, results of operations or cash flows is disclosed in Note 2 to Tectonic’s consolidated financial statements appearing in this prospectus. </w:t>
      </w:r>
    </w:p>
    <w:p>
      <w:pPr>
        <w:pStyle w:val="TextBody"/>
        <w:bidi w:val="0"/>
        <w:spacing w:before="360" w:after="0"/>
        <w:jc w:val="left"/>
        <w:rPr>
          <w:rFonts w:ascii="Times New Roman" w:hAnsi="Times New Roman"/>
          <w:b/>
          <w:sz w:val="20"/>
        </w:rPr>
      </w:pPr>
      <w:bookmarkStart w:id="164" w:name="toc770053_169"/>
      <w:bookmarkEnd w:id="164"/>
      <w:r>
        <w:rPr>
          <w:rFonts w:ascii="Times New Roman" w:hAnsi="Times New Roman"/>
          <w:b/>
          <w:sz w:val="20"/>
        </w:rPr>
        <w:t xml:space="preserve">Qualitative and Quantitative Disclosures about Market Risk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Tectonic’s primary exposure to market risk is to market risk related to interest rate sensitivity, which is affected by changes in the general level of U.S. interest rates. As of December 31, 2023, Tectonic had cash and cash equivalents of $28.8 million, which consisted of cash and money market funds. As of December 31, 2023, Tectonic had a finance lease liability and an operating lease liability of $1.4 million and $3.0 million, respectively. In October 2023 and December 2023, Tectonic issued SAFEs to Tectonic’s investors. Tectonic received the proceeds of $10.1 million from the October issuance and $24.0 million from the December issuance. Interest income and expenses are sensitive to changes in the general level of interest rates. However, due to the nature of these investments, an immediate 10% change in market interest rates would not have a material effect on the fair market value of Tectonic’s investment portfolio. </w:t>
      </w:r>
    </w:p>
    <w:p>
      <w:pPr>
        <w:pStyle w:val="TextBody"/>
        <w:bidi w:val="0"/>
        <w:spacing w:before="360" w:after="0"/>
        <w:jc w:val="left"/>
        <w:rPr>
          <w:rFonts w:ascii="Times New Roman" w:hAnsi="Times New Roman"/>
          <w:i/>
          <w:sz w:val="20"/>
        </w:rPr>
      </w:pPr>
      <w:r>
        <w:rPr>
          <w:rFonts w:ascii="Times New Roman" w:hAnsi="Times New Roman"/>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Tectonic’s results of operations and financial condition are presented based on historical cost. While it is difficult to accurately measure the impact of inflation due to the imprecise nature of the estimates required, Tectonic believes the effects of inflation, if any, on Tectonic’s results of operations and financial condition have been immaterial. Tectonic cannot assure you Tectonic’s business will not be affected in the future by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5" w:name="toc770053_170"/>
      <w:bookmarkEnd w:id="165"/>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b/>
          <w:sz w:val="20"/>
        </w:rPr>
      </w:pPr>
      <w:bookmarkStart w:id="166" w:name="toc770053_171"/>
      <w:bookmarkEnd w:id="166"/>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Resignation of Current Executive Officers of AVROBIO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all of the current executive officers of AVROBIO will resign immediately prior to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Directors of the Combined Organization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all of the directors of AVROBIO who are not continuing as directors will resign at or prior to the Effective Time. Prior to the Effective Time, the AVROBIO board of directors will elect the current directors of Tectonic to serve as members of the AVROBIO board of directors effective upon consummation of the merger. The combined company’s board of directors will initially be fixed at six members, consisting of (i) five Tectonic Board members, namely Alise Reicin, M.D., Terrance McGuire, Timothy A. Springer, Ph.D., Praveen Tipirneni, M.D. and Stefan Vitorovic, and (ii) one AVROBIO Board member, namely Phillip B. Donenberg. The staggered structure of the current AVROBIO Board will remain in place for the combined company following the completion of the merger. The division of our board into three classes with staggered three year terms will be decided by mutual agreement following the completion of the merger. The number of directors will be distributed among the three classes so that, as nearly as possible, each class will consist of one-third of the directors. A majority of the members of the board of directors of the combined organization following the merger are expected to satisfy the requisite independence requirements for the board of directors of the combined organization, as well as the sophistication and independence requirements for the required committees pursuant to Nasdaq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pursuant to the Merger Agreement, there are no arrangements or understandings between any of the expected directors or executive officers of the combined organization and any other person pursuant to which he or she was or is to be selected as a director or executive officer. There are no family relationships between any of the expected directors or executive officers of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the management team of AVROBIO is expected to be composed of the management team of Tectonic. The following table sets forth the names, ages, as of March 15, 2024 and positions of the individuals who are expected to serve as executives and directors of the combined company upon completion of the merger: </w:t>
      </w:r>
    </w:p>
    <w:p>
      <w:pPr>
        <w:pStyle w:val="TextBody"/>
        <w:bidi w:val="0"/>
        <w:spacing w:before="0" w:after="0"/>
        <w:jc w:val="left"/>
        <w:rPr/>
      </w:pPr>
      <w:r>
        <w:rPr/>
        <w:t> </w:t>
      </w:r>
    </w:p>
    <w:tbl>
      <w:tblPr>
        <w:tblW w:w="7905" w:type="dxa"/>
        <w:jc w:val="left"/>
        <w:tblInd w:w="0" w:type="dxa"/>
        <w:tblLayout w:type="fixed"/>
        <w:tblCellMar>
          <w:top w:w="0" w:type="dxa"/>
          <w:left w:w="0" w:type="dxa"/>
          <w:bottom w:w="0" w:type="dxa"/>
          <w:right w:w="0" w:type="dxa"/>
        </w:tblCellMar>
      </w:tblPr>
      <w:tblGrid>
        <w:gridCol w:w="2225"/>
        <w:gridCol w:w="120"/>
        <w:gridCol w:w="79"/>
        <w:gridCol w:w="346"/>
        <w:gridCol w:w="60"/>
        <w:gridCol w:w="120"/>
        <w:gridCol w:w="495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Executive Officers</w:t>
            </w: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Executive Officer and 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Operating Officer and Chief Financial Officer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Scientific Officer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Medical Officer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Business Officer</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Non-Employee Directors</w:t>
            </w: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Alise Reicin, M.D.</w:t>
      </w:r>
      <w:r>
        <w:rPr>
          <w:rFonts w:ascii="Times New Roman" w:hAnsi="Times New Roman"/>
          <w:sz w:val="20"/>
        </w:rPr>
        <w:t xml:space="preserve"> has served as Tectonic’s President and Chief Executive Officer since August 2020. Prior to joining Tectonic, Dr. Reicin served as President, Global Clinical Development at Celgene Corporation,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public pharmaceutical company, from November 2018 to December 2019 and was a member of the Executive Committee. Prior to Celgene, she served as Head of Global Clinical Development at EMD Serono Inc., a privately held pharmaceutical company, from May 2015 to October 2018. Prior to EMD Serono, Dr. Reicin served as Vice President, Program and Pipeline Leadership, Oncology at Merck &amp; Co., Inc., a public pharmaceutical company. Prior to Merck, she was a faculty member at Columbia Medical School and a physician and researcher at Columbia Presbyterian Hospital. While at Merck, Dr. Reicin led the team that brought Keytruda from Phase 1 through its initial approvals and over the course of her career she has played a leadership role in the development and approval of over 10 novel medicines across a broad range of therapeutic areas. Dr. Reicin serves on the board of directors of Homology Medicines, Inc., a public biopharmaceutical company and Sana Biotechnology, Inc., a public cell and gene therapy company. Dr. Reicin earned a B.A. in Biochemistry from Barnard College of Columbia University. She earned a M.D. in Medicine from Harvard University. Tectonic believes that Dr. Reicin is qualified to serve on its board of directors due to her clinical expertise and leadership roles in the biotechnology and biopharmaceuticals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Christian Cortis, Ph.D. </w:t>
      </w:r>
      <w:r>
        <w:rPr>
          <w:rFonts w:ascii="Times New Roman" w:hAnsi="Times New Roman"/>
          <w:sz w:val="20"/>
        </w:rPr>
        <w:t xml:space="preserve">was appointed Tectonic’s Chief Operating Officer in August 2020 and was later also appointed as Tectonic’s Chief Financial Officer. Prior to that, Dr. Cortis served as Tectonic’s Interim CEO from August 2019 to August 2020. Prior to joining Tectonic, Dr. Cortis held positions of increasing responsibility at Agenus, Inc. from 2015 to 2019, where he most recently served as the Chief Strategy Officer and Head of Finance. Dr. Cortis’ experience also includes earlier roles as Head of Business Development for Synta Pharmaceuticals, Inc., and as Principal with Advanced Technology Ventures where he oversaw and participated in investment transactions into private companies in the biotech and healthcare sector. In addition, Dr. Cortis was a member of the board of directors of OpenEye Scientific Software from November 2015 to August 2022 until its acquisition by Cadence Design Systems, Inc. in 2022. Dr. Cortis earned a B.Sc. in Mathematics and Physics from McGill University and a M.Sc. in Applied Physics from Columbia University. Dr. Cortis earned his Ph.D in Applied Mathematics and Theoretical Chemistry from Columbia University. </w:t>
      </w:r>
    </w:p>
    <w:p>
      <w:pPr>
        <w:pStyle w:val="TextBody"/>
        <w:bidi w:val="0"/>
        <w:spacing w:before="240" w:after="0"/>
        <w:jc w:val="left"/>
        <w:rPr>
          <w:rFonts w:ascii="Times New Roman" w:hAnsi="Times New Roman"/>
          <w:sz w:val="20"/>
        </w:rPr>
      </w:pPr>
      <w:r>
        <w:rPr>
          <w:rFonts w:ascii="Times New Roman" w:hAnsi="Times New Roman"/>
          <w:b/>
          <w:i/>
          <w:sz w:val="20"/>
        </w:rPr>
        <w:t>Peter McNamara, Ph.D.</w:t>
      </w:r>
      <w:r>
        <w:rPr>
          <w:rFonts w:ascii="Times New Roman" w:hAnsi="Times New Roman"/>
          <w:sz w:val="20"/>
        </w:rPr>
        <w:t xml:space="preserve"> has served as Tectonic’s Chief Scientific Officer since June 2022. Prior to that, Dr. McNamara served as Senior Vice President, Head of Research at Tectonic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 </w:t>
      </w:r>
    </w:p>
    <w:p>
      <w:pPr>
        <w:pStyle w:val="TextBody"/>
        <w:bidi w:val="0"/>
        <w:spacing w:before="240" w:after="0"/>
        <w:jc w:val="left"/>
        <w:rPr>
          <w:rFonts w:ascii="Times New Roman" w:hAnsi="Times New Roman"/>
          <w:sz w:val="20"/>
        </w:rPr>
      </w:pPr>
      <w:r>
        <w:rPr>
          <w:rFonts w:ascii="Times New Roman" w:hAnsi="Times New Roman"/>
          <w:b/>
          <w:i/>
          <w:sz w:val="20"/>
        </w:rPr>
        <w:t>Marcella K. Ruddy,</w:t>
      </w:r>
      <w:r>
        <w:rPr>
          <w:rFonts w:ascii="Times New Roman" w:hAnsi="Times New Roman"/>
          <w:sz w:val="20"/>
        </w:rPr>
        <w:t xml:space="preserve"> </w:t>
      </w:r>
      <w:r>
        <w:rPr>
          <w:rFonts w:ascii="Times New Roman" w:hAnsi="Times New Roman"/>
          <w:b/>
          <w:i/>
          <w:sz w:val="20"/>
        </w:rPr>
        <w:t>M.D.</w:t>
      </w:r>
      <w:r>
        <w:rPr>
          <w:rFonts w:ascii="Times New Roman" w:hAnsi="Times New Roman"/>
          <w:sz w:val="20"/>
        </w:rPr>
        <w:t xml:space="preserve"> has served as Tectonic’s Chief Medical Officer since July 2021. She has over 20 years of experience in drug development across all stages of clinical drug development. She currently serves as a member of the board of directors of Polarean Imaging plc and Upstream Bio, Inc. and has since August 2022 and January 2023, respectively. Prior to joining Tectonic’s team, Dr. Ruddy was the Head of Clinical Development for the Immunology/Inflammation Therapeutic Area at Regeneron Pharmaceuticals. In that role she led the clinical development of Dupixent®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Marc Schwabish, Ph.D.</w:t>
      </w:r>
      <w:r>
        <w:rPr>
          <w:rFonts w:ascii="Times New Roman" w:hAnsi="Times New Roman"/>
          <w:sz w:val="20"/>
        </w:rPr>
        <w:t xml:space="preserve"> has served as Tectonic’s Chief Business Officer since March 2021. Prior to joining Tectonic, Dr. Schwabish served as SVP 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Heard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Phillip B. Donenberg</w:t>
      </w:r>
      <w:r>
        <w:rPr>
          <w:rFonts w:ascii="Times New Roman" w:hAnsi="Times New Roman"/>
          <w:sz w:val="20"/>
        </w:rPr>
        <w:t xml:space="preserve"> has served as a member of the AVROBIO Board since June 2018. Mr. Donenberg served as senior vice 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a gene therapy company, and also has experience serving on the boards of directors of privately held companies. Mr. Donenberg holds a B.S. in accountancy from the University of Illinois Champaign-Urbana College of Business and is a Certified Public Accountant. Mr. Donenberg is expected to be appointed to serve on the board of directors of the combined organization because of his financial expertise and his experience as an executive of companies in the life sciences industry. </w:t>
      </w:r>
    </w:p>
    <w:p>
      <w:pPr>
        <w:pStyle w:val="TextBody"/>
        <w:bidi w:val="0"/>
        <w:spacing w:before="240" w:after="0"/>
        <w:jc w:val="left"/>
        <w:rPr>
          <w:rFonts w:ascii="Times New Roman" w:hAnsi="Times New Roman"/>
          <w:sz w:val="20"/>
        </w:rPr>
      </w:pPr>
      <w:r>
        <w:rPr>
          <w:rFonts w:ascii="Times New Roman" w:hAnsi="Times New Roman"/>
          <w:b/>
          <w:i/>
          <w:sz w:val="20"/>
        </w:rPr>
        <w:t>Terrance McGuire</w:t>
      </w:r>
      <w:r>
        <w:rPr>
          <w:rFonts w:ascii="Times New Roman" w:hAnsi="Times New Roman"/>
          <w:sz w:val="20"/>
        </w:rPr>
        <w:t xml:space="preserve"> has served as a member of the Tectonic Board since Tectonic commenced operations as an independent company in February 2020. Mr. McGuire was a co-founder and is currently a general partner of Polaris Partners. He serves on the board of directors of several private companies and currently serves on the board of directors of Cyclerion Therapeutics Inc., Alector Inc., Seer Inc. and Invivyd Inc. Mr. McGuire has also served on the board of Pulmatrix Inc. Mr. McGuire is the former chairman of the National Venture Capital Association, which represents ninety percent of the venture capitalists in the U.S., chairman of the board of the Thayer School of Engineering at Dartmouth College, and a member of the boards of The David H. Koch Institute for Integrative Cancer Research at the Massachusetts Institute of Technology and The Arthur Rock Center for Entrepreneurship at Harvard Business School. Mr. McGuire earned a B.S. in physics and economics from Hobart College, an M.S. in engineering from The Thayer School at Dartmouth College, and an M.B.A. from Harvard Business School. Mr. McGuire is expected to be appointed to serve on the board of directors of the combined organization because of his extensive experiences as a venture capitalist focused on the biotechnology industry, as well as many years of experience as a director of biotechnology companies guiding them in the execution of their corporate strategy and objectives. </w:t>
      </w:r>
    </w:p>
    <w:p>
      <w:pPr>
        <w:pStyle w:val="TextBody"/>
        <w:bidi w:val="0"/>
        <w:spacing w:before="240" w:after="0"/>
        <w:jc w:val="left"/>
        <w:rPr>
          <w:rFonts w:ascii="Times New Roman" w:hAnsi="Times New Roman"/>
          <w:sz w:val="20"/>
        </w:rPr>
      </w:pPr>
      <w:r>
        <w:rPr>
          <w:rFonts w:ascii="Times New Roman" w:hAnsi="Times New Roman"/>
          <w:b/>
          <w:i/>
          <w:sz w:val="20"/>
        </w:rPr>
        <w:t>Timothy A. Springer</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co-founded Tectonic in June 2019 and has served as a scientific advisor to Tectonic and as a member of the Tectonic Board since June 2019. Dr. Springer served as Chief Executive Officer of Tectonic from June 2019 until August 2019 and as President of Tectonic from June 2019 until August 2020. Since 1989, Dr. Springer has served as the Latham Family Professor at Harvard Medical School. He has also served as Senior Investigator in the Program in Cellular and Molecular Medicine at Boston Children’s Hospital since 2012, and as a Professor of Biological Chemistry and Molecular Pharmacology at Harvard Medical School and Professor of Medicine at Boston Children’s Hospital since 2011. He was also the founder of Morphic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Technology, Inc. and has served as a scientific advisor and as a member of its board of directors since June 2015. He has also served Selecta Biosciences Inc. as a scientific advisor since December 2008 and as a member of its Board since June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the Canada International Gairdner Award, and the Lasker Basic Medical Research Award. Dr. Springer received a B.A. in Biochemistry from the University of California, Berkeley, and a Ph.D. in Biochemistry and Molecular Biology from Harvard University. Dr. Springer is expected to be appointed to serve on the board of directors of the combined organization because of his extensive knowledge of the integrin field and his investment, business and board experience with biopharmaceutical companies. </w:t>
      </w:r>
    </w:p>
    <w:p>
      <w:pPr>
        <w:pStyle w:val="TextBody"/>
        <w:bidi w:val="0"/>
        <w:spacing w:before="240" w:after="0"/>
        <w:jc w:val="left"/>
        <w:rPr>
          <w:rFonts w:ascii="Times New Roman" w:hAnsi="Times New Roman"/>
          <w:sz w:val="20"/>
        </w:rPr>
      </w:pPr>
      <w:r>
        <w:rPr>
          <w:rFonts w:ascii="Times New Roman" w:hAnsi="Times New Roman"/>
          <w:b/>
          <w:i/>
          <w:sz w:val="20"/>
        </w:rPr>
        <w:t>Praveen Tipirneni</w:t>
      </w:r>
      <w:r>
        <w:rPr>
          <w:rFonts w:ascii="Times New Roman" w:hAnsi="Times New Roman"/>
          <w:sz w:val="20"/>
        </w:rPr>
        <w:t xml:space="preserve">, </w:t>
      </w:r>
      <w:r>
        <w:rPr>
          <w:rFonts w:ascii="Times New Roman" w:hAnsi="Times New Roman"/>
          <w:b/>
          <w:i/>
          <w:sz w:val="20"/>
        </w:rPr>
        <w:t>M.D.</w:t>
      </w:r>
      <w:r>
        <w:rPr>
          <w:rFonts w:ascii="Times New Roman" w:hAnsi="Times New Roman"/>
          <w:sz w:val="20"/>
        </w:rPr>
        <w:t xml:space="preserve"> has served as a member of the Tectonic Board since February 2020. Dr. Tipirneni currently serves as Chief Executive Officer and as a member of the board of directors of Morphic Holding, Inc., a position he has held since July 2015. Dr. Tipirneni received a B.A. in Mechanical Engineering from Massachusetts Institute of Technology, an M.D. from McGill University and an M.B.A. from the Wharton School of Business of the University of Pennsylvania. Dr. Tipirneni is expected to be appointed to serve on the board of directors of the combined organization because of his experience with biotechnology companies, including working with and serving in various executive positions in life sciences companies. </w:t>
      </w:r>
    </w:p>
    <w:p>
      <w:pPr>
        <w:pStyle w:val="TextBody"/>
        <w:bidi w:val="0"/>
        <w:spacing w:before="240" w:after="0"/>
        <w:jc w:val="left"/>
        <w:rPr>
          <w:rFonts w:ascii="Times New Roman" w:hAnsi="Times New Roman"/>
          <w:sz w:val="20"/>
        </w:rPr>
      </w:pPr>
      <w:r>
        <w:rPr>
          <w:rFonts w:ascii="Times New Roman" w:hAnsi="Times New Roman"/>
          <w:b/>
          <w:i/>
          <w:sz w:val="20"/>
        </w:rPr>
        <w:t>Stefan Vitorovic, M.S., M.B.A.,</w:t>
      </w:r>
      <w:r>
        <w:rPr>
          <w:rFonts w:ascii="Times New Roman" w:hAnsi="Times New Roman"/>
          <w:sz w:val="20"/>
        </w:rPr>
        <w:t xml:space="preserve"> has served as a member of our board of directors since August 2021. Mr. Vitorovic is the co-founder and Managing Director of Vida Ventures, a role he has served in since January 2017. Prior to founding Vida Ventures, Mr. Vitorovic was an investment professional at Third Rock Ventures, an early-stage life sciences venture capital firm, from July 2014 to January 2017. At Third Rock, he was part of the founding team of Decibel Therapeutics, Inc. (acquired by Regeneron Pharmaceuticals, Inc.), a hearing-focused drug discovery and development platform company. Before Third Rock, he was an investor at TPG Capital from August 2012 to June 2014, where he focused on majority, control stakes in healthcare companies. Mr. Vitorovic worked on a variety of equity and debt financings, including Aptalis Pharmaceutical Technologies (now Adare Pharma Solutions) and Biomet, Inc. (now Zimmer Biomet Holdings, Inc. (NYSE: ZBH)). Prior to TPG, Mr. Vitorovic was an investment banker at Credit Suisse’s healthcare banking group from 2004 to 2008. Mr. Vitorovic currently serves on the board of directors of Vigil Neuroscience, Inc. (NASDAQ: VIGL), Volastra Therapeutics, Inc., and Souffle Therapeutics, Inc. He was previously a board observer of Oyster Point Pharma, Inc. (formerly NASDAQ: OYST), Dyne Therapeutics (NASDAQ: DYN) and Sutro Biopharma, Inc. (NASDAQ: STRO), and a board member of Kyverna Therapeutics, Inc. (NASDAQ: KYTX) and Praxis Precision Medicines, Inc. (NASDAQ: PRAX) from 2018 to 2022. He received a B.S. with Honors in Biological Sciences and an M.S. in Biology from Stanford University, where he conducted biomedical research in the lab of Dr. Helen Blau at Stanford Medical School. Mr. Vitorovic received his M.B.A. from Harvard Business School. We believe Mr. Vitorovic is qualified to serve on our board of directors because of his deep expertise in life sciences research and investing, as well as his extensive experience in new company formation and operations. </w:t>
      </w:r>
    </w:p>
    <w:p>
      <w:pPr>
        <w:pStyle w:val="TextBody"/>
        <w:bidi w:val="0"/>
        <w:spacing w:before="360" w:after="0"/>
        <w:jc w:val="left"/>
        <w:rPr>
          <w:rFonts w:ascii="Times New Roman" w:hAnsi="Times New Roman"/>
          <w:b/>
          <w:sz w:val="20"/>
        </w:rPr>
      </w:pPr>
      <w:bookmarkStart w:id="167" w:name="toc770053_172"/>
      <w:bookmarkEnd w:id="167"/>
      <w:r>
        <w:rPr>
          <w:rFonts w:ascii="Times New Roman" w:hAnsi="Times New Roman"/>
          <w:b/>
          <w:sz w:val="20"/>
        </w:rPr>
        <w:t xml:space="preserve">Election of Officers </w:t>
      </w:r>
    </w:p>
    <w:p>
      <w:pPr>
        <w:pStyle w:val="TextBody"/>
        <w:bidi w:val="0"/>
        <w:spacing w:before="120" w:after="0"/>
        <w:jc w:val="left"/>
        <w:rPr>
          <w:rFonts w:ascii="Times New Roman" w:hAnsi="Times New Roman"/>
          <w:sz w:val="20"/>
        </w:rPr>
      </w:pPr>
      <w:r>
        <w:rPr>
          <w:rFonts w:ascii="Times New Roman" w:hAnsi="Times New Roman"/>
          <w:sz w:val="20"/>
        </w:rPr>
        <w:t xml:space="preserve">Each executive officer will serve at the discretion of the combined company’s board of directors and holds office until his or her successor is duly elected and qualified or until his or her earlier resignation or removal. </w:t>
      </w:r>
    </w:p>
    <w:p>
      <w:pPr>
        <w:pStyle w:val="TextBody"/>
        <w:bidi w:val="0"/>
        <w:spacing w:before="360" w:after="0"/>
        <w:jc w:val="left"/>
        <w:rPr>
          <w:rFonts w:ascii="Times New Roman" w:hAnsi="Times New Roman"/>
          <w:b/>
          <w:sz w:val="20"/>
        </w:rPr>
      </w:pPr>
      <w:bookmarkStart w:id="168" w:name="toc770053_173"/>
      <w:bookmarkEnd w:id="168"/>
      <w:r>
        <w:rPr>
          <w:rFonts w:ascii="Times New Roman" w:hAnsi="Times New Roman"/>
          <w:b/>
          <w:sz w:val="20"/>
        </w:rPr>
        <w:t xml:space="preserve">Board of Directors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All of AVROBIO’s current directors, other than Phillip B. Donenberg, are expected to resign from their positions as directors of AVROBIO, effective as of the effective time. The AVROBIO Board currently consists of seven members, divided into three staggered classes, with one class to be elected at each annual meeting to serve for a three-year term. The staggered structure of the board of directors will remain in place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combined company following the completion of the merger. It is anticipated that the incoming directors will be appointed to applicable vacant director seats of the combined company’s board of directors following the resignation of the AVROBIO directors as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the proposed combined company’s directors or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AVROBIO and Tectonic anticipate that the board of directors of the combined company will establish an audit committee, a compensation committee and a nominating and corporate governance committee, each of which will operate pursuant to a charter adopted by the board of directors of the combined company. AVROBIO and Tectonic believe that following the completion of the merger the functioning and composition of these committees will comply with the requirements of Sarbanes-Oxley Act of 2002, Nasdaq listing rules and SEC rules and regulations. The board of directors of the combined company may also establish other committees from time to time to assist the combined company and its board of directors. Each of the audit committee, compensation committee and nominating and corporate governance committee is expected to have the responsibilities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audit committee are expected to be Phillip Donenberg, Terrance McGuire and Stefan Vitorovic, each of whom qualifies as an independent director for audit committee purposes, as defined under the rules of the SEC and the applicable Nasdaq listing rules and has sufficient knowledge in financial and auditing matters to serve on the combined company’s audit committee. Phillip Donenberg is expected to chair the audit committee. Philip Donenberg is an “audit committee financial expert” as defined in Item 407(d)(5)(ii) of Regulation S-K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audit committee will be to oversee the combined company’s accounting and financial reporting processes, including the audits of the financial statements, and the internal and external audit processes. The audit committee will also oversee the system of internal controls established by management and AVROBIO’s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compensation committee are expected to be Praveen Tipirneni and Stefan Vitorovic, each of whom qualifies as an independent director, as defined under applicable Nasdaq listing rules and also meets the additional, heightened independence criteria applicable to members of the compensation committee. Praveen Tipirneni is expected to chair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executive officers, evaluating the performance of these officers in light of the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objectives and setting the officers’ compensation. The compensation committee will also administer and make recommendations to the combined company’s board of directors regarding equity incentive plans that are subject to the board of directors’ approval and approve the grant of equity awards under the plans. </w:t>
      </w:r>
    </w:p>
    <w:p>
      <w:pPr>
        <w:pStyle w:val="TextBody"/>
        <w:bidi w:val="0"/>
        <w:spacing w:before="360" w:after="0"/>
        <w:jc w:val="left"/>
        <w:rPr>
          <w:rFonts w:ascii="Times New Roman" w:hAnsi="Times New Roman"/>
          <w:i/>
          <w:sz w:val="20"/>
        </w:rPr>
      </w:pPr>
      <w:r>
        <w:rPr>
          <w:rFonts w:ascii="Times New Roman" w:hAnsi="Times New Roman"/>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nominating and corporate governance committee are expected to be Timothy Springer and Terrance McGuire, each of whom qualifies as an independent director, as defined under applicable Nasdaq listing rules. Timothy Springer is expected to chair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nominating and corporate governance committee will be responsible for engaging in succession planning for the combined company’s board of directors, developing and recommending to the combined company’s board of directors criteria for identifying and evaluating qualified director candidates and making recommendations to the combined company’s board of directors regarding candidates for election or reelection to the board of directors at each annual stockholders’ meeting. In addition, the nominating and corporate governance committee will be responsible for overseeing the combined company’s corporate governance practices and making recommendations to the board of directors concerning corporate governance matters. The nominating and corporate governance committee will also be responsible for making recommendations to the board of directors concerning the structure, composition and functioning of the combined company’s board of directors and its committees. </w:t>
      </w:r>
    </w:p>
    <w:p>
      <w:pPr>
        <w:pStyle w:val="TextBody"/>
        <w:bidi w:val="0"/>
        <w:spacing w:before="360" w:after="0"/>
        <w:jc w:val="left"/>
        <w:rPr>
          <w:rFonts w:ascii="Times New Roman" w:hAnsi="Times New Roman"/>
          <w:b/>
          <w:sz w:val="20"/>
        </w:rPr>
      </w:pPr>
      <w:bookmarkStart w:id="169" w:name="toc770053_174"/>
      <w:bookmarkEnd w:id="169"/>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the combined company’s compensation committee has at any time been one of the officers or employees of the combined company since its inception.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company’s board of directors or compensation committee following the completion of the merger. </w:t>
      </w:r>
    </w:p>
    <w:p>
      <w:pPr>
        <w:pStyle w:val="TextBody"/>
        <w:bidi w:val="0"/>
        <w:spacing w:before="360" w:after="0"/>
        <w:jc w:val="left"/>
        <w:rPr>
          <w:rFonts w:ascii="Times New Roman" w:hAnsi="Times New Roman"/>
          <w:b/>
          <w:sz w:val="20"/>
        </w:rPr>
      </w:pPr>
      <w:bookmarkStart w:id="170" w:name="toc770053_175"/>
      <w:bookmarkEnd w:id="170"/>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combined company will adopt a Code of Conduct and Ethics that establishes the standards of ethical conduct applicable to all of the combined company’s directors, officers and employees. The full text of the combined company’s Code of Conduct and Ethics will be posted on the combined company’s website at </w:t>
      </w:r>
      <w:r>
        <w:rPr>
          <w:rFonts w:ascii="Times New Roman" w:hAnsi="Times New Roman"/>
          <w:i/>
          <w:sz w:val="20"/>
        </w:rPr>
        <w:t>www.tectonictx.com</w:t>
      </w:r>
      <w:r>
        <w:rPr>
          <w:rFonts w:ascii="Times New Roman" w:hAnsi="Times New Roman"/>
          <w:sz w:val="20"/>
        </w:rPr>
        <w:t xml:space="preserve">. The Code of Conduct and Ethics will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 </w:t>
      </w:r>
    </w:p>
    <w:p>
      <w:pPr>
        <w:pStyle w:val="TextBody"/>
        <w:bidi w:val="0"/>
        <w:spacing w:before="360" w:after="0"/>
        <w:jc w:val="left"/>
        <w:rPr>
          <w:rFonts w:ascii="Times New Roman" w:hAnsi="Times New Roman"/>
          <w:b/>
          <w:sz w:val="20"/>
        </w:rPr>
      </w:pPr>
      <w:bookmarkStart w:id="171" w:name="toc770053_176"/>
      <w:bookmarkEnd w:id="171"/>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Prior to the merger, Tectonic did not have a formal policy to provide any cash or equity compensation to its non-employee directors for their service on the Tectonic Board or committees of the Tectonic Board. Tectonic’s non-employee director compensation is described in the section titled “</w:t>
      </w:r>
      <w:r>
        <w:rPr>
          <w:rFonts w:ascii="Times New Roman" w:hAnsi="Times New Roman"/>
          <w:i/>
          <w:sz w:val="20"/>
        </w:rPr>
        <w:t>Tectonic’s Executive and Director Compensation</w:t>
      </w:r>
      <w:r>
        <w:rPr>
          <w:rFonts w:ascii="Times New Roman" w:hAnsi="Times New Roman"/>
          <w:sz w:val="20"/>
        </w:rPr>
        <w:t xml:space="preserve">” beginning on page 297 of this proxy statement/prospectus. Except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determinations with respect to director compensation after the closing have not yet been made. In connection with closing of the merger, it is expected that the board of directors of the combined company will adopt a non-employee director compensation policy, designed to enable the combined company to attract and retain, on a long-term basis, highly qualified non-employee directors and align its directors’ interests with those of its stockholders. Employee directors will not receive additional compensation for their services as directors. Each director who is not an employee will be paid cash compensation for serving on the board of directors of the combined company, the amount and terms of which have not yet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non-employee elected or appointed to the board of directors of the combined company will be granted an initial stock option award and an annual stock option award, the amount and terms of which have not yet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reimburse its non-employee directors for reasonable travel and out-of-pocket expenses incurred in connection with attending the board of director and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2" w:name="toc770053_177"/>
      <w:bookmarkEnd w:id="172"/>
      <w:r>
        <w:rPr>
          <w:rFonts w:ascii="Times New Roman" w:hAnsi="Times New Roman"/>
          <w:b/>
          <w:sz w:val="20"/>
        </w:rPr>
        <w:t xml:space="preserve">CERTAIN RELATIONSHIPS AND RELATED PARTY TRANSACTIONS </w:t>
      </w:r>
    </w:p>
    <w:p>
      <w:pPr>
        <w:pStyle w:val="TextBody"/>
        <w:bidi w:val="0"/>
        <w:spacing w:before="0" w:after="0"/>
        <w:jc w:val="center"/>
        <w:rPr>
          <w:rFonts w:ascii="Times New Roman" w:hAnsi="Times New Roman"/>
          <w:b/>
          <w:sz w:val="20"/>
        </w:rPr>
      </w:pPr>
      <w:r>
        <w:rPr>
          <w:rFonts w:ascii="Times New Roman" w:hAnsi="Times New Roman"/>
          <w:b/>
          <w:sz w:val="20"/>
        </w:rPr>
        <w:t xml:space="preserve">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agreements and other arrangements with AVROBIO’s and Tectonic’s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w:t>
      </w:r>
      <w:r>
        <w:rPr>
          <w:rFonts w:ascii="Times New Roman" w:hAnsi="Times New Roman"/>
          <w:i/>
          <w:sz w:val="20"/>
        </w:rPr>
        <w:t>Tectonic Executive and Director Compensation</w:t>
      </w:r>
      <w:r>
        <w:rPr>
          <w:rFonts w:ascii="Times New Roman" w:hAnsi="Times New Roman"/>
          <w:sz w:val="20"/>
        </w:rPr>
        <w:t>” and “</w:t>
      </w:r>
      <w:r>
        <w:rPr>
          <w:rFonts w:ascii="Times New Roman" w:hAnsi="Times New Roman"/>
          <w:i/>
          <w:sz w:val="20"/>
        </w:rPr>
        <w:t>AVROBIO Executive Compensation</w:t>
      </w:r>
      <w:r>
        <w:rPr>
          <w:rFonts w:ascii="Times New Roman" w:hAnsi="Times New Roman"/>
          <w:sz w:val="20"/>
        </w:rPr>
        <w:t xml:space="preserve">,” beginning on pages 427 and 284, respectively, of this proxy statement/prospectus, the following is a description of each transaction involving AVROBIO since January 1, 2022, each transaction involving Tectonic since January 1, 2022 and each currently proposed transaction in which: </w:t>
      </w:r>
    </w:p>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Tectonic or AVROBIO has been or is to be a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Tectonic’s or AVROBIO’s total assets at year-end for the last two completed fiscal years, as applicable;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Tectonic’s or AVROBIO’s directors, executive officers or holders of more than 5% of Tectonic’s or AVROBIO’s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Tectonic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Private Financings </w:t>
      </w:r>
    </w:p>
    <w:p>
      <w:pPr>
        <w:pStyle w:val="TextBody"/>
        <w:bidi w:val="0"/>
        <w:spacing w:before="120" w:after="0"/>
        <w:jc w:val="left"/>
        <w:rPr>
          <w:rFonts w:ascii="Times New Roman" w:hAnsi="Times New Roman"/>
          <w:i/>
          <w:sz w:val="20"/>
        </w:rPr>
      </w:pPr>
      <w:r>
        <w:rPr>
          <w:rFonts w:ascii="Times New Roman" w:hAnsi="Times New Roman"/>
          <w:i/>
          <w:sz w:val="20"/>
        </w:rPr>
        <w:t xml:space="preserve">Series A Preferred Stock Financing – Subsequent Milestone Closing </w:t>
      </w:r>
    </w:p>
    <w:p>
      <w:pPr>
        <w:pStyle w:val="TextBody"/>
        <w:bidi w:val="0"/>
        <w:spacing w:before="240" w:after="0"/>
        <w:jc w:val="left"/>
        <w:rPr>
          <w:rFonts w:ascii="Times New Roman" w:hAnsi="Times New Roman"/>
          <w:sz w:val="20"/>
        </w:rPr>
      </w:pPr>
      <w:r>
        <w:rPr>
          <w:rFonts w:ascii="Times New Roman" w:hAnsi="Times New Roman"/>
          <w:sz w:val="20"/>
        </w:rPr>
        <w:t xml:space="preserve">In June 2022, the Tectonic Board determined that Tectonic had achieved the milestone events pursuant to the terms of its Series A Preferred Stock Purchase Agreement and issued and sold to certain investors (i) an aggregate additional 2,450,163 shares of Tectonic’s Series A-1 Preferred Stock, and (ii) an additional 437,282 shares of Tectonic’s Series A-2 Preferred Stock in a subsequent closing, at a purchase price of $13.1876 per share for an aggregate purchase price of $38,028,475.61 (the “Milestone Closing”).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Tectonic Series A Preferred Stock by Tectonic’s related persons in the Milestone Closing: </w:t>
      </w:r>
    </w:p>
    <w:p>
      <w:pPr>
        <w:pStyle w:val="TextBody"/>
        <w:bidi w:val="0"/>
        <w:spacing w:before="0" w:after="0"/>
        <w:jc w:val="left"/>
        <w:rPr/>
      </w:pPr>
      <w:r>
        <w:rPr/>
        <w:t> </w:t>
      </w:r>
    </w:p>
    <w:tbl>
      <w:tblPr>
        <w:tblW w:w="7098" w:type="dxa"/>
        <w:jc w:val="left"/>
        <w:tblInd w:w="0" w:type="dxa"/>
        <w:tblLayout w:type="fixed"/>
        <w:tblCellMar>
          <w:top w:w="0" w:type="dxa"/>
          <w:left w:w="0" w:type="dxa"/>
          <w:bottom w:w="0" w:type="dxa"/>
          <w:right w:w="0" w:type="dxa"/>
        </w:tblCellMar>
      </w:tblPr>
      <w:tblGrid>
        <w:gridCol w:w="3275"/>
        <w:gridCol w:w="120"/>
        <w:gridCol w:w="73"/>
        <w:gridCol w:w="981"/>
        <w:gridCol w:w="60"/>
        <w:gridCol w:w="120"/>
        <w:gridCol w:w="73"/>
        <w:gridCol w:w="981"/>
        <w:gridCol w:w="60"/>
        <w:gridCol w:w="120"/>
        <w:gridCol w:w="60"/>
        <w:gridCol w:w="1100"/>
        <w:gridCol w:w="7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b/>
              </w:rPr>
            </w:pPr>
            <w:r>
              <w:rPr>
                <w:b/>
              </w:rPr>
              <w:t>Stockholder</w:t>
            </w:r>
          </w:p>
        </w:tc>
        <w:tc>
          <w:tcPr>
            <w:tcW w:w="12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Series A-1</w:t>
              <w:br/>
              <w:t>Preferred</w:t>
              <w:br/>
              <w:t>Stock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Series A-2</w:t>
              <w:br/>
              <w:t>Preferred</w:t>
              <w:br/>
              <w:t>Stock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971,238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437,282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18,574,998</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Ventures(1)</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659,980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8,703,552</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L.P.(2)</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568,716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7,499,999</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Founders Capital Fund I, L.P.(3)</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18,957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249,997</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Reicin Inc.(4)</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11,374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149,995</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642,161 shares purchased by Vida Ventures II, LLC (“Vida II Main Fund”) and (ii) 17,819 shares purchased by Vida Ventures II-A, LLC (“Vida II Parallel Fund,” and together with the Vida II Main Fund, “Vida II”). VV Manager II, LLC (“VV Manager II”) is the manager of Vida II. Stefan Vitorovic serves as a director on the Tectonic Board and is a member of the investment committee of VV Manager II, which is affiliated with Vida Ventures. Entities affiliated with Vida Ventures collectively hold more than five percent of Tectonic’s outstanding capital stock.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Polaris Partners IX, L.P. (“PP IX”) owns more than five percent of Tectonic’s outstanding capital stock. Terrance McGuire serves as a director on the Tectonic Board and holds an interest in Polaris Partners GP IX, L.L.C., the general partner of PP IX.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Terrance McGuire serves as a director on the Tectonic Board and is a managing member of Polaris Founders Capital Management Co. I, L.L.C., the general partner of Polaris Founders Capital Fund I,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(4)</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Reicin Inc. is controlled by Cheryl Reicin. Dr. Reicin is the sister of Dr. Reicin, who serves as the Chief Executive Officer of Tectonic and a director on the Tectonic Board.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Tectonic Subscription Agreement and Company SAFEs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concurrently with the execution and delivery of the Merger Agreement, Tectonic entered into the Subscription Agreement with certain investors named therein, pursuant to which such investors agreed to purchase shares of Tectonic common stock, at a purchase price of $12.39908 per share, and certain investors have consummated or will consummate certain additional purchases of Tectonic common stock pursuant to the terms of the Company SAFEs entered into by such investors and Tectonic, for an aggregate purchase price among the private financings contemplated by the Subscription Agreement and such Company SAFEs of approximately $130.7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commitments to purchase Tectonic common stock pursuant to the Subscription Agreement and the entry into the Company SAFEs by Tectonic’s related persons: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4310"/>
        <w:gridCol w:w="120"/>
        <w:gridCol w:w="60"/>
        <w:gridCol w:w="1100"/>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Timothy A. Springer, Ph.D.(1)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41,999,997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8,999,989</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7,499,987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Founders Capital Fund II, L.P.(4)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1,499,991</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125,000</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and commitments to purchase Tectonic common stock pursuant to the Subscription Agreement. Dr. Timothy A. Springer serves as a director on the Tectonic Board.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and commitments to purchase Tectonic common stock pursuant to the Subscription Agreement. PP IX owns more than five percent of Tectonic’s outstanding capital stock. Terrance McGuire serves as a director on the Tectonic Board and holds an interest in Polaris Partners GP IX, L.L.C., the general partner of PP IX.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and commitments to purchase Tectonic common stock pursuant to the Subscription Agreement. Stefan Vitorovic serves as a director on the Tectonic Board and is a member of the investment committee of VV Manager II, LLC, which is affiliated with Vida Ventures. Entities affiliated with Vida Ventures collectively own more than five percent of Tectonic’s outstanding capital stock.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commitments to purchase Tectonic common stock pursuant to the Subscription Agreement. Terrance McGuire serves as a director on the Tectonic Board and is a managing member of Polaris Founders Capital Management Co. II, L.L.C., the general partner of Polaris Founders Capital Fund II, L.P. </w:t>
            </w:r>
          </w:p>
        </w:tc>
      </w:tr>
    </w:tbl>
    <w:tbl>
      <w:tblPr>
        <w:tblW w:w="8815" w:type="dxa"/>
        <w:jc w:val="left"/>
        <w:tblInd w:w="0" w:type="dxa"/>
        <w:tblLayout w:type="fixed"/>
        <w:tblCellMar>
          <w:top w:w="0" w:type="dxa"/>
          <w:left w:w="0" w:type="dxa"/>
          <w:bottom w:w="0" w:type="dxa"/>
          <w:right w:w="0" w:type="dxa"/>
        </w:tblCellMar>
      </w:tblPr>
      <w:tblGrid>
        <w:gridCol w:w="305"/>
        <w:gridCol w:w="8510"/>
      </w:tblGrid>
      <w:tr>
        <w:trPr/>
        <w:tc>
          <w:tcPr>
            <w:tcW w:w="305" w:type="dxa"/>
            <w:tcBorders/>
            <w:vAlign w:val="center"/>
          </w:tcPr>
          <w:p>
            <w:pPr>
              <w:pStyle w:val="TableContents"/>
              <w:bidi w:val="0"/>
              <w:spacing w:before="0" w:after="283"/>
              <w:jc w:val="left"/>
              <w:rPr/>
            </w:pPr>
            <w:r>
              <w:rPr/>
              <w:t>(5)</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Dr. Andrew Kruse serves as a director on the Tectonic Board.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Tectonic’s Series A preferred stock financing, Tectonic entered into investors’ rights, voting and right of first refusal and co-sale agreements containing registration rights, information rights, voting rights and rights of first refusal, among other things, with certain holders of Tectonic’s preferred stock and certain holders of Tectonic’s common stock. These stockholder agreements will terminate upon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Support Agreements Under the Merger </w:t>
      </w:r>
    </w:p>
    <w:p>
      <w:pPr>
        <w:pStyle w:val="TextBody"/>
        <w:bidi w:val="0"/>
        <w:spacing w:before="120" w:after="0"/>
        <w:jc w:val="left"/>
        <w:rPr>
          <w:rFonts w:ascii="Times New Roman" w:hAnsi="Times New Roman"/>
          <w:sz w:val="20"/>
        </w:rPr>
      </w:pPr>
      <w:r>
        <w:rPr>
          <w:rFonts w:ascii="Times New Roman" w:hAnsi="Times New Roman"/>
          <w:sz w:val="20"/>
        </w:rPr>
        <w:t xml:space="preserve">Certain Tectonic stockholders are parties to support agreements with Tectonic pursuant to which, among other things, each such stockholder, solely in his, her or its capacity as a Tectonic stockholder, has agreed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of such stockholder’s shares of Tectonic capital stock in favor of (i) the adoption of the Merger Agreement, (ii) the approval of the merger and related transactions contemplated by the Merger Agreement, (iii) the approval of an amendment to Tectonic’s certificate of incorporation to increase its authorized stock, (iv) to the extent such person is entitled to vote or exercise a right to consent with respect to such matter, effecting the preferred stock conversion immediately prior to conversion of the Company SAFEs, which Company SAFEs conversion shall occur immediately prior to the private placement financings, (v) waiving any preemptive right, right of participation, right of maintenance, anti-dilution right or any similar right as may otherwise be provided to such stockholder under Tectonic’s certificate of incorporation or bylaws in connection with the merger and related transactions contemplated by the Merger Agreement and (vi) against any Acquisition Proposal from a third party.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30, 2024, the Tectonic stockholders that are party to a support agreement with Tectonic held shares of Tectonic capital stock representing approximately 88.0% of the voting power of Tectonic. These stockholders include executive officers and directors of Tectonic, as well as certain other stockholders owning a significant portion of the outstanding shares of Tectonic capital stock. Following the effectiveness of the Registration Statement on Form S-4 of which this proxy statement/prospectus is a part and pursuant to the Merger Agreement, Tectonic stockholders holding a sufficient number of shares of Tectonic capital stock to adopt the Merger Agreement and approve the merger and related transactions contemplated by the Merger Agreement will execute a written consent providing for such adoption and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Tectonic has entered, or will enter prior to the closing of the merger, into indemnification agreements with each of its directors and executive officers. These agreements will, among other things, require Tectonic to indemnify these individuals for certain expenses (including attorneys’ fees), judgments, fines and settlement amounts reasonably incurred by such person in any action or proceeding, including any action by or in Tectonic’s right, on account of any services undertaken by such person on Tectonic’s behalf or that person’s status as a member of the Tectonic Board to the maximum extent allowed under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executive officers, directors and stockholders of AVROBIO and Tectonic have entered into the Lock-Up Agreements with AVROBIO, pursuant to which such parties have agreed not to, except in limited circumstances, sell or transfer their shares of AVROBIO common stock, for the 180-day period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Tectonic stockholders who have executed Lock-Up Agreements as of January 30, 2024, owned in the aggregate, approximately 88.0% of the shares of Tectonic’s outstanding capital stock. </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Lock-Up Agreements does not purport to be complete and is qualified in its entirety by the full text of the form of Lock-Up Agreement, which is attached hereto as</w:t>
      </w:r>
      <w:r>
        <w:rPr>
          <w:rFonts w:ascii="Times New Roman" w:hAnsi="Times New Roman"/>
          <w:sz w:val="20"/>
          <w:u w:val="single"/>
        </w:rPr>
        <w:t> Annex 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Policies and Procedures for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While Tectonic does not have a formal written policy or procedure for the review, approval or ratification of related party transactions, it has been the practice of the Tectonic Board to consider the nature of and business reason for such transactions, how the terms of such transactions compared to those which might be obtained from unaffiliated third parties and whether such transactions were otherwise fair to and in the best interests of, or not contrary to, Tectonic’s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merger, the audit committee of the board of directors of the combined organization will apply AVROBIO’s related party transaction policy, described above, until such time as the board of directors of the combined organization shall amend the policy. All of the Tectonic transactions described in this section were entered into prior to the application of this policy to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436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173" w:name="toc770053_179"/>
      <w:bookmarkEnd w:id="173"/>
      <w:r>
        <w:rPr>
          <w:rFonts w:ascii="Times New Roman" w:hAnsi="Times New Roman"/>
          <w:b/>
          <w:sz w:val="20"/>
        </w:rPr>
        <w:t xml:space="preserve">AVROBIO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a smaller reporting company, AVROBIO is required under SEC rules to disclose any transaction for the last two completed fiscal years or any currently proposed transaction in which AVROBIO is a participant and in which any related person has or will have a direct or indirect material interest involving an amount in excess of $120,000 or 1% of the average of AVROBIO’s total assets at year-end for the last two fiscal years. A related person is any executive officer, director, nominee for director or holder of 5% or more of AVROBIO’s common stock or an immediate family member of any of those persons. </w:t>
      </w:r>
    </w:p>
    <w:p>
      <w:pPr>
        <w:pStyle w:val="TextBody"/>
        <w:bidi w:val="0"/>
        <w:spacing w:before="240" w:after="0"/>
        <w:jc w:val="left"/>
        <w:rPr>
          <w:rFonts w:ascii="Times New Roman" w:hAnsi="Times New Roman"/>
          <w:sz w:val="20"/>
        </w:rPr>
      </w:pPr>
      <w:r>
        <w:rPr>
          <w:rFonts w:ascii="Times New Roman" w:hAnsi="Times New Roman"/>
          <w:sz w:val="20"/>
        </w:rPr>
        <w:t>Other than the compensation agreements and other arrangements described under the sections titled “</w:t>
      </w:r>
      <w:r>
        <w:rPr>
          <w:rFonts w:ascii="Times New Roman" w:hAnsi="Times New Roman"/>
          <w:i/>
          <w:sz w:val="20"/>
        </w:rPr>
        <w:t>AVROBIO’s Executive Compensation</w:t>
      </w:r>
      <w:r>
        <w:rPr>
          <w:rFonts w:ascii="Times New Roman" w:hAnsi="Times New Roman"/>
          <w:sz w:val="20"/>
        </w:rPr>
        <w:t>” and “</w:t>
      </w:r>
      <w:r>
        <w:rPr>
          <w:rFonts w:ascii="Times New Roman" w:hAnsi="Times New Roman"/>
          <w:i/>
          <w:sz w:val="20"/>
        </w:rPr>
        <w:t>AVROBIO’s Director Compensation</w:t>
      </w:r>
      <w:r>
        <w:rPr>
          <w:rFonts w:ascii="Times New Roman" w:hAnsi="Times New Roman"/>
          <w:sz w:val="20"/>
        </w:rPr>
        <w:t xml:space="preserve">” beginning on pages 284 and 294, respectively, of this proxy statement/prospectus and the transactions described below, since January 1, 2022, there has not been and there is not currently proposed, any transaction or series of similar transactions to which AVROBIO is, or will be, a party in which the amount involved exceeded, or will exceed, $120,000 (or, if less, one percent of the average of AVROBIO’s total assets amounts at December 31, 2022 and 2023) and in which any director, executive officer, holder of five percent or more of any class of AVROBIO’s capital stock or any member of the immediate family of, or entities affiliated with, any of the foregoing persons, had, or will have, a direct or indirect material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Agreements and Related Agreements with University Health Network </w:t>
      </w:r>
    </w:p>
    <w:p>
      <w:pPr>
        <w:pStyle w:val="TextBody"/>
        <w:bidi w:val="0"/>
        <w:spacing w:before="120" w:after="0"/>
        <w:jc w:val="left"/>
        <w:rPr>
          <w:rFonts w:ascii="Times New Roman" w:hAnsi="Times New Roman"/>
          <w:i/>
          <w:sz w:val="20"/>
        </w:rPr>
      </w:pPr>
      <w:r>
        <w:rPr>
          <w:rFonts w:ascii="Times New Roman" w:hAnsi="Times New Roman"/>
          <w:i/>
          <w:sz w:val="20"/>
        </w:rPr>
        <w:t xml:space="preserve">Fabry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2016, AVROBIO entered into an option agreement with UHN pursuant to which UHN granted AVROBIO an exclusive option to enter into an exclusive license under certain intellectual property rights related to Fabry disease. On November 4, 2016, AVROBIO executed its option and entered into an exclusive license agreement with UHN. Under this agreement (the “Fabry license agreement”), UHN granted AVROBIO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Fabry license agreement, AVROBIO paid to UHN a one-time upfront fee and was obligated to pay an annual maintenance fee until the first sale of a licensed product in certain markets. AVROBIO was also required to make payments to UHN in connection with the achievement of certain development and regulatory milestones in an aggregate amount of up to CAD$2.45 million, as well as royalties on a country-by-country basis of a low to mid-single digit percentage on annual sales of licensed products and a lower single digit royalty in certain circumstances. Additionally, AVROBIO was required to pay a low double digit percentage of all sublicensing revenue. AVROBIO also made a philanthropic commitment to donate funds to organizations for the benefit of the Canadian Fabry community in an amount equal to a low double digit percentage of AVROBIO’s royalty payments and regulatory milestone payments, up to a maximum of CAD$500,000 in any calendar year. In connection with this agreement, AVROBIO also entered into three separate letter agreements with UHN, dated November 4, 2016, June 2, 2017 and December 11, 2019, pursuant to which AVROBIO agreed to provide certain funding and costs and expenses associated with a clinical trial conducted by UHN for the treatment of Fabry disease. For the years ended December 31, 2022 and 2023, AVROBIO paid $161 and $93 thousand, respectively, to UHN in connection with these agreements, which consists of reimbursable funded study trial costs and license maintenance fees. Effective as of January 4, 2024, AVROBIO terminated the Fabry license agreement with UHN. Following the termination of the Fabry license agreement, AVROBIO does not have any remaining financial obligations to UHN pursuant to the Fabry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Interleukin-12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2016, AVROBIO entered into an exclusive license agreement (the “IL-12 Agreement”) with UHN pursuant to which UHN granted AVROBIO an exclusive license to certain intellectual property rights relating to Interleukin-12 proteins (“IL-12”). AVROBIO entered into an amendment to the IL-12 Agreement on September 28, 2017. Under the IL-12 Agreement, as amended (the “Amended IL-12 Agreement”),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paid an upfront license fee and reimbursement of certain patent expenses, and AVROBIO was also obligated to pay an annual license fee as well as payments in connection with the achievement of certain performance and development milestones for an aggregate total of up to CAD$19.275 million in milestone payments. Additionally, the Amended IL-12 Agreement required AVROBIO to pay a low to mid-single digit royalty percentage on annual sales of licensed products, and a low double digit percentage of all sublicensing revenue. For the years ended December 31, 2022 and 2023, AVROBIO paid $39 and $37 thousand to UHN under the Amended IL-12 Agreement, respectively, which consists of license maintenance fees. Effective as of August 24, 2023, AVROBIO and UHN agreed to terminate the Amended IL-12 Agreement. Following the termination of the Amended IL-12 Agreement, AVROBIO does not have any remaining financial obligations to UHN pursuant to the Amended IL-12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Amended IL-12 Agreement, AVROBIO has also entered into two separate sponsored research agreements with UHN, one in March 2017 and one in July 2017. The March 2017 agreement was amended and restated and subsequently amended in November 2017. Pursuant to each of these sponsored research agreements, AVROBIO agreed to fund certain research projects related to IL-12 and Fabry disease, including salaries of certain researchers of up to CAD$200,000 and CAD$164,652 under the March 2017 and July 2017 agreements, respectively. </w:t>
      </w:r>
    </w:p>
    <w:p>
      <w:pPr>
        <w:pStyle w:val="TextBody"/>
        <w:bidi w:val="0"/>
        <w:spacing w:before="240" w:after="0"/>
        <w:jc w:val="left"/>
        <w:rPr>
          <w:rFonts w:ascii="Times New Roman" w:hAnsi="Times New Roman"/>
          <w:sz w:val="20"/>
        </w:rPr>
      </w:pPr>
      <w:r>
        <w:rPr>
          <w:rFonts w:ascii="Times New Roman" w:hAnsi="Times New Roman"/>
          <w:sz w:val="20"/>
        </w:rPr>
        <w:t xml:space="preserve">At the time AVROBIO entered into each of the above agreements with UHN, other than the letter agreement dated December 11, 2019, UHN was a greater than 5% beneficial owner of AVROBIO’s outstanding capital stock. Additionally, Christopher Paige is a senior scientist at UHN and is currently a member of the AVROBIO Board. As an inventor of certain of the intellectual property rights related to IL-12 that AVROBIO licenses from UHN, Dr. Paige would have been entitled to a portion of the consideration that AVROBIO would have been required to pay to UHN pursuant to the Amended IL-12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AVROBIO’s prior preferred stock financings, AVROBIO entered into investors’ rights, voting and right of first refusal and co-sale agreements containing registration rights, information rights, voting rights and rights of first refusal, among other things, with certain holders of AVROBIO’s preferred stock and certain holders of AVROBIO’s common stock. These stockholder agreements terminated upon the closing of AVROBIO’s IPO, except for the registration rights granted under its investors’ rights agreement, which terminated five years following AVROBIO’s IPO.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certain stockholders of AVROBIO holding approximately 10.8% of the outstanding shares of AVROBIO common stock as of January 30, 2024 entered into support agreements with AVRO. These stockholders include executive officers and directors of AVROBIO, as well as certain other stockholders owning a significant portion of the outstanding shares of AVROBIO capital stock. </w:t>
      </w:r>
    </w:p>
    <w:p>
      <w:pPr>
        <w:pStyle w:val="TextBody"/>
        <w:bidi w:val="0"/>
        <w:spacing w:before="240" w:after="0"/>
        <w:jc w:val="left"/>
        <w:rPr>
          <w:rFonts w:ascii="Times New Roman" w:hAnsi="Times New Roman"/>
          <w:sz w:val="20"/>
        </w:rPr>
      </w:pPr>
      <w:r>
        <w:rPr>
          <w:rFonts w:ascii="Times New Roman" w:hAnsi="Times New Roman"/>
          <w:sz w:val="20"/>
        </w:rPr>
        <w:t>For a more detailed discussion of the support agreements,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The foregoing description of the support agreements does not purport to be complete and is qualified in its entirety by the full text of the form of AVROBIO support agreement, which is attached hereto as </w:t>
      </w:r>
      <w:r>
        <w:rPr>
          <w:rFonts w:ascii="Times New Roman" w:hAnsi="Times New Roman"/>
          <w:sz w:val="20"/>
          <w:u w:val="single"/>
        </w:rPr>
        <w:t>Annex C</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AVROBIO has entered into and in the future plans to enter into agreements to indemnify AVROBIO’s directors and executive officers. These agreements, among other things, require AVROBIO to indemnify these individuals for certain expenses (including attorneys’ fees), judgments, fines and settlement amounts reasonably incurred by such person in any action or proceeding, including any action by or in AVROBIO’s right, on account of any services undertaken by such person on behalf of AVROBIO or that person’s status as a member of the AVROBIO Board or as an officer of AVROBIO to the maximum extent allowed under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438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executive officers, directors and stockholders of AVROBIO and Tectonic have entered into the Lock-Up Agreements with AVROBIO, pursuant to which such parties have agreed not to, except in limited circumstances, sell or transfer their shares of AVROBIO common stock, for the 180-day period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AVROBIO stockholders who have executed Lock-Up Agreements as of January 30, 2024, owned in the aggregate, approximately 10.8% of the shares of AVROBIO’s then outstanding capital stock. </w:t>
      </w:r>
    </w:p>
    <w:p>
      <w:pPr>
        <w:pStyle w:val="TextBody"/>
        <w:bidi w:val="0"/>
        <w:spacing w:before="240" w:after="0"/>
        <w:jc w:val="left"/>
        <w:rPr>
          <w:rFonts w:ascii="Times New Roman" w:hAnsi="Times New Roman"/>
          <w:sz w:val="20"/>
        </w:rPr>
      </w:pPr>
      <w:r>
        <w:rPr>
          <w:rFonts w:ascii="Times New Roman" w:hAnsi="Times New Roman"/>
          <w:sz w:val="20"/>
        </w:rPr>
        <w:t>For a more detailed discussion of the Lock-Up Agreements, please see the section titled “</w:t>
      </w:r>
      <w:r>
        <w:rPr>
          <w:rFonts w:ascii="Times New Roman" w:hAnsi="Times New Roman"/>
          <w:i/>
          <w:sz w:val="20"/>
        </w:rPr>
        <w:t>Agreements Related to the Merger—Lock-Up Agreements</w:t>
      </w:r>
      <w:r>
        <w:rPr>
          <w:rFonts w:ascii="Times New Roman" w:hAnsi="Times New Roman"/>
          <w:sz w:val="20"/>
        </w:rPr>
        <w:t xml:space="preserve">” beginning on page 264 of this proxy statement/prospectus. The foregoing description of the Lock-Up Agreements does not purport to be complete and is qualified in its entirety by the full text of the form of Lock-Up Agreement, which is attached hereto as </w:t>
      </w:r>
      <w:r>
        <w:rPr>
          <w:rFonts w:ascii="Times New Roman" w:hAnsi="Times New Roman"/>
          <w:sz w:val="20"/>
          <w:u w:val="single"/>
        </w:rPr>
        <w:t>Annex 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reviews and approves transactions with directors, officers and holders of five percent or more of AVROBIO’s voting securities and their affiliates, each a related party. AVROBIO adopted a written related person transaction policy that requires related party transactions to be approved by AVROBIO’s Audit Committee. Pursuant to this policy, the Audit Committee has the primary responsibility for reviewing and approving or disapproving “related party transactions,” which are transactions between AVROBIO and related persons in which a related person has or will have a direct or indirect material interest. For purposes of this policy, a related person will be defined as a director, executive officer, nominee for director, or greater than 5% beneficial owner of AVROBIO common stock, in each case since the beginning of the most recently completed year, and their immediate family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4" w:name="toc770053_180"/>
      <w:bookmarkEnd w:id="174"/>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discussion in this section, a one-for-ten reverse stock split of AVROBIO common stock has been assumed, and any references herein to the proposed one-for-ten reverse stock split shall account for such assumption.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2024, AVROBIO, Inc. (“AVROBIO”), Tectonic Therapeutic, Inc. (“Tectonic”), and AVROBIO Merger Subsidiary, Inc., a direct, wholly owned subsidiary of AVROBIO (“Merger Sub”) entered into an agreement and plan of merger and reorganization (the “Merger Agreement”), pursuant to which Merger Sub will merge with and into Tectonic, with Tectonic surviving as a wholly owned subsidiary of AVROBIO (such transaction, the “merger”). Upon completion of the merger, the business of Tectonic will continue as the business of the surviving corporation, referred to herein as the “combined company.” After the completion of the merger, AVROBIO will change its corporate name to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merger (the “effective time” or the “Closing”) and related transactions, each share of Tectonic common stock outstanding immediately prior to the effective time, including outstanding and unvested Tectonic Restricted Stock (defined in Note 1 of the accompanying notes), will be converted into the right to receive 14,895,913 shares of AVROBIO common stock in the aggregate, 16,057 shares of which will be subject to the same vesting provisions as those immediately prior to the merger, based on an exchange ratio determined in accordance with the terms of the Merger Agreement (the “Exchange Ratio”). The number of shares of Tectonic common stock outstanding immediately prior to the effective time includes Tectonic common stock issued upon conversion of each share of Tectonic convertible preferred stock, and shares of Tectonic common stock issued in connection with the Subscription Agreements and Company SAFEs as defined in Note 1 of the accompanying notes (together with the merger, the “Transactions”). The Exchange Ratio is currently estimated to be 0.74 shares of AVROBIO common stock for each share of Tectonic common stock after giving effect to the proposed one-for-ten reverse stock split of AVROBIO common stock, and is subject to change to account for, among other things, whether AVROBIO’s net cash balance (as defined in the Merger Agreement) is less than $64.5 million or greater than $65.5 million as of the Closing. The preliminary estimated Exchange Ratio reflects the assumption that AVROBIO’s net cash as of the Closing will be $65.0 million. Management currently anticipates that AVROBIO’s net cash as of the Closing will be approximately $65.0 million to $75.0 million, see Note 1 of the accompanying notes for additional discussion.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AVROBIO and Tectonic as of December 31, 2023, and depicts the accounting of the Transactions under U.S. generally accepted accounting principles (“pro forma balance sheet transaction accounting adjustments”). The unaudited pro forma condensed combined statement of operations for the year ended December 31, 2023 combines the historical results of AVROBIO and Tectonic for this period and depicts the pro forma balance sheet transaction accounting adjustments assuming that those adjustments were made as of January 1, 2023 (“pro forma statement of operations transaction accounting adjustments”). Collectively, pro forma balance sheet transaction accounting adjustments and pro forma statement of operations transaction accounting adjustments are referred to as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Tectonic for the years ended December 31, 2023 and 2022, and the related notes included elsewhere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AVROBIO for the years ended December 31, 2023 and 2022, and the related notes included elsewhere in this proxy statement/prospectus;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sections titled “</w:t>
            </w:r>
            <w:r>
              <w:rPr>
                <w:rFonts w:ascii="Times New Roman" w:hAnsi="Times New Roman"/>
                <w:i/>
                <w:sz w:val="20"/>
              </w:rPr>
              <w:t>AVROBIO’s Management’s Discussion and Analysis of Financial Condition and Results of Operations</w:t>
            </w:r>
            <w:r>
              <w:rPr>
                <w:rFonts w:ascii="Times New Roman" w:hAnsi="Times New Roman"/>
                <w:sz w:val="20"/>
              </w:rPr>
              <w:t>,” “</w:t>
            </w:r>
            <w:r>
              <w:rPr>
                <w:rFonts w:ascii="Times New Roman" w:hAnsi="Times New Roman"/>
                <w:i/>
                <w:sz w:val="20"/>
              </w:rPr>
              <w:t>Tectonic’s Management’s Discussion and Analysis of Financial Condition and Results of Operation</w:t>
            </w:r>
            <w:r>
              <w:rPr>
                <w:rFonts w:ascii="Times New Roman" w:hAnsi="Times New Roman"/>
                <w:sz w:val="20"/>
              </w:rPr>
              <w:t xml:space="preserve">,” and other financial information relating to AVROBIO and Tectonic included elsewhere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AVROBIO and Tectonic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2023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78"/>
        <w:gridCol w:w="120"/>
        <w:gridCol w:w="224"/>
        <w:gridCol w:w="1401"/>
        <w:gridCol w:w="155"/>
        <w:gridCol w:w="60"/>
        <w:gridCol w:w="197"/>
        <w:gridCol w:w="1068"/>
        <w:gridCol w:w="155"/>
        <w:gridCol w:w="60"/>
        <w:gridCol w:w="180"/>
        <w:gridCol w:w="1130"/>
        <w:gridCol w:w="155"/>
        <w:gridCol w:w="60"/>
        <w:gridCol w:w="60"/>
        <w:gridCol w:w="140"/>
        <w:gridCol w:w="286"/>
        <w:gridCol w:w="60"/>
        <w:gridCol w:w="170"/>
        <w:gridCol w:w="975"/>
        <w:gridCol w:w="171"/>
      </w:tblGrid>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6" w:type="dxa"/>
            <w:gridSpan w:val="10"/>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br/>
              <w:t>AVROBIO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br/>
              <w:t>Tectonic</w:t>
              <w:br/>
              <w:t>Therapeutic</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gridSpan w:val="2"/>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401" w:type="dxa"/>
            <w:tcBorders/>
            <w:shd w:fill="CCEEFF" w:val="clear"/>
            <w:vAlign w:val="center"/>
          </w:tcPr>
          <w:p>
            <w:pPr>
              <w:pStyle w:val="TableContents"/>
              <w:bidi w:val="0"/>
              <w:spacing w:before="0" w:after="283"/>
              <w:jc w:val="right"/>
              <w:rPr/>
            </w:pPr>
            <w:r>
              <w:rPr/>
              <w:t>98,020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28,769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94,600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(e)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219,023</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(k)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283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(k)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1,958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(i)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2,685</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current assets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100,261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30,884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90,563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221,708</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Operating right-of-use assets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(j)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2,669</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Finance right-of-use assets, net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1,437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1,437</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Property, equipment and improvements, net</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3,122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3,122</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Deferred offering costs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(g)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Restricted cash, net of current portion</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587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(k)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587</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31</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assets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401" w:type="dxa"/>
            <w:tcBorders/>
            <w:shd w:fill="CCEEFF" w:val="clear"/>
            <w:vAlign w:val="center"/>
          </w:tcPr>
          <w:p>
            <w:pPr>
              <w:pStyle w:val="TableContents"/>
              <w:bidi w:val="0"/>
              <w:spacing w:before="0" w:after="283"/>
              <w:jc w:val="right"/>
              <w:rPr/>
            </w:pPr>
            <w:r>
              <w:rPr/>
              <w:t>101,093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39,399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89,062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229,554</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14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double" w:sz="6" w:space="1" w:color="000000"/>
              </w:pBdr>
              <w:bidi w:val="0"/>
              <w:spacing w:before="0" w:after="0"/>
              <w:jc w:val="left"/>
              <w:rPr/>
            </w:pPr>
            <w:r>
              <w:rPr/>
              <w:t> </w:t>
            </w:r>
          </w:p>
        </w:tc>
        <w:tc>
          <w:tcPr>
            <w:tcW w:w="106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Liabilities, Convertible Preferred Stock and Stockholders’ Equity (Deficit)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401"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436</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5,449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8,141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(g)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28,588</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7,096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(h)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SAFE liabilities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30,515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(34,125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(f)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Operating lease liability—current portion</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1,348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(j)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1,348</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Finance lease liability—current portion</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475</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current liabilities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6,354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40,888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(16,395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30,847</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Operating lease liability—net of current portion</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1,644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1,644</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Finance lease liability—net of current portion</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876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876</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liabilities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6,354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43,408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(16,395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33,367</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Tectonic convertible preferred stock (Series A-1, A-2, A-3 and A-4), </w:t>
              <w:br/>
              <w:t>$0.0001 par value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80,627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(80,627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Stockholders’ equity (deficit):</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AVROBIO common stock, $0.0001 par value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(b)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(l)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(l)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Tectonic common stock, $0.0001 par value</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(d)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(e)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(f)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(l)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572,010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5,979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80,626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290,410</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94,599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(e)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(g)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(489,509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(l)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(11</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(477,275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(90,604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(94,214</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(c)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(7,096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(h)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(i)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(j)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489,513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(l)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stockholders’ equity (deficit)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94,739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(84,636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186,084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196,187</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liabilities, convertible preferred stock and stockholders’ equity (deficit)</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401" w:type="dxa"/>
            <w:tcBorders/>
            <w:shd w:fill="CCEEFF" w:val="clear"/>
            <w:vAlign w:val="center"/>
          </w:tcPr>
          <w:p>
            <w:pPr>
              <w:pStyle w:val="TableContents"/>
              <w:bidi w:val="0"/>
              <w:spacing w:before="0" w:after="283"/>
              <w:jc w:val="right"/>
              <w:rPr/>
            </w:pPr>
            <w:r>
              <w:rPr/>
              <w:t>101,093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39,399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89,062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229,554</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14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double" w:sz="6" w:space="1" w:color="000000"/>
              </w:pBdr>
              <w:bidi w:val="0"/>
              <w:spacing w:before="0" w:after="0"/>
              <w:jc w:val="left"/>
              <w:rPr/>
            </w:pPr>
            <w:r>
              <w:rPr/>
              <w:t> </w:t>
            </w:r>
          </w:p>
        </w:tc>
        <w:tc>
          <w:tcPr>
            <w:tcW w:w="106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120" w:after="0"/>
        <w:jc w:val="center"/>
        <w:rPr>
          <w:rFonts w:ascii="Times New Roman" w:hAnsi="Times New Roman"/>
          <w:i/>
          <w:sz w:val="18"/>
        </w:rPr>
      </w:pPr>
      <w:r>
        <w:rPr>
          <w:rFonts w:ascii="Times New Roman" w:hAnsi="Times New Roman"/>
          <w:i/>
          <w:sz w:val="18"/>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6"/>
        <w:gridCol w:w="60"/>
        <w:gridCol w:w="183"/>
        <w:gridCol w:w="1442"/>
        <w:gridCol w:w="155"/>
        <w:gridCol w:w="60"/>
        <w:gridCol w:w="214"/>
        <w:gridCol w:w="1501"/>
        <w:gridCol w:w="155"/>
        <w:gridCol w:w="60"/>
        <w:gridCol w:w="204"/>
        <w:gridCol w:w="1106"/>
        <w:gridCol w:w="155"/>
        <w:gridCol w:w="60"/>
        <w:gridCol w:w="273"/>
        <w:gridCol w:w="60"/>
        <w:gridCol w:w="140"/>
        <w:gridCol w:w="1100"/>
        <w:gridCol w:w="155"/>
        <w:gridCol w:w="60"/>
        <w:gridCol w:w="276"/>
      </w:tblGrid>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8" w:type="dxa"/>
            <w:gridSpan w:val="8"/>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r>
      <w:tr>
        <w:trPr/>
        <w:tc>
          <w:tcPr>
            <w:tcW w:w="27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br/>
              <w:t>AVROBIO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br/>
              <w:t>Tectonic</w:t>
              <w:br/>
              <w:t>Therapeutic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47,700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283"/>
              <w:jc w:val="right"/>
              <w:rPr/>
            </w:pPr>
            <w:r>
              <w:rPr/>
              <w:t>36,966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06" w:type="dxa"/>
            <w:tcBorders/>
            <w:vAlign w:val="center"/>
          </w:tcPr>
          <w:p>
            <w:pPr>
              <w:pStyle w:val="TableContents"/>
              <w:bidi w:val="0"/>
              <w:spacing w:before="0" w:after="283"/>
              <w:jc w:val="right"/>
              <w:rPr/>
            </w:pPr>
            <w:r>
              <w:rPr/>
              <w:t>572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7(c)</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87,082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1,844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right"/>
              <w:rPr/>
            </w:pPr>
            <w:r>
              <w:rPr/>
              <w:t>7(a)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23,967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7,682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7,096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7(b)</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41,917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816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right"/>
              <w:rPr/>
            </w:pPr>
            <w:r>
              <w:rPr/>
              <w:t>7(c)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2,356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71,667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44,648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12,684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128,999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83,736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83,736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impairment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(1,877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10,192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(44,648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(12,684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2,420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396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446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(3,610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1,825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12,534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(15,848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(46,137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12,157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06" w:type="dxa"/>
            <w:tcBorders/>
            <w:vAlign w:val="center"/>
          </w:tcPr>
          <w:p>
            <w:pPr>
              <w:pStyle w:val="TableContents"/>
              <w:bidi w:val="0"/>
              <w:spacing w:before="0" w:after="283"/>
              <w:jc w:val="right"/>
              <w:rPr/>
            </w:pPr>
            <w:r>
              <w:rPr/>
              <w:t>(15,848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(46,514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double" w:sz="6" w:space="1" w:color="000000"/>
              </w:pBdr>
              <w:bidi w:val="0"/>
              <w:spacing w:before="0" w:after="0"/>
              <w:jc w:val="left"/>
              <w:rPr/>
            </w:pPr>
            <w:r>
              <w:rPr/>
              <w:t> </w:t>
            </w:r>
          </w:p>
        </w:tc>
        <w:tc>
          <w:tcPr>
            <w:tcW w:w="110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net income (loss) for the period attributable to equity holders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12,157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501" w:type="dxa"/>
            <w:tcBorders/>
            <w:shd w:fill="CCEEFF" w:val="clear"/>
            <w:vAlign w:val="center"/>
          </w:tcPr>
          <w:p>
            <w:pPr>
              <w:pStyle w:val="TableContents"/>
              <w:bidi w:val="0"/>
              <w:spacing w:before="0" w:after="283"/>
              <w:jc w:val="right"/>
              <w:rPr/>
            </w:pPr>
            <w:r>
              <w:rPr/>
              <w:t>(42,823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(46,514)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 - basic</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44,327,204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2,373,674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19,224,806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7(f)</w:t>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 - basic</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501" w:type="dxa"/>
            <w:tcBorders/>
            <w:shd w:fill="CCEEFF" w:val="clear"/>
            <w:vAlign w:val="center"/>
          </w:tcPr>
          <w:p>
            <w:pPr>
              <w:pStyle w:val="TableContents"/>
              <w:bidi w:val="0"/>
              <w:spacing w:before="0" w:after="283"/>
              <w:jc w:val="right"/>
              <w:rPr/>
            </w:pPr>
            <w:r>
              <w:rPr/>
              <w:t>(18.04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 - diluted</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44,567,918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2,373,674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19,248,878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7(f)</w:t>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 - diluted</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501" w:type="dxa"/>
            <w:tcBorders/>
            <w:shd w:fill="CCEEFF" w:val="clear"/>
            <w:vAlign w:val="center"/>
          </w:tcPr>
          <w:p>
            <w:pPr>
              <w:pStyle w:val="TableContents"/>
              <w:bidi w:val="0"/>
              <w:spacing w:before="0" w:after="283"/>
              <w:jc w:val="right"/>
              <w:rPr/>
            </w:pPr>
            <w:r>
              <w:rPr/>
              <w:t>(18.04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center"/>
        <w:rPr>
          <w:rFonts w:ascii="Times New Roman" w:hAnsi="Times New Roman"/>
          <w:sz w:val="20"/>
        </w:rPr>
      </w:pPr>
      <w:r>
        <w:rPr>
          <w:rFonts w:ascii="Times New Roman" w:hAnsi="Times New Roman"/>
          <w:sz w:val="20"/>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5" w:name="toc770053_181"/>
      <w:bookmarkEnd w:id="175"/>
      <w:r>
        <w:rPr>
          <w:rFonts w:ascii="Times New Roman" w:hAnsi="Times New Roman"/>
          <w:b/>
          <w:sz w:val="20"/>
        </w:rPr>
        <w:t xml:space="preserve">NOTES TO UNAUDITED PRO FORMA CONDENSED COMBINED FINANCIAL INFORMATION </w:t>
      </w:r>
    </w:p>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215"/>
        <w:gridCol w:w="2255"/>
      </w:tblGrid>
      <w:tr>
        <w:trPr/>
        <w:tc>
          <w:tcPr>
            <w:tcW w:w="215" w:type="dxa"/>
            <w:tcBorders/>
            <w:vAlign w:val="center"/>
          </w:tcPr>
          <w:p>
            <w:pPr>
              <w:pStyle w:val="TableContents"/>
              <w:bidi w:val="0"/>
              <w:spacing w:before="0" w:after="283"/>
              <w:jc w:val="left"/>
              <w:rPr>
                <w:b/>
              </w:rPr>
            </w:pPr>
            <w:r>
              <w:rPr>
                <w:b/>
              </w:rPr>
              <w:t>1.</w:t>
            </w:r>
          </w:p>
        </w:tc>
        <w:tc>
          <w:tcPr>
            <w:tcW w:w="22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30, 2024, AVROBIO, Tectonic and Merger Sub entered into the Merger Agreement pursuant to which Merger Sub will merge with and into Tectonic, with Tectonic surviving as a wholly owned subsidiary of AVROBIO. Subject to the terms and conditions of the Merger Agreement, at Closing: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Tectonic common stock, including outstanding and unvested Tectonic Restricted Stock (defined below), after giving effect to the Transactions, will be converted into the right to receive a number of shares of AVROBIO’s common stock, based on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and unexercised option to purchase shares of Tectonic common stock (“Tectonic options”) immediately prior to Closing will be assumed by AVROBIO and will be converted into an option to purchase shares of AVROBIO common stock, with necessary adjustments to the number of shares and exercise price to reflect the Exchange Ratio;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Tectonic restricted common stock outstanding and unvested immediately prior to Closing (“Tectonic Restricted Stock”) that is assumed by AVROBIO in the merger will remain unvested to the same extent and will be subject to the same repurchase option, risk of forfeiture or other condition under any applicable restricted stock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board of directors of AVROBIO will take actions to accelerate the vesting of certain outstanding options to purchase AVROBIO common stock, after giving effect to the proposed one-for-ten reverse stock split, held by a current employee, director or consultant of AVROBIO as of the closing of the merger, and accelerate the vesting and settle into shares of AVROBIO common stock each outstanding restricted stock unit (“RSU”) in respect of AVROBIO common stock that vests solely on the basis of time. The acceleration of vesting of AVROBIO’s options and RSUs occurs either upon a change of control as defined, pursuant to the terms of the original awards, or a modification of the awards as a result of the merger. The post-merger stock-based compensation expense, including the incremental fair value of the AVROBIO’s options and RSUs associated with the modification to accelerate vesting is expected to be immaterial at Closing and is not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AVROBIO stockholders as of immediately prior to the merger are expected to own approximately 22.3% of the outstanding capital stock of the combined company on a fully diluted basis, former Tectonic stockholders are expected to own approximately 39.8% of the outstanding capital stock of the combined company on a fully diluted basis, and investors participating in the Subscription Agreements and Company SAFEs are expected to own approximately 28% and 10% of the outstanding capital stock of the combined company, respectively, on a fully diluted basis. Tectonic stockholders are expected to receive approximately 14,895,913 shares of AVROBIO common stock in connection with the merger, including 16,057 shares of AVROBIO common stock subject to vesting terms, based on the number of shares of Tectonic common stock outstanding immediately prior to the merger, including Tectonic Restricted Stock, the number of shares Tectonic common stock issued to investors participating in the Subscription Agreements and Company SAFEs, and Tectonic convertible preferred stock outstanding as of December 31, 2023, which will be converted into shares of Tectonic common stock on a one-for-one basis immediately prior to the closing of the merger. These estimates are subject to certain inputs, which include, but are not limited to, (i) the assumption that AVROBIO’s net cash at the Closing will be approximately $65.0 million, (ii) the proposed one-for-ten reverse stock split of AVROBIO common stock, and (iii) aggregate proceeds from the Private Financing Transactions (defined below) of $130.7 million. Tectonic Management does not currently expect the proceeds received from the Private Financing Transactions to change from the assumed $130.7 million. The following table summarizes the pro forma number of shares of common stock of the combined company outstanding following the consummation of the Transactions for the estimated range of AVROBIO net cash at Closing. Management currently anticipates that AVROBIO’s net cash as of the Closing will be approximately $65.0 million to $75.0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403"/>
        <w:gridCol w:w="120"/>
        <w:gridCol w:w="92"/>
        <w:gridCol w:w="1572"/>
        <w:gridCol w:w="78"/>
        <w:gridCol w:w="156"/>
        <w:gridCol w:w="156"/>
        <w:gridCol w:w="989"/>
        <w:gridCol w:w="275"/>
        <w:gridCol w:w="60"/>
        <w:gridCol w:w="89"/>
        <w:gridCol w:w="1546"/>
        <w:gridCol w:w="76"/>
        <w:gridCol w:w="153"/>
        <w:gridCol w:w="156"/>
        <w:gridCol w:w="989"/>
        <w:gridCol w:w="295"/>
      </w:tblGrid>
      <w:tr>
        <w:trPr/>
        <w:tc>
          <w:tcPr>
            <w:tcW w:w="34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40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Pro Forma</w:t>
              <w:br/>
              <w:t>(Assuming AVROBIO Net</w:t>
              <w:br/>
              <w:t>Cash at Closing of</w:t>
              <w:br/>
              <w:t>$65.0 Million)</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Assuming AVROBIO Net</w:t>
              <w:br/>
              <w:t>Cash at Closing of</w:t>
              <w:br/>
              <w:t>$75.0 Million</w:t>
            </w:r>
          </w:p>
        </w:tc>
        <w:tc>
          <w:tcPr>
            <w:tcW w:w="295" w:type="dxa"/>
            <w:tcBorders/>
            <w:vAlign w:val="center"/>
          </w:tcPr>
          <w:p>
            <w:pPr>
              <w:pStyle w:val="TableContents"/>
              <w:bidi w:val="0"/>
              <w:spacing w:before="0" w:after="283"/>
              <w:jc w:val="left"/>
              <w:rPr/>
            </w:pPr>
            <w:r>
              <w:rPr/>
              <w:t> </w:t>
            </w:r>
          </w:p>
        </w:tc>
      </w:tr>
      <w:tr>
        <w:trPr/>
        <w:tc>
          <w:tcPr>
            <w:tcW w:w="340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Capitalization Summary Upon Consummation of the Merger</w:t>
            </w:r>
          </w:p>
        </w:tc>
        <w:tc>
          <w:tcPr>
            <w:tcW w:w="120" w:type="dxa"/>
            <w:tcBorders/>
            <w:vAlign w:val="center"/>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Owned</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Ownership</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Owned</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Ownership</w:t>
            </w:r>
          </w:p>
        </w:tc>
        <w:tc>
          <w:tcPr>
            <w:tcW w:w="295" w:type="dxa"/>
            <w:tcBorders/>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Tectonic stockholders (1)</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right"/>
              <w:rPr/>
            </w:pPr>
            <w:r>
              <w:rPr/>
              <w:t>7,045,695</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6,276,338</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35</w:t>
            </w:r>
          </w:p>
        </w:tc>
        <w:tc>
          <w:tcPr>
            <w:tcW w:w="295" w:type="dxa"/>
            <w:tcBorders/>
            <w:shd w:fill="CCEEFF" w:val="clear"/>
            <w:vAlign w:val="center"/>
          </w:tcPr>
          <w:p>
            <w:pPr>
              <w:pStyle w:val="TableContents"/>
              <w:bidi w:val="0"/>
              <w:spacing w:before="0" w:after="283"/>
              <w:jc w:val="left"/>
              <w:rPr/>
            </w:pPr>
            <w:r>
              <w:rPr/>
              <w:t>% </w:t>
            </w:r>
          </w:p>
        </w:tc>
      </w:tr>
      <w:tr>
        <w:trPr/>
        <w:tc>
          <w:tcPr>
            <w:tcW w:w="34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AVROBIO stockholders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right"/>
              <w:rPr/>
            </w:pPr>
            <w:r>
              <w:rPr/>
              <w:t>4,555,562</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4,555,562</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26</w:t>
            </w:r>
          </w:p>
        </w:tc>
        <w:tc>
          <w:tcPr>
            <w:tcW w:w="295" w:type="dxa"/>
            <w:tcBorders/>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Company SAFEs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right"/>
              <w:rPr/>
            </w:pPr>
            <w:r>
              <w:rPr/>
              <w:t>2,049,253</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1,825,485</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10</w:t>
            </w:r>
          </w:p>
        </w:tc>
        <w:tc>
          <w:tcPr>
            <w:tcW w:w="295" w:type="dxa"/>
            <w:tcBorders/>
            <w:shd w:fill="CCEEFF" w:val="clear"/>
            <w:vAlign w:val="center"/>
          </w:tcPr>
          <w:p>
            <w:pPr>
              <w:pStyle w:val="TableContents"/>
              <w:bidi w:val="0"/>
              <w:spacing w:before="0" w:after="283"/>
              <w:jc w:val="left"/>
              <w:rPr/>
            </w:pPr>
            <w:r>
              <w:rPr/>
              <w:t>% </w:t>
            </w:r>
          </w:p>
        </w:tc>
      </w:tr>
      <w:tr>
        <w:trPr/>
        <w:tc>
          <w:tcPr>
            <w:tcW w:w="34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Subscription Agreements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right"/>
              <w:rPr/>
            </w:pPr>
            <w:r>
              <w:rPr/>
              <w:t>5,800,965</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5,167,527</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29</w:t>
            </w:r>
          </w:p>
        </w:tc>
        <w:tc>
          <w:tcPr>
            <w:tcW w:w="295" w:type="dxa"/>
            <w:tcBorders/>
            <w:vAlign w:val="center"/>
          </w:tcPr>
          <w:p>
            <w:pPr>
              <w:pStyle w:val="TableContents"/>
              <w:bidi w:val="0"/>
              <w:spacing w:before="0" w:after="283"/>
              <w:jc w:val="left"/>
              <w:rPr/>
            </w:pPr>
            <w:r>
              <w:rPr/>
              <w:t>% </w:t>
            </w:r>
          </w:p>
        </w:tc>
      </w:tr>
      <w:tr>
        <w:trPr/>
        <w:tc>
          <w:tcPr>
            <w:tcW w:w="34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72"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546"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stock of the combined company</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right"/>
              <w:rPr/>
            </w:pPr>
            <w:r>
              <w:rPr/>
              <w:t>19,451,475</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17,824,912</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100</w:t>
            </w:r>
          </w:p>
        </w:tc>
        <w:tc>
          <w:tcPr>
            <w:tcW w:w="295" w:type="dxa"/>
            <w:tcBorders/>
            <w:shd w:fill="CCEEFF" w:val="clear"/>
            <w:vAlign w:val="center"/>
          </w:tcPr>
          <w:p>
            <w:pPr>
              <w:pStyle w:val="TableContents"/>
              <w:bidi w:val="0"/>
              <w:spacing w:before="0" w:after="283"/>
              <w:jc w:val="left"/>
              <w:rPr/>
            </w:pPr>
            <w:r>
              <w:rPr/>
              <w:t>% </w:t>
            </w:r>
          </w:p>
        </w:tc>
      </w:tr>
      <w:tr>
        <w:trPr/>
        <w:tc>
          <w:tcPr>
            <w:tcW w:w="34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72" w:type="dxa"/>
            <w:tcBorders/>
            <w:vAlign w:val="center"/>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double" w:sz="6" w:space="1" w:color="000000"/>
              </w:pBdr>
              <w:bidi w:val="0"/>
              <w:spacing w:before="0" w:after="0"/>
              <w:jc w:val="left"/>
              <w:rPr/>
            </w:pPr>
            <w:r>
              <w:rPr/>
              <w:t> </w:t>
            </w:r>
          </w:p>
        </w:tc>
        <w:tc>
          <w:tcPr>
            <w:tcW w:w="1546" w:type="dxa"/>
            <w:tcBorders/>
            <w:vAlign w:val="center"/>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pro forma assumption that AVROBIO net cash at Closing will be $65.0 million, shares of common stock of the combined company expected to be received by former Tectonic stockholders include 16,057 shares that are subject to vesting conditions, based on the number of shares of Tectonic Restricted Stock on the date of this proxy statement/prospectus and the preliminary estimated Exchange Ratio of 0.74. Assuming AVROBIO net cash at Closing of $75.0 million, 14,304 shares of common stock of the combined company expected to be received by former Tectonic stockholders will be subject to the vesting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Assuming AVROBIO net cash at Closing of $75.0 million, the pro forma combined basic and diluted net loss per share for the year ended December 31, 2023 would be $(2.64).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AVROBIO stockholders, including approval to amend AVROBIO’s certificate of incorporation to effect the proposed one-for-ten reverse stock split of AVROBIO common stock, (2) approval by the requisite Tectonic stockholders of the adoption and approval of the Merger Agreement and the transactions contemplated thereby, (3) Nasdaq’s approval of the listing of the shares of AVROBIO common stock to be issued in connection with the merger and (4) the effectiveness of a registration statement filed with the SEC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for AVROBIO employees include entitlement to change in control payments for certain executives, and severance and retention bonus payments for certain non-executives, the aggregate of which will be treated as pre-merger compensation expense of AVROBIO and will be reflected as an increase to accrued expenses of AVROBIO, which will be assumed by the combined company at Closing. Prior to the Closing, AVROBIO also discontinued its research and development activities and terminated and/or expired its leases. Additionally, AVROBIO’s current Directors &amp; Officers (D&amp;O) policy will be fully utilized at Closing. </w:t>
      </w:r>
    </w:p>
    <w:p>
      <w:pPr>
        <w:pStyle w:val="TextBody"/>
        <w:bidi w:val="0"/>
        <w:spacing w:before="360" w:after="0"/>
        <w:jc w:val="left"/>
        <w:rPr>
          <w:rFonts w:ascii="Times New Roman" w:hAnsi="Times New Roman"/>
          <w:i/>
          <w:sz w:val="20"/>
        </w:rPr>
      </w:pPr>
      <w:r>
        <w:rPr>
          <w:rFonts w:ascii="Times New Roman" w:hAnsi="Times New Roman"/>
          <w:i/>
          <w:sz w:val="20"/>
        </w:rPr>
        <w:t xml:space="preserve">Private Financing Transactions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parties have entered into certain subscription agreements (the “Subscription Agreements”) with Tectonic to purchase, prior to the consummation of the merger, approximately 7,790,889 shares of Tectonic common stock at a purchase price of $12.40 per share for an aggregate purchase price of approximately $96.6 million. Shares of Tectonic common stock issued pursuant to the Subscription Agreements will be converted into shares of AVROBIO common stock at the Closing based on the Exchange Ratio, pursuant to the Merger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Company SAFEs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to December 2023, Tectonic entered into various simple agreements for future equity (the “Company SAFEs”) with existing investors, who are also related parties of Tectonic and received $34.1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representing the aggregate purchase amount. Tectonic accounts for the Company SAFEs as a liability pursuant to Accounting Standards Codification 480, </w:t>
      </w:r>
      <w:r>
        <w:rPr>
          <w:rFonts w:ascii="Times New Roman" w:hAnsi="Times New Roman"/>
          <w:i/>
          <w:sz w:val="20"/>
        </w:rPr>
        <w:t xml:space="preserve">Distinguishing Liabilities from Equity. </w:t>
      </w:r>
      <w:r>
        <w:rPr>
          <w:rFonts w:ascii="Times New Roman" w:hAnsi="Times New Roman"/>
          <w:sz w:val="20"/>
        </w:rPr>
        <w:t xml:space="preserve">The Company SAFEs were initially measured at their fair value upon issuance. In addition, until redemption, the Company SAFEs are measured at fair value on a recurring basis with subsequent changes in fair value recorded in the Tectonic’s statement of operations and comprehensive loss. Under the terms of the Company SAFEs, in the event of a public listing transaction such as on initial public offering or a reverse merger with a public company, the Company SAFEs will be redeemed through delivery of a variable number of shares of Tectonic common stock determined by dividing the Company SAFEs purchase amount by the offering or conversion price in the respective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from the private financing transactions (the Subscription Agreements and the Company SAFEs) is approximately $130.7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AVROBIO and its designated rights agent will enter into a Contingent Value Rights Agreement (the “CVR Agreement”). Pursuant to the CVR Agreement, each holder of AVROBIO common stock immediately prior to the effective time, will be entitled to receive a contractual contingent value right (“CVR”) subject to and in accordance with the terms and conditions of the CVR Agreement, representing the contractual right to receive a pro rata portion of 80% of the net proceeds, if any, as a result of an AVROBIO disposition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CVRs represent contingent consideration in the merger, however the unaudited pro forma condensed combined financial information does not include the fair value of contingent consideration related to the CVRs as the fair value of the CVRs is expected to be nominal at Closing. </w:t>
      </w:r>
    </w:p>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215"/>
        <w:gridCol w:w="1850"/>
      </w:tblGrid>
      <w:tr>
        <w:trPr/>
        <w:tc>
          <w:tcPr>
            <w:tcW w:w="215" w:type="dxa"/>
            <w:tcBorders/>
            <w:vAlign w:val="center"/>
          </w:tcPr>
          <w:p>
            <w:pPr>
              <w:pStyle w:val="TableContents"/>
              <w:bidi w:val="0"/>
              <w:spacing w:before="0" w:after="283"/>
              <w:jc w:val="left"/>
              <w:rPr>
                <w:b/>
              </w:rPr>
            </w:pPr>
            <w:r>
              <w:rPr>
                <w:b/>
              </w:rPr>
              <w:t>2.</w:t>
            </w:r>
          </w:p>
        </w:tc>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is prepared in accordance with Article 11 of SEC Regulation S-X. The adjustments presented in the unaudited pro forma condensed combined financial information have been identified and presented to provide relevant information necessary for an understanding of the combined company upon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cash used in AVROBIO’s operations, and (iii) other changes in AVROBIO’s assets and liabilities, which are expected to be completed after the Closing, and these differences could have a material impact on the accompanying unaudited pro forma condensed combined financial information and the combined company’s future results of operations and financial position. </w:t>
      </w:r>
    </w:p>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215"/>
        <w:gridCol w:w="1745"/>
      </w:tblGrid>
      <w:tr>
        <w:trPr/>
        <w:tc>
          <w:tcPr>
            <w:tcW w:w="215" w:type="dxa"/>
            <w:tcBorders/>
            <w:vAlign w:val="center"/>
          </w:tcPr>
          <w:p>
            <w:pPr>
              <w:pStyle w:val="TableContents"/>
              <w:bidi w:val="0"/>
              <w:spacing w:before="0" w:after="283"/>
              <w:jc w:val="left"/>
              <w:rPr>
                <w:b/>
              </w:rPr>
            </w:pPr>
            <w:r>
              <w:rPr>
                <w:b/>
              </w:rPr>
              <w:t>3.</w:t>
            </w:r>
          </w:p>
        </w:tc>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the accompanying unaudited pro forma combined financial information, Management was not aware of any material differences between Tectonic’s accounting policies and the accounting policies of AVROBIO. Following the consummation of the merger, Tectonic will conduct a more detailed review of AVROBIO’s accounting policies. As a result, Tectonic may identify differences between the accounting policies of the two companies that, when conformed, could have had a material impact on the accompanying unaudited pro forma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446 </w:t>
      </w:r>
      <w:r>
        <w:br w:type="page"/>
      </w:r>
    </w:p>
    <w:p>
      <w:pPr>
        <w:pStyle w:val="HorizontalLine"/>
        <w:bidi w:val="0"/>
        <w:jc w:val="left"/>
        <w:rPr/>
      </w:pPr>
      <w:r>
        <w:rPr/>
      </w:r>
    </w:p>
    <w:tbl>
      <w:tblPr>
        <w:tblW w:w="2545" w:type="dxa"/>
        <w:jc w:val="left"/>
        <w:tblInd w:w="0" w:type="dxa"/>
        <w:tblLayout w:type="fixed"/>
        <w:tblCellMar>
          <w:top w:w="0" w:type="dxa"/>
          <w:left w:w="0" w:type="dxa"/>
          <w:bottom w:w="0" w:type="dxa"/>
          <w:right w:w="0" w:type="dxa"/>
        </w:tblCellMar>
      </w:tblPr>
      <w:tblGrid>
        <w:gridCol w:w="215"/>
        <w:gridCol w:w="2330"/>
      </w:tblGrid>
      <w:tr>
        <w:trPr/>
        <w:tc>
          <w:tcPr>
            <w:tcW w:w="215" w:type="dxa"/>
            <w:tcBorders/>
            <w:vAlign w:val="center"/>
          </w:tcPr>
          <w:p>
            <w:pPr>
              <w:pStyle w:val="TableContents"/>
              <w:bidi w:val="0"/>
              <w:spacing w:before="0" w:after="283"/>
              <w:jc w:val="left"/>
              <w:rPr>
                <w:b/>
              </w:rPr>
            </w:pPr>
            <w:r>
              <w:rPr>
                <w:b/>
              </w:rPr>
              <w:t>4.</w:t>
            </w:r>
          </w:p>
        </w:tc>
        <w:tc>
          <w:tcPr>
            <w:tcW w:w="2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for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will be accounted for under U.S. generally accepted accounting principles (“GAAP”) as an in-substance reverse recapitalization of AVROBIO by Tectonic. Under this method of accounting, Tectonic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stockholders will own a substantial majority of the voting rights in the combined company;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largest stockholder will retain the largest interest in the combined company;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will designate a majority of the initial members of the board of directors of the combined company;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executive management team will become the management of the combined company; and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Tectonic Therapeutic, Inc. and will be headquartered in Massachusetts.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Tectonic being treated as the accounting acquirer, Tectonic’s assets and liabilities will be recorded at their pre-combination carrying amounts. AVROBIO’s assets and liabilities will be measured and recognized at their fair values as of the effective time, which are expected to approximate the carrying value of the acquired cash and other non-operating assets, with no goodwill or other intangible assets recorded. Any difference between the consideration transferred and the fair value of the net assets of AVROBIO following the determination of the actual consideration transferred for AVROBIO will be reflected as an adjustment to additional paid-in capital. For periods prior to Closing, the historical financial statements of Tectonic shall become the historical financial statements of the combined company.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Preliminary Estimated Consideration Transferred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estimated preliminary purchase price, which represents the consideration transferred to AVROBIO stockholders in the merger, is calculated based on the fair value of the common stock of the combined company that AVROBIO stockholders will own as of the Closing of the Transaction because, with no active trading market for shares of Tectonic, the fair value of the AVROBIO common stock represents a more reliable measure of the fair value of consideration transferred in the merger. Accordingly, the accompanying unaudited pro forma combined financial information reflects an estimated preliminary purchase price of approximately $59.9 million. The following summarizes the preliminary estimate of the purchase price to be paid in the merger, after giving effect to the proposed one-for-ten reverse stock split of AVROBIO common stock (in thousands, except share and per share amounts): </w:t>
      </w:r>
    </w:p>
    <w:p>
      <w:pPr>
        <w:pStyle w:val="TextBody"/>
        <w:bidi w:val="0"/>
        <w:spacing w:before="0" w:after="0"/>
        <w:jc w:val="left"/>
        <w:rPr/>
      </w:pPr>
      <w:r>
        <w:rPr/>
        <w:t> </w:t>
      </w:r>
    </w:p>
    <w:tbl>
      <w:tblPr>
        <w:tblW w:w="10035" w:type="dxa"/>
        <w:jc w:val="left"/>
        <w:tblInd w:w="0" w:type="dxa"/>
        <w:tblLayout w:type="fixed"/>
        <w:tblCellMar>
          <w:top w:w="0" w:type="dxa"/>
          <w:left w:w="0" w:type="dxa"/>
          <w:bottom w:w="0" w:type="dxa"/>
          <w:right w:w="0" w:type="dxa"/>
        </w:tblCellMar>
      </w:tblPr>
      <w:tblGrid>
        <w:gridCol w:w="8720"/>
        <w:gridCol w:w="120"/>
        <w:gridCol w:w="140"/>
        <w:gridCol w:w="980"/>
        <w:gridCol w:w="75"/>
      </w:tblGrid>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number of common shares of the combined company to be owned by AVROBIO stockholders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4,539,525</w:t>
            </w:r>
          </w:p>
        </w:tc>
        <w:tc>
          <w:tcPr>
            <w:tcW w:w="75"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Multiplied by the estimated fair value per share of AVROBIO common stock (2)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13.00</w:t>
            </w:r>
          </w:p>
        </w:tc>
        <w:tc>
          <w:tcPr>
            <w:tcW w:w="75" w:type="dxa"/>
            <w:tcBorders/>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59,014</w:t>
            </w:r>
          </w:p>
        </w:tc>
        <w:tc>
          <w:tcPr>
            <w:tcW w:w="75"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fair value of assumed AVROBIO stock-based awards based on pre-merger service (3)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923</w:t>
            </w:r>
          </w:p>
        </w:tc>
        <w:tc>
          <w:tcPr>
            <w:tcW w:w="75" w:type="dxa"/>
            <w:tcBorders/>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estimated purchase price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59,937</w:t>
            </w:r>
          </w:p>
        </w:tc>
        <w:tc>
          <w:tcPr>
            <w:tcW w:w="75"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final purchase price will be determined based on the number of shares of AVROBIO common stock that AVROBIO stockholders own immediately prior to the closing of the merger. For purposes of this unaudited pro forma condensed combined financial information, the estimated number of shares, after giving effect to the proposed one-for-ten reverse stock split of AVROBIO common stock, represents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4,465,374 shares of AVROBIO common stock outstanding as of December 31, 2023, 22,409 shares of AVROBIO common stock issued subsequent to December 31, 2023 and 51,742 unvested RSUs outstanding as of the date of this proxy statement/prospectus which will become vested in full upon the closing of the merger in accordance with the terms of the original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estimated preliminary purchase price is based on the closing price of AVROBIO common stock on the Nasdaq Global Market on March 15, 2024, and adjusted to give effect to the proposed one-for-ten reverse stock split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estimated acquisition-date fair value of the assumed AVROBIO equity awards attributable to pre-merger service expected to be outstanding as of the effective time. This is included as an adjustment to the unaudited pro forma condensed combined balance sheet by crediting and debiting additional paid-in capital, resulting in no impact to the 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actual purchase price for the net assets of AVROBIO will vary based on, among other things, the net cash calculation prior to Closing, the exchange ratio and the AVROBIO share price at Closing. As such, the estimated purchase price consideration reflected in the unaudited pro forma condensed combined financial information does not purport to represent what the actual purchase price consideration will be when the merger is completed. The actual purchase price will fluctuate until the effective time, and the final valuation of the purchase price consideration could differ significantly from the current estimate.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215"/>
        <w:gridCol w:w="8210"/>
      </w:tblGrid>
      <w:tr>
        <w:trPr/>
        <w:tc>
          <w:tcPr>
            <w:tcW w:w="215" w:type="dxa"/>
            <w:tcBorders/>
            <w:vAlign w:val="center"/>
          </w:tcPr>
          <w:p>
            <w:pPr>
              <w:pStyle w:val="TableContents"/>
              <w:bidi w:val="0"/>
              <w:spacing w:before="0" w:after="283"/>
              <w:jc w:val="left"/>
              <w:rPr>
                <w:b/>
              </w:rPr>
            </w:pPr>
            <w:r>
              <w:rPr>
                <w:b/>
              </w:rPr>
              <w:t>5.</w:t>
            </w:r>
          </w:p>
        </w:tc>
        <w:tc>
          <w:tcPr>
            <w:tcW w:w="82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of AVROBIO Common Stock Issued to Tectonic Stockholders upon Closing of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Closing, all outstanding shares of Tectonic common stock (including shares of Tectonic common stock issued upon conversion of Tectonic convertible preferred stock and shares of Tectonic common stock issued in connection with the Subscription Agreements and Company SAFEs) will be exchanged for shares of AVROBIO common stock based on the preliminary estimated Exchange Ratio of 0.74, determined in accordance with the terms of the Merger Agreement and after giving effect to the proposed one-for-ten reverse stock split of AVROBIO common stock. The estimated number of shares of AVROBIO common stock that AVROBIO expects to issue to Tectonic’s stockholders assumes AVROBIO’s net cash at Closing is $65.0 million and is determined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50"/>
        <w:gridCol w:w="120"/>
        <w:gridCol w:w="60"/>
        <w:gridCol w:w="1100"/>
        <w:gridCol w:w="75"/>
      </w:tblGrid>
      <w:tr>
        <w:trPr/>
        <w:tc>
          <w:tcPr>
            <w:tcW w:w="8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Tectonic common stock outstanding as of December 31, 2023 (1)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2,634,246</w:t>
            </w:r>
          </w:p>
        </w:tc>
        <w:tc>
          <w:tcPr>
            <w:tcW w:w="75" w:type="dxa"/>
            <w:tcBorders/>
            <w:shd w:fill="CCEEFF" w:val="clear"/>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 stock option exercises subsequent to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2,874</w:t>
            </w:r>
          </w:p>
        </w:tc>
        <w:tc>
          <w:tcPr>
            <w:tcW w:w="75" w:type="dxa"/>
            <w:tcBorders/>
            <w:vAlign w:val="center"/>
          </w:tcPr>
          <w:p>
            <w:pPr>
              <w:pStyle w:val="TableContents"/>
              <w:bidi w:val="0"/>
              <w:spacing w:before="0" w:after="283"/>
              <w:jc w:val="left"/>
              <w:rPr/>
            </w:pPr>
            <w:r>
              <w:rPr/>
              <w:t> </w:t>
            </w:r>
          </w:p>
        </w:tc>
      </w:tr>
      <w:tr>
        <w:trPr/>
        <w:tc>
          <w:tcPr>
            <w:tcW w:w="8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Tectonic common stock to be issued upon conversion of Tectonic convertible preferred stock, see Note 6(d)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6,825,483</w:t>
            </w:r>
          </w:p>
        </w:tc>
        <w:tc>
          <w:tcPr>
            <w:tcW w:w="75" w:type="dxa"/>
            <w:tcBorders/>
            <w:shd w:fill="CCEEFF" w:val="clear"/>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Tectonic common stock to be issued in connection with the Subscription Agreements, see Note 6(e)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7,790,889</w:t>
            </w:r>
          </w:p>
        </w:tc>
        <w:tc>
          <w:tcPr>
            <w:tcW w:w="75" w:type="dxa"/>
            <w:tcBorders/>
            <w:vAlign w:val="center"/>
          </w:tcPr>
          <w:p>
            <w:pPr>
              <w:pStyle w:val="TableContents"/>
              <w:bidi w:val="0"/>
              <w:spacing w:before="0" w:after="283"/>
              <w:jc w:val="left"/>
              <w:rPr/>
            </w:pPr>
            <w:r>
              <w:rPr/>
              <w:t> </w:t>
            </w:r>
          </w:p>
        </w:tc>
      </w:tr>
      <w:tr>
        <w:trPr/>
        <w:tc>
          <w:tcPr>
            <w:tcW w:w="8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Tectonic common stock to be issued upon redemption of the Company SAFEs, see Note 6(f)</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2,752,216</w:t>
            </w:r>
          </w:p>
        </w:tc>
        <w:tc>
          <w:tcPr>
            <w:tcW w:w="75" w:type="dxa"/>
            <w:tcBorders/>
            <w:shd w:fill="CCEEFF" w:val="clear"/>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Tectonic common shares outstanding prior to the closing of the 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20,005,708</w:t>
            </w:r>
          </w:p>
        </w:tc>
        <w:tc>
          <w:tcPr>
            <w:tcW w:w="75" w:type="dxa"/>
            <w:tcBorders/>
            <w:vAlign w:val="center"/>
          </w:tcPr>
          <w:p>
            <w:pPr>
              <w:pStyle w:val="TableContents"/>
              <w:bidi w:val="0"/>
              <w:spacing w:before="0" w:after="283"/>
              <w:jc w:val="left"/>
              <w:rPr/>
            </w:pPr>
            <w:r>
              <w:rPr/>
              <w:t> </w:t>
            </w:r>
          </w:p>
        </w:tc>
      </w:tr>
      <w:tr>
        <w:trPr/>
        <w:tc>
          <w:tcPr>
            <w:tcW w:w="8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0.74</w:t>
            </w:r>
          </w:p>
        </w:tc>
        <w:tc>
          <w:tcPr>
            <w:tcW w:w="75" w:type="dxa"/>
            <w:tcBorders/>
            <w:shd w:fill="CCEEFF" w:val="clear"/>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Estimated shares of AVROBIO common stock expected to be issued to Tectonic stockholders </w:t>
              <w:br/>
              <w:t>upon closing of the merger (2)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14,895,913</w:t>
            </w:r>
          </w:p>
        </w:tc>
        <w:tc>
          <w:tcPr>
            <w:tcW w:w="75" w:type="dxa"/>
            <w:tcBorders/>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Tectonic common stock outstanding include 35,494 shares of unvested Tectonic Restricted Stock as of December 31,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estimated shares of AVROBIO common stock expected to be issued to Tectonic stockholders at Closing, including 16,057 shares of AVROBIO common stock subject to the same vesting conditions, based on 21,565 shares of Tectonic Restricted Stock on the date of this proxy statement/prospectus and the preliminary estimated Exchange Ratio of 0.74.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merger, AVROBIO will assume all of the outstanding options to acquire Tectonic common stock and such stock options will become exercisable for shares of AVROBIO common stock following the merger. </w:t>
      </w:r>
    </w:p>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215"/>
        <w:gridCol w:w="8435"/>
      </w:tblGrid>
      <w:tr>
        <w:trPr/>
        <w:tc>
          <w:tcPr>
            <w:tcW w:w="215" w:type="dxa"/>
            <w:tcBorders/>
            <w:vAlign w:val="center"/>
          </w:tcPr>
          <w:p>
            <w:pPr>
              <w:pStyle w:val="TableContents"/>
              <w:bidi w:val="0"/>
              <w:spacing w:before="0" w:after="283"/>
              <w:jc w:val="left"/>
              <w:rPr>
                <w:b/>
              </w:rPr>
            </w:pPr>
            <w:r>
              <w:rPr>
                <w:b/>
              </w:rPr>
              <w:t>6.</w:t>
            </w:r>
          </w:p>
        </w:tc>
        <w:tc>
          <w:tcPr>
            <w:tcW w:w="84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Balance Sheet as of December 31,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485"/>
        <w:gridCol w:w="7550"/>
      </w:tblGrid>
      <w:tr>
        <w:trPr/>
        <w:tc>
          <w:tcPr>
            <w:tcW w:w="485" w:type="dxa"/>
            <w:tcBorders/>
            <w:vAlign w:val="center"/>
          </w:tcPr>
          <w:p>
            <w:pPr>
              <w:pStyle w:val="TableContents"/>
              <w:bidi w:val="0"/>
              <w:spacing w:before="0" w:after="283"/>
              <w:jc w:val="left"/>
              <w:rPr/>
            </w:pPr>
            <w:r>
              <w:rPr/>
              <w:t>6(A)</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balance sheet of AVROBIO as of December 31, 2023.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470"/>
        <w:gridCol w:w="7400"/>
      </w:tblGrid>
      <w:tr>
        <w:trPr/>
        <w:tc>
          <w:tcPr>
            <w:tcW w:w="470" w:type="dxa"/>
            <w:tcBorders/>
            <w:vAlign w:val="center"/>
          </w:tcPr>
          <w:p>
            <w:pPr>
              <w:pStyle w:val="TableContents"/>
              <w:bidi w:val="0"/>
              <w:spacing w:before="0" w:after="283"/>
              <w:jc w:val="left"/>
              <w:rPr/>
            </w:pPr>
            <w:r>
              <w:rPr/>
              <w:t>6(B)</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balance sheet of Tectonic as of December 31,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Balance Sheet Transaction Accounting Adjustments: </w:t>
      </w:r>
    </w:p>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410"/>
        <w:gridCol w:w="7325"/>
      </w:tblGrid>
      <w:tr>
        <w:trPr/>
        <w:tc>
          <w:tcPr>
            <w:tcW w:w="410" w:type="dxa"/>
            <w:tcBorders/>
            <w:vAlign w:val="center"/>
          </w:tcPr>
          <w:p>
            <w:pPr>
              <w:pStyle w:val="TableContents"/>
              <w:bidi w:val="0"/>
              <w:spacing w:before="0" w:after="283"/>
              <w:jc w:val="left"/>
              <w:rPr/>
            </w:pPr>
            <w:r>
              <w:rPr/>
              <w:t>6(a)</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exercise of 2,874 Tectonic stock options subsequent to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6(b)</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AVROBIO’s common stock activity subsequent to December 31, 2023, including the exercise of 2,835 stock options, release of 19,097 RSUs and the issuance of 477 shares under AVROBIO’s 2018 Employee Stock Purchase Plan, after giving effect to the proposed one-for-ten reverse stock split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6(c)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incremental compensation expense of $4.2 million related to severance, retention bonuses and change in control payments resulting from pre-existing employment agreements or from approval from AVROBIO’s board of directors that is expected to be incurred upon closing of the merger. The pro forma adjustment is reflected as a decrease in cash of $3.1 million for the severance and retention bonuses payments made subsequent to December 31, 2023, an increase in accrued expenses of $1.1 million for the remaining amounts to be paid subsequent to the Closing, and an increase to accumulated deficit of $4.2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6(d)</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automatic conversion, on a one-to-one basis, of all outstanding shares of Tectonic convertible preferred stock, with a carrying amount of $80.6 million, into 6,825,483 shares of Tectonic common stock immediately prior to the merger. Tectonic convertible preferred stock outstanding is comprised of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70"/>
        <w:gridCol w:w="120"/>
        <w:gridCol w:w="60"/>
        <w:gridCol w:w="980"/>
        <w:gridCol w:w="75"/>
      </w:tblGrid>
      <w:tr>
        <w:trPr/>
        <w:tc>
          <w:tcPr>
            <w:tcW w:w="8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Tectonic Convertible Preferred Stock</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4,118,120</w:t>
            </w:r>
          </w:p>
        </w:tc>
        <w:tc>
          <w:tcPr>
            <w:tcW w:w="75" w:type="dxa"/>
            <w:tcBorders/>
            <w:shd w:fill="CCEEFF" w:val="clear"/>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1,649,188</w:t>
            </w:r>
          </w:p>
        </w:tc>
        <w:tc>
          <w:tcPr>
            <w:tcW w:w="75" w:type="dxa"/>
            <w:tcBorders/>
            <w:vAlign w:val="center"/>
          </w:tcPr>
          <w:p>
            <w:pPr>
              <w:pStyle w:val="TableContents"/>
              <w:bidi w:val="0"/>
              <w:spacing w:before="0" w:after="283"/>
              <w:jc w:val="left"/>
              <w:rPr/>
            </w:pPr>
            <w:r>
              <w:rPr/>
              <w:t> </w:t>
            </w:r>
          </w:p>
        </w:tc>
      </w:tr>
      <w:tr>
        <w:trPr/>
        <w:tc>
          <w:tcPr>
            <w:tcW w:w="8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696,516</w:t>
            </w:r>
          </w:p>
        </w:tc>
        <w:tc>
          <w:tcPr>
            <w:tcW w:w="75" w:type="dxa"/>
            <w:tcBorders/>
            <w:shd w:fill="CCEEFF" w:val="clear"/>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361,659</w:t>
            </w:r>
          </w:p>
        </w:tc>
        <w:tc>
          <w:tcPr>
            <w:tcW w:w="75" w:type="dxa"/>
            <w:tcBorders/>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of Tectonic convertible preferred stock converted to shares of Tectonic common stock immediately prior to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6,825,483</w:t>
            </w:r>
          </w:p>
        </w:tc>
        <w:tc>
          <w:tcPr>
            <w:tcW w:w="75" w:type="dxa"/>
            <w:tcBorders/>
            <w:shd w:fill="CCEEFF" w:val="clear"/>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6(e)</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issuance of 7,790,889 shares of Tectonic common stock pursuant to the Subscription Agreements entered into concurrently with the execution of the Merger Agreement, for an aggregate purchase price of $96.6 million. The proceeds received in connection with the Subscription Agreements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recorded net of transaction costs deemed to be direct and incremental costs of the equity financing in the amount of approximately $2.0 million. The issuance of shares in connection with the Subscription Agreements are recorded as the issuance of Tectonic common stock at par value, with the remaining amount recorded to additional paid-in-capital.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6(f)</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pursuant to the terms of the Company SAFEs, the automatic redemption of the principal balance of the Company SAFEs of $34.1 million, in the event of a public listing transaction, into 2,752,216 shares of Tectonic common stock at the estimated conversion price of $12.40 per share immediately prior to the closing of the merger, and the change in fair value of the SAFE liabilities of $3.6 million immediately prior to the redemption, which represents the difference between principal balance and the fair value of the Company SAFEs as of December 31, 2023, as an increase to accumulated deficit. The redemption is recorded as the issuance of Tectonic common stock at par value, with the remaining amount recorded to additional paid-in-capital.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6(g)</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transaction costs of $7.5 million that are expected to be incurred by Tectonic in connection with the merger, such as advisory, legal and auditor fees, as an increase in accrued expenses of $6.8 million for transaction costs not yet reflected in the historical financial statements, the derecognition of the deferred offering costs of $0.7 million included in the historical financial statements, and a reduction to additional paid-in capital of $7.5 million in the unaudited pro forma condensed combined balance sheet. As the merger will be accounted for as a reverse recapitalization equivalent to the issuance of equity for the net assets, primarily cash, of AVROBIO, these direct and incremental costs are treated as a reduction of the net proceeds received within additional paid-in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6(h)</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transaction costs of $7.1 million, not yet reflected in the historical financial statements, which are expected to be incurred by AVROBIO in connection with the merger, such as advisory, legal and auditor fees and including the estimated $2.5 million cost of a D&amp;O tail policy, as an increase in accrued expenses and accumulated deficit in the unaudited pro forma condensed combined balance sheet.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6(i)</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derecognize $1.4 million of AVROBIO’s prepaid expenses consisting of $0.6 million of prepaid research and development expenses related to discontinued research and development activities and $0.8 million of prepaid insurance primarily related to the current AVROBIO’s D&amp;O policy that will be fully utilized at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6(j)</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derecognition of AVROBIO’s operating leases that will be terminated or expire prior to the closing of the merger. The operating lease right-of-use assets of $0.4 million and related operating lease liabilities of $0.9 million, will be derecognized, resulting in a $0.5 million gain on termination of lease.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pPr>
            <w:r>
              <w:rPr/>
              <w:t>6(k)</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release of $0.7 million of AVROBIO’s restricted cash, consisting of cash used to secure letters of credit in connection with AVROBIO’s lease agreements and corporate credit card program that will be terminated prior to the closing of the merger, to cash and cash equivalents.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6(l)</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recapitalization of Tectonic, pursuant to the Merger Agreement, through the contribution of 20,005,708 shares of Tectonic common stock (see Note 5), and the issuance of 14,895,913 shares of AVROBIO common stock, reflecting the estimated Exchange Ratio of 0.74 after giving effect to the proposed one-for-ten reverse stock split of AVROBIO common stock, and to reflect the derecognition of the accumulated deficit of AVROBIO which is reversed to additional paid-in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derecognition of accumulated deficit of AVROBIO of $489.5 million is determined as follows (in thousands): </w:t>
      </w:r>
    </w:p>
    <w:p>
      <w:pPr>
        <w:pStyle w:val="TextBody"/>
        <w:bidi w:val="0"/>
        <w:spacing w:before="0" w:after="0"/>
        <w:jc w:val="left"/>
        <w:rPr/>
      </w:pPr>
      <w:r>
        <w:rPr/>
        <w:t> </w:t>
      </w:r>
    </w:p>
    <w:tbl>
      <w:tblPr>
        <w:tblW w:w="10115" w:type="dxa"/>
        <w:jc w:val="left"/>
        <w:tblInd w:w="0" w:type="dxa"/>
        <w:tblLayout w:type="fixed"/>
        <w:tblCellMar>
          <w:top w:w="0" w:type="dxa"/>
          <w:left w:w="0" w:type="dxa"/>
          <w:bottom w:w="0" w:type="dxa"/>
          <w:right w:w="0" w:type="dxa"/>
        </w:tblCellMar>
      </w:tblPr>
      <w:tblGrid>
        <w:gridCol w:w="8885"/>
        <w:gridCol w:w="120"/>
        <w:gridCol w:w="140"/>
        <w:gridCol w:w="800"/>
        <w:gridCol w:w="170"/>
      </w:tblGrid>
      <w:tr>
        <w:trPr/>
        <w:tc>
          <w:tcPr>
            <w:tcW w:w="8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 of AVROBIO as of December 31,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477,275</w:t>
            </w:r>
          </w:p>
        </w:tc>
        <w:tc>
          <w:tcPr>
            <w:tcW w:w="170"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expense related to severance, retention bonuses and change in control payments, see Note 6(c)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4,200</w:t>
            </w:r>
          </w:p>
        </w:tc>
        <w:tc>
          <w:tcPr>
            <w:tcW w:w="170"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AVROBIO, see Note 6(h)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7,096</w:t>
            </w:r>
          </w:p>
        </w:tc>
        <w:tc>
          <w:tcPr>
            <w:tcW w:w="170"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Derecognition of prepaid research and development and prepaid insurance, see Note 6(i)</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1,388</w:t>
            </w:r>
          </w:p>
        </w:tc>
        <w:tc>
          <w:tcPr>
            <w:tcW w:w="170"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termination of operating leases, see Note 6(j)</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(446</w:t>
            </w:r>
          </w:p>
        </w:tc>
        <w:tc>
          <w:tcPr>
            <w:tcW w:w="170"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adjustment to derecognize the accumulated deficit of AVROBIO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489,513</w:t>
            </w:r>
          </w:p>
        </w:tc>
        <w:tc>
          <w:tcPr>
            <w:tcW w:w="170" w:type="dxa"/>
            <w:tcBorders/>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215"/>
        <w:gridCol w:w="7190"/>
      </w:tblGrid>
      <w:tr>
        <w:trPr/>
        <w:tc>
          <w:tcPr>
            <w:tcW w:w="215" w:type="dxa"/>
            <w:tcBorders/>
            <w:vAlign w:val="center"/>
          </w:tcPr>
          <w:p>
            <w:pPr>
              <w:pStyle w:val="TableContents"/>
              <w:bidi w:val="0"/>
              <w:spacing w:before="0" w:after="283"/>
              <w:jc w:val="left"/>
              <w:rPr>
                <w:b/>
              </w:rPr>
            </w:pPr>
            <w:r>
              <w:rPr>
                <w:b/>
              </w:rPr>
              <w:t>7.</w:t>
            </w:r>
          </w:p>
        </w:tc>
        <w:tc>
          <w:tcPr>
            <w:tcW w:w="7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9"/>
        <w:gridCol w:w="9776"/>
      </w:tblGrid>
      <w:tr>
        <w:trPr/>
        <w:tc>
          <w:tcPr>
            <w:tcW w:w="429" w:type="dxa"/>
            <w:tcBorders/>
            <w:vAlign w:val="center"/>
          </w:tcPr>
          <w:p>
            <w:pPr>
              <w:pStyle w:val="TableContents"/>
              <w:bidi w:val="0"/>
              <w:spacing w:before="0" w:after="283"/>
              <w:jc w:val="left"/>
              <w:rPr/>
            </w:pPr>
            <w:r>
              <w:rPr/>
              <w:t>7(A)</w:t>
            </w:r>
          </w:p>
        </w:tc>
        <w:tc>
          <w:tcPr>
            <w:tcW w:w="9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operations and comprehensive income (loss) of AVROBIO for the year ended December 31, 2023. </w:t>
            </w:r>
          </w:p>
        </w:tc>
      </w:tr>
    </w:tbl>
    <w:tbl>
      <w:tblPr>
        <w:tblW w:w="10205" w:type="dxa"/>
        <w:jc w:val="left"/>
        <w:tblInd w:w="0" w:type="dxa"/>
        <w:tblLayout w:type="fixed"/>
        <w:tblCellMar>
          <w:top w:w="0" w:type="dxa"/>
          <w:left w:w="0" w:type="dxa"/>
          <w:bottom w:w="0" w:type="dxa"/>
          <w:right w:w="0" w:type="dxa"/>
        </w:tblCellMar>
      </w:tblPr>
      <w:tblGrid>
        <w:gridCol w:w="434"/>
        <w:gridCol w:w="9771"/>
      </w:tblGrid>
      <w:tr>
        <w:trPr/>
        <w:tc>
          <w:tcPr>
            <w:tcW w:w="434" w:type="dxa"/>
            <w:tcBorders/>
            <w:vAlign w:val="center"/>
          </w:tcPr>
          <w:p>
            <w:pPr>
              <w:pStyle w:val="TableContents"/>
              <w:bidi w:val="0"/>
              <w:spacing w:before="0" w:after="283"/>
              <w:jc w:val="left"/>
              <w:rPr/>
            </w:pPr>
            <w:r>
              <w:rPr/>
              <w:t>7(B)</w:t>
            </w:r>
          </w:p>
        </w:tc>
        <w:tc>
          <w:tcPr>
            <w:tcW w:w="97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operations and comprehensive loss of Tectonic for the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Tectonic’s history of net losses and valuation allowance, management assumed an effective tax rate of 0%. Therefore, the pro forma adjustments to the unaudited pro forma condensed combined statement of operations resulted in no additional income tax adjustment to the unaudited pro forma condensed combined financial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Statement of Operations Transaction Accounting Adjustments: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7(a)</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incremental compensation expense related to severance, retention bonuses and change in control payments recorded in research and development expenses of $1.8 million and general and administrative expenses of $2.4 million, resulting from pre-existing employment agreements or from approval from AVROBIO’s board of directors that will be incurred upon Closing assuming that the adjustment described in Note 6(c) was made on January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7(b)</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AVROBIO’s estimated advisory, legal, audit and other costs related to the merger, including the estimated cost of a D&amp;O tail policy, that are not recorded in its historical financial statements as an increase to general and administrative expenses in the unaudited pro forma condensed combined statement of operations for the year ended December 31, 2023 assuming that the adjustment described in Note 6(h) was made on January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7(c)</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derecognition of AVROBIO’s prepaid research and development expenses of $0.6 million related to discontinued research and development activities, and prepaid insurance of $0.8 million primarily related to the current AVROBIO D&amp;O policy that will be fully utilized at Closing, assuming the adjustment made in Note 6(i) was made on January 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pPr>
            <w:r>
              <w:rPr/>
              <w:t>7(d)</w:t>
            </w:r>
          </w:p>
        </w:tc>
        <w:tc>
          <w:tcPr>
            <w:tcW w:w="9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adjustment of the SAFE liabilities to fair value immediately prior to the redemption of the Company SAFEs, assuming that the adjustment described in Note 6(f) was made on January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7(e)</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gain on termination of AVROBIO’s operating leases of $0.5 million, relating to AVROBIO’s operating leases that will be terminated or expire prior to the closing of the merger assuming that the adjustment described in Note 6(j) was made on January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7(f)</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 forma combined basic and diluted net income (loss) per share has been adjusted to reflect the pro forma net loss for the year ended December 31, 2023. In addition, the number of shares used in calculating the pro forma combined basic and diluted net loss per share has been adjusted to reflect the estimated total number of shares of common stock of the combined company for the presenting period, after giving effect to the proposed one-for-ten reverse stock split of AVROBIO common stock. For the year ended December 31, 2023, the pro forma weighted average shares have been calculated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10"/>
        <w:gridCol w:w="120"/>
        <w:gridCol w:w="60"/>
        <w:gridCol w:w="1100"/>
        <w:gridCol w:w="60"/>
        <w:gridCol w:w="120"/>
        <w:gridCol w:w="60"/>
        <w:gridCol w:w="1100"/>
        <w:gridCol w:w="75"/>
      </w:tblGrid>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Basic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Diluted</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Historical weighted-average number of Tectonic common shares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2,373,674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2,373,674</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 stock option exercises subsequent to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2,874</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Impact of Tectonic convertible preferred stock assuming conversion as of January 1, 2023, see Note 6(d)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6,825,483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6,825,483</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Impact of Tectonic private financing transactions assuming consummation of the merger as of January 1, 2023, see Note 6(e) and 6(f)</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10,543,105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10,543,105</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19,745,136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19,745,136</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Application of exchange ratio to historical Tectonic weighted-average shares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0.74</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Tectonic weighted-average number of common shares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14,701,898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14,701,898</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Historical weighted-average number of AVROBIO common shares outstanding, after giving effect to the proposed one-for-ten reverse stock split of AVROBIO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4,432,720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4,456,792</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AVROBIO common stock issued subsequent to December 31, 2023, assuming consummation of the merger as of January 1, 2023, see Note 6(b)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22,409</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awards subject to outstanding AVROBIO RSUs that fully vest upon consummation of the merger (1)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67,779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67,779</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19,224,806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19,248,878</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AVROBIO RSUs expected to be outstanding as of the Closing, after giving effect to the proposed one-for-ten reverse stock split of AVROBIO common stock, including 51,742 RSUs that vest in full immediately prior to the Closing in accordance with the terms of the original awards and 16,037 RSUs that vest in full as a result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6" w:name="toc770053_182"/>
      <w:bookmarkEnd w:id="176"/>
      <w:r>
        <w:rPr>
          <w:rFonts w:ascii="Times New Roman" w:hAnsi="Times New Roman"/>
          <w:b/>
          <w:sz w:val="20"/>
        </w:rPr>
        <w:t xml:space="preserve">DESCRIPTION OF AVROBIO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AVROBIO capital stock and provisions of AVROBIO’s charter and bylaws are summaries and are qualified by reference to such charter and bylaws and applicable provisions of Delaware corporate law. Copies of these documents are filed as exhibits to the registration statement of which this proxy statement/prospectus forms part. </w:t>
      </w:r>
    </w:p>
    <w:p>
      <w:pPr>
        <w:pStyle w:val="TextBody"/>
        <w:bidi w:val="0"/>
        <w:spacing w:before="360" w:after="0"/>
        <w:jc w:val="left"/>
        <w:rPr>
          <w:rFonts w:ascii="Times New Roman" w:hAnsi="Times New Roman"/>
          <w:b/>
          <w:sz w:val="20"/>
        </w:rPr>
      </w:pPr>
      <w:bookmarkStart w:id="177" w:name="toc770053_183"/>
      <w:bookmarkEnd w:id="177"/>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AVROBIO’s authorized capital stock consists of 150,000,000 shares of AVROBIO common stock, par value $0.0001 per share, and 10,000,000 shares of AVROBIO preferred stock, par value $0.0001 per share. </w:t>
      </w:r>
    </w:p>
    <w:p>
      <w:pPr>
        <w:pStyle w:val="TextBody"/>
        <w:bidi w:val="0"/>
        <w:spacing w:before="360" w:after="0"/>
        <w:jc w:val="left"/>
        <w:rPr>
          <w:rFonts w:ascii="Times New Roman" w:hAnsi="Times New Roman"/>
          <w:b/>
          <w:sz w:val="20"/>
        </w:rPr>
      </w:pPr>
      <w:bookmarkStart w:id="178" w:name="toc770053_184"/>
      <w:bookmarkEnd w:id="178"/>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AVROBIO common stock are entitled to receive dividends ratably, if any, as may be declared by the AVROBIO Board out of legally available funds, subject to any preferential dividend rights of any AVROBIO preferred stock then outstanding. </w:t>
      </w:r>
    </w:p>
    <w:p>
      <w:pPr>
        <w:pStyle w:val="TextBody"/>
        <w:bidi w:val="0"/>
        <w:spacing w:before="360" w:after="0"/>
        <w:jc w:val="left"/>
        <w:rPr>
          <w:rFonts w:ascii="Times New Roman" w:hAnsi="Times New Roman"/>
          <w:i/>
          <w:sz w:val="20"/>
        </w:rPr>
      </w:pPr>
      <w:r>
        <w:rPr>
          <w:rFonts w:ascii="Times New Roman" w:hAnsi="Times New Roman"/>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AVROBIO common stock are entitled to one vote for each share of AVROBIO common stock held of record for the election of directors of AVROBIO and on all matters submitted to a vote of the stockholders. The holders of AVROBIO common stock do not have any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AVROBIO’s dissolution, liquidation or winding up, holders of AVROBIO’s common stock are entitled to share ratably in all assets remaining after payment of all debts and other liabilities and any liquidation preference of any outstanding preferred stock. All outstanding shares are fully paid and non-assessable.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AVROBIO common stock are not entitled to preemptive, subscription, redemption or conversion rights, and no sinking fund provisions are applicable to AVROBIO common stock. </w:t>
      </w:r>
    </w:p>
    <w:p>
      <w:pPr>
        <w:pStyle w:val="TextBody"/>
        <w:bidi w:val="0"/>
        <w:spacing w:before="360" w:after="0"/>
        <w:jc w:val="left"/>
        <w:rPr>
          <w:rFonts w:ascii="Times New Roman" w:hAnsi="Times New Roman"/>
          <w:b/>
          <w:sz w:val="20"/>
        </w:rPr>
      </w:pPr>
      <w:bookmarkStart w:id="179" w:name="toc770053_185"/>
      <w:bookmarkEnd w:id="179"/>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provides for 10,000,000 authorized shares of preferred stock. The existence of authorized but unissued shares of preferred stock may enable the AVROBIO Board to discourage an attempt to obtain control of AVROBIO by means of a merger, tender offer, proxy contest or otherwise. For example, if in the due exercise of its fiduciary obligations, the AVROBIO Board were to determine that a takeover proposal is not in the best interests of AVROBIO stockholders, the AVROBIO Board could cause shares of preferred stock to be issued without stockholder approval in one or more private offerings or other transactions that might dilute the voting or other rights of the proposed acquirer or insurgent stockholder or stockholder group. In this regard, AVROBIO’s charter grants the AVROBIO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453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180" w:name="toc770053_186"/>
      <w:bookmarkEnd w:id="180"/>
      <w:r>
        <w:rPr>
          <w:rFonts w:ascii="Times New Roman" w:hAnsi="Times New Roman"/>
          <w:b/>
          <w:sz w:val="20"/>
        </w:rPr>
        <w:t xml:space="preserve">Anti-Takeover Effects of Delaware Law and Provisions of AVROBIO’s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of AVROBIO’s charter and bylaws could have the effect of delaying, deferring or discouraging another party from acquiring control of AVROBIO. These provisions, which are summarized below, are expected to discourage certain types of coercive takeover practices and inadequate takeover bids and, as a consequence, they might also inhibit temporary fluctuations in the market price of AVROBIO common stock that often result from actual or rumored hostile takeover attempts. These provisions are also designed in part to encourage anyone seeking to acquire control of AVROBIO to first negotiate with its board of directors. These provisions might also have the effect of preventing changes in AVROBIO’s management. It is possible that these provisions could make it more difficult to accomplish transactions that stockholders might otherwise deem to be in their best interests. However, AVROBIO holds that the advantages gained by protecting its ability to negotiate with any unsolicited and potentially unfriendly acquirer outweigh the disadvantages of discouraging such proposals, including those priced above the then-current market value of AVROBIO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AVROBIO is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or by any direct or indirect majority-owned subsidiary of the corporation of any stock of the corporation or any subsidiary to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or any direct or indirect majority-owned subsidiary of the corporation that has the effect of increasing the proportionate share of the stock of any class or series of the corporation or of any subsidiary beneficially owned by the interested stockholder;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or any direct or indirect majority-owned subsidiary.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 </w:t>
      </w:r>
    </w:p>
    <w:p>
      <w:pPr>
        <w:pStyle w:val="TextBody"/>
        <w:bidi w:val="0"/>
        <w:spacing w:before="360" w:after="0"/>
        <w:jc w:val="left"/>
        <w:rPr>
          <w:rFonts w:ascii="Times New Roman" w:hAnsi="Times New Roman"/>
          <w:i/>
          <w:sz w:val="20"/>
        </w:rPr>
      </w:pPr>
      <w:r>
        <w:rPr>
          <w:rFonts w:ascii="Times New Roman" w:hAnsi="Times New Roman"/>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provides for the division of the AVROBIO Board into three classes serving staggered three-year terms, with one class being elected each year. AVROBIO’s charter also provides that directors may be removed only for cause and then only by the affirmative vote of the holders of two-thirds or more of the shares then entitled to vote at an election of directors. Furthermore, any vacancy on the AVROBIO Board, however occurring, including a vacancy resulting from an increase in the size of the AVROBIO Board, may only be filled by the affirmative vote of a majority of AVROBIO’s directors then in office even if less than a quorum. The classification of directors, together with the limitations on removal of directors and treatment of vacancies, has the effect of making it more difficult for stockholders to change the composition of the AVROBIO Board. </w:t>
      </w:r>
    </w:p>
    <w:p>
      <w:pPr>
        <w:pStyle w:val="TextBody"/>
        <w:bidi w:val="0"/>
        <w:spacing w:before="360" w:after="0"/>
        <w:jc w:val="left"/>
        <w:rPr>
          <w:rFonts w:ascii="Times New Roman" w:hAnsi="Times New Roman"/>
          <w:i/>
          <w:sz w:val="20"/>
        </w:rPr>
      </w:pPr>
      <w:r>
        <w:rPr>
          <w:rFonts w:ascii="Times New Roman" w:hAnsi="Times New Roman"/>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AVROBIO’s bylaws or removal of directors by AVROBIO stockholders without holding a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of Stockholder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and bylaws provide that only a majority of the members of the AVROBIO Board then in office may call special meetings of stockholders and only those matters set forth in the notice of the special meeting may be considered or acted upon at a special meeting of stockholders. AVROBIO’s bylaws limits the business that may be conducted at an annual meeting of stockholders to those matters properly brought before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AVROBIO’s bylaws establishes advance notice procedures with regard to stockholder proposals relating to the nomination of candidates for election as directors or new business to be brought before meetings of AVROBIO stockholders. These procedures provide that notice of stockholder proposals must be timely given in writing to AVROBIO’s corporate secretary prior to the meeting at which the action is to be taken. Generally, to be timely, notice must be received at AVROBIO’s principal executive offices not less than 90 days nor more than 120 days prior to the first anniversary date of the annual meeting for the preceding year. AVROBIO’s bylaws specify the requirements as to form and content of all stockholders’ notices. These requirements may preclude stockholders from bringing matters before the stockholders at an annual or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1" w:name="toc770053_182a"/>
      <w:bookmarkEnd w:id="181"/>
      <w:r>
        <w:rPr>
          <w:rFonts w:ascii="Times New Roman" w:hAnsi="Times New Roman"/>
          <w:b/>
          <w:sz w:val="20"/>
        </w:rPr>
        <w:t xml:space="preserve">SECURITIES ACT RESTRICTIONS ON RESALE OF AVROBIO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144, a person who has beneficially owned restricted AVROBIO common stock for at least six months would be entitled to sell their securities provided that (i) such person is not deemed to have been an affiliate of AVROBIO at the time of, or at any time during the three months preceding, a sale and (ii) AVROBIO is subject to the Exchange Act periodic reporting requirements for at least three months before the sale and has filed all required reports under Section 13 or 15(d) of the Exchange Act during the 12 months (or such shorter period as AVROBIO was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AVROBIO common stock for at least six months but who are affiliates of AVROBIO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AVROBIO common stock then outstanding;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shares of AVROBIO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affiliates of AVROBIO under Rule 144 are also limited by manner of sale provisions and notice requirements and to the availability of current public information about AVROBIO. </w:t>
      </w:r>
    </w:p>
    <w:p>
      <w:pPr>
        <w:pStyle w:val="TextBody"/>
        <w:bidi w:val="0"/>
        <w:spacing w:before="360" w:after="0"/>
        <w:jc w:val="left"/>
        <w:rPr>
          <w:rFonts w:ascii="Times New Roman" w:hAnsi="Times New Roman"/>
          <w:sz w:val="20"/>
        </w:rPr>
      </w:pPr>
      <w:r>
        <w:rPr>
          <w:rFonts w:ascii="Times New Roman" w:hAnsi="Times New Roman"/>
          <w:b/>
          <w:sz w:val="20"/>
        </w:rPr>
        <w:t>Restrictions on the Use of Rule 144 by Shell Companies or Former Shell Companies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AVROBIO halted its remaining development programs and AVROBIO had previously implemented the Cystinosis Sale. As such, AVROBIO is subject to the SEC requirements applicable to reporting shell company business combinations. 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anticipate that following the consummation of the merger, the combined company will no longer be a shell company, and so, once the conditions set forth in the exceptions listed above are satisfied, Rule 144 will become available for the resale of the above noted restricted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2" w:name="toc770053_187"/>
      <w:bookmarkEnd w:id="182"/>
      <w:r>
        <w:rPr>
          <w:rFonts w:ascii="Times New Roman" w:hAnsi="Times New Roman"/>
          <w:b/>
          <w:sz w:val="20"/>
        </w:rPr>
        <w:t xml:space="preserve">COMPARISON OF RIGHTS OF HOLDERS OF AVROBIO CAPITAL STOCK AND TECTONIC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Tectonic stockholders will receive shares of AVROBIO common stock, pursuant to the terms of the Merger Agreement. Immediately prior to the closing, assuming that Proposal Nos. 2 and 3 are approved by AVROBIO stockholders, AVROBIO’s charter will be amended to effect the reverse stock split and the officer exculpation, as set forth in the form of certificate of amendments attached as </w:t>
      </w:r>
      <w:r>
        <w:rPr>
          <w:rFonts w:ascii="Times New Roman" w:hAnsi="Times New Roman"/>
          <w:sz w:val="20"/>
          <w:u w:val="single"/>
        </w:rPr>
        <w:t>Annex G</w:t>
      </w:r>
      <w:r>
        <w:rPr>
          <w:rFonts w:ascii="Times New Roman" w:hAnsi="Times New Roman"/>
          <w:sz w:val="20"/>
        </w:rPr>
        <w:t xml:space="preserve"> and </w:t>
      </w:r>
      <w:r>
        <w:rPr>
          <w:rFonts w:ascii="Times New Roman" w:hAnsi="Times New Roman"/>
          <w:sz w:val="20"/>
          <w:u w:val="single"/>
        </w:rPr>
        <w:t>Annex H</w:t>
      </w:r>
      <w:r>
        <w:rPr>
          <w:rFonts w:ascii="Times New Roman" w:hAnsi="Times New Roman"/>
          <w:sz w:val="20"/>
        </w:rPr>
        <w:t xml:space="preserve">, respectively, to this proxy statement/prospectus. In addition, after the completion of the merger, AVROBIO’s charter will be amended to change its corporate name to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AVROBIO and Tectonic are both incorporated under the laws of the State of Delaware. The rights of AVROBIO stockholders and Tectonic stockholders are generally governed by the DGCL. Upon completion of the merger, Tectonic stockholders will become AVROBIO stockholders, and their rights will be governed by the DGCL, AVROBIO’s bylaws and AVROBIO’s charter, as amended and restated in connection with the merger.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Tectonic stockholders under the Tectonic certificate of incorporation and bylaws and their rights as AVROBIO stockholders, after the merger, under AVROBIO’s charter and AVROBIO’s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AVROBIO or Tectonic before the merger and being a stockholder of the combined company following the completion of the merger. For more information on how to obtain these documents, please see the section titled “</w:t>
      </w:r>
      <w:r>
        <w:rPr>
          <w:rFonts w:ascii="Times New Roman" w:hAnsi="Times New Roman"/>
          <w:i/>
          <w:sz w:val="20"/>
        </w:rPr>
        <w:t>Where You Can Find More Information</w:t>
      </w:r>
      <w:r>
        <w:rPr>
          <w:rFonts w:ascii="Times New Roman" w:hAnsi="Times New Roman"/>
          <w:sz w:val="20"/>
        </w:rPr>
        <w:t xml:space="preserve">” beginning on page 476 of this proxy statement/prospectus.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49"/>
        <w:gridCol w:w="120"/>
        <w:gridCol w:w="5136"/>
      </w:tblGrid>
      <w:tr>
        <w:trPr/>
        <w:tc>
          <w:tcPr>
            <w:tcW w:w="49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36" w:type="dxa"/>
            <w:tcBorders/>
            <w:vAlign w:val="center"/>
          </w:tcPr>
          <w:p>
            <w:pPr>
              <w:pStyle w:val="TableContents"/>
              <w:bidi w:val="0"/>
              <w:spacing w:before="0" w:after="283"/>
              <w:jc w:val="left"/>
              <w:rPr>
                <w:sz w:val="4"/>
                <w:szCs w:val="4"/>
              </w:rPr>
            </w:pPr>
            <w:r>
              <w:rPr>
                <w:sz w:val="4"/>
                <w:szCs w:val="4"/>
              </w:rPr>
            </w:r>
          </w:p>
        </w:tc>
      </w:tr>
      <w:tr>
        <w:trPr/>
        <w:tc>
          <w:tcPr>
            <w:tcW w:w="494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1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center"/>
              <w:rPr>
                <w:i/>
              </w:rPr>
            </w:pPr>
            <w:r>
              <w:rPr>
                <w:i/>
              </w:rPr>
              <w:t>Organizational Documents</w:t>
            </w:r>
          </w:p>
        </w:tc>
      </w:tr>
      <w:tr>
        <w:trPr/>
        <w:tc>
          <w:tcPr>
            <w:tcW w:w="4949" w:type="dxa"/>
            <w:tcBorders/>
            <w:vAlign w:val="center"/>
          </w:tcPr>
          <w:p>
            <w:pPr>
              <w:pStyle w:val="TableContents"/>
              <w:bidi w:val="0"/>
              <w:spacing w:before="0" w:after="283"/>
              <w:jc w:val="left"/>
              <w:rPr/>
            </w:pPr>
            <w:r>
              <w:rPr/>
              <w:t>The rights of AVROBIO stockholders are governed by AVROBIO’s charter, bylaws and the DGCL.</w:t>
            </w:r>
          </w:p>
        </w:tc>
        <w:tc>
          <w:tcPr>
            <w:tcW w:w="120" w:type="dxa"/>
            <w:tcBorders/>
            <w:vAlign w:val="center"/>
          </w:tcPr>
          <w:p>
            <w:pPr>
              <w:pStyle w:val="TableContents"/>
              <w:bidi w:val="0"/>
              <w:spacing w:before="0" w:after="283"/>
              <w:jc w:val="left"/>
              <w:rPr/>
            </w:pPr>
            <w:r>
              <w:rPr/>
              <w:t>  </w:t>
            </w:r>
          </w:p>
        </w:tc>
        <w:tc>
          <w:tcPr>
            <w:tcW w:w="5136" w:type="dxa"/>
            <w:tcBorders/>
            <w:vAlign w:val="center"/>
          </w:tcPr>
          <w:p>
            <w:pPr>
              <w:pStyle w:val="TableContents"/>
              <w:bidi w:val="0"/>
              <w:spacing w:before="0" w:after="283"/>
              <w:jc w:val="left"/>
              <w:rPr/>
            </w:pPr>
            <w:r>
              <w:rPr/>
              <w:t>The rights of Tectonic stockholders are governed by Tectonic’s amended and restated certificate of incorporation, Tectonic’s amended and restated bylaws and the DGCL.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Authorized Capital Stock</w:t>
            </w:r>
          </w:p>
        </w:tc>
      </w:tr>
      <w:tr>
        <w:trPr/>
        <w:tc>
          <w:tcPr>
            <w:tcW w:w="4949" w:type="dxa"/>
            <w:tcBorders/>
            <w:vAlign w:val="center"/>
          </w:tcPr>
          <w:p>
            <w:pPr>
              <w:pStyle w:val="TableContents"/>
              <w:bidi w:val="0"/>
              <w:spacing w:before="0" w:after="283"/>
              <w:jc w:val="left"/>
              <w:rPr/>
            </w:pPr>
            <w:r>
              <w:rPr/>
              <w:t>AVROBIO is authorized to issue two classes of capital stock which are designated, respectively, “common stock” and “undesignated preferred stock.” The total number of shares that AVROBIO is authorized to issue is 160,000,000, of which 150,000,000 shares are common stock, par value $0.0001 per share, and 10,000,000 shares are undesignated preferred stock, par value $0.0001 per share. The number of authorized shares of AVROBIO undesignated preferred stock and common stock may from time to time be increased or decreased (but not below the number of shares of such class then outstanding) by the affirmative vote of the holders of a majority of the voting power of the outstanding shares of capital stock of AVROBIO entitled to vote thereon, irrespective of the provisions of Section 242(b)(2) of the DGCL.</w:t>
            </w:r>
          </w:p>
        </w:tc>
        <w:tc>
          <w:tcPr>
            <w:tcW w:w="120" w:type="dxa"/>
            <w:tcBorders/>
            <w:vAlign w:val="center"/>
          </w:tcPr>
          <w:p>
            <w:pPr>
              <w:pStyle w:val="TableContents"/>
              <w:bidi w:val="0"/>
              <w:spacing w:before="0" w:after="283"/>
              <w:jc w:val="left"/>
              <w:rPr/>
            </w:pPr>
            <w:r>
              <w:rPr/>
              <w:t>  </w:t>
            </w:r>
          </w:p>
        </w:tc>
        <w:tc>
          <w:tcPr>
            <w:tcW w:w="5136" w:type="dxa"/>
            <w:tcBorders/>
            <w:vAlign w:val="center"/>
          </w:tcPr>
          <w:p>
            <w:pPr>
              <w:pStyle w:val="TableContents"/>
              <w:bidi w:val="0"/>
              <w:spacing w:before="0" w:after="283"/>
              <w:jc w:val="left"/>
              <w:rPr/>
            </w:pPr>
            <w:r>
              <w:rPr/>
              <w:t>Tectonic is authorized to issue two classes of capital stock which are designated, respectively, “common stock” and “preferred stock.” The total number of shares that Tectonic is authorized to issue is 18,773,041, of which 11,947,558 shares are common stock, par value $0.0001 per share, and 6,825,483 shares are preferred stock, par value $0.0001 per share. The affirmative vote of the holders of at least a majority of the outstanding shares of voting preferred stock voting together on an as-converted to common stock basis is needed to (i) create, or authorize the creation of, or issue or obligate itself to issue shares of, or reclassify, any capital stock unless the same ranks junior to the preferred stock with respect to its rights, preferences and privileges, or (ii) increase the authorized number of shares of preferred stock or any additional class or series of capital stock of Tectonic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098"/>
        <w:gridCol w:w="120"/>
        <w:gridCol w:w="5987"/>
      </w:tblGrid>
      <w:tr>
        <w:trPr/>
        <w:tc>
          <w:tcPr>
            <w:tcW w:w="40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87" w:type="dxa"/>
            <w:tcBorders/>
            <w:vAlign w:val="center"/>
          </w:tcPr>
          <w:p>
            <w:pPr>
              <w:pStyle w:val="TableContents"/>
              <w:bidi w:val="0"/>
              <w:spacing w:before="0" w:after="283"/>
              <w:jc w:val="left"/>
              <w:rPr>
                <w:sz w:val="4"/>
                <w:szCs w:val="4"/>
              </w:rPr>
            </w:pPr>
            <w:r>
              <w:rPr>
                <w:sz w:val="4"/>
                <w:szCs w:val="4"/>
              </w:rPr>
            </w:r>
          </w:p>
        </w:tc>
      </w:tr>
      <w:tr>
        <w:trPr/>
        <w:tc>
          <w:tcPr>
            <w:tcW w:w="409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98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40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87" w:type="dxa"/>
            <w:tcBorders/>
            <w:vAlign w:val="center"/>
          </w:tcPr>
          <w:p>
            <w:pPr>
              <w:pStyle w:val="TableContents"/>
              <w:bidi w:val="0"/>
              <w:spacing w:before="0" w:after="283"/>
              <w:jc w:val="left"/>
              <w:rPr/>
            </w:pPr>
            <w:r>
              <w:rPr/>
              <w:t>unless the same ranks junior to the preferred stock with respect to its rights, preferences and privileges. The number of authorized shares of Tectonic common stock may be increased or decreased (but not below the number of shares thereof then outstanding) by (in addition to any vote of the holders of one or more series of preferred stock that may be required) the affirmative vote of the holders of shares of capital stock of Tectonic representing a majority of the votes represented by all outstanding shares of capital stock of Tectonic entitled to vote, irrespective of the provisions of Section 242(b)(2) of the DGCL.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Common Stock</w:t>
            </w:r>
          </w:p>
        </w:tc>
      </w:tr>
      <w:tr>
        <w:trPr/>
        <w:tc>
          <w:tcPr>
            <w:tcW w:w="40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AVROBIO’s authorized common stock consists of 150,000,000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AVROBIO common stock is entitled to one vote for each such share held of record on the applicable record date on each matter voted on at a meeting of stockholders.</w:t>
            </w:r>
          </w:p>
        </w:tc>
        <w:tc>
          <w:tcPr>
            <w:tcW w:w="120" w:type="dxa"/>
            <w:tcBorders/>
            <w:vAlign w:val="center"/>
          </w:tcPr>
          <w:p>
            <w:pPr>
              <w:pStyle w:val="TableContents"/>
              <w:bidi w:val="0"/>
              <w:spacing w:before="0" w:after="283"/>
              <w:jc w:val="left"/>
              <w:rPr/>
            </w:pPr>
            <w:r>
              <w:rPr/>
              <w:t>  </w:t>
            </w:r>
          </w:p>
        </w:tc>
        <w:tc>
          <w:tcPr>
            <w:tcW w:w="5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Tectonic’s authorized common stock consists of 11,947,558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Tectonic common stock is entitled to one vote for each such share held of record on the applicable record date on each matter voted on at a meeting of stockholders.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Preferred Stock</w:t>
            </w:r>
          </w:p>
        </w:tc>
      </w:tr>
      <w:tr>
        <w:trPr/>
        <w:tc>
          <w:tcPr>
            <w:tcW w:w="4098" w:type="dxa"/>
            <w:tcBorders/>
            <w:vAlign w:val="center"/>
          </w:tcPr>
          <w:p>
            <w:pPr>
              <w:pStyle w:val="TableContents"/>
              <w:bidi w:val="0"/>
              <w:spacing w:before="0" w:after="283"/>
              <w:jc w:val="left"/>
              <w:rPr/>
            </w:pPr>
            <w:r>
              <w:rPr/>
              <w:t>AVROBIO’s authorized preferred stock consists of 10,000,000 shares of undesignated preferred stock. No shares of AVROBIO undesignated preferred stock are currently outstanding.</w:t>
            </w:r>
          </w:p>
        </w:tc>
        <w:tc>
          <w:tcPr>
            <w:tcW w:w="120" w:type="dxa"/>
            <w:tcBorders/>
            <w:vAlign w:val="center"/>
          </w:tcPr>
          <w:p>
            <w:pPr>
              <w:pStyle w:val="TableContents"/>
              <w:bidi w:val="0"/>
              <w:spacing w:before="0" w:after="283"/>
              <w:jc w:val="left"/>
              <w:rPr/>
            </w:pPr>
            <w:r>
              <w:rPr/>
              <w:t>  </w:t>
            </w:r>
          </w:p>
        </w:tc>
        <w:tc>
          <w:tcPr>
            <w:tcW w:w="5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Tectonic’s authorized preferred stock consists of 6,825,483 shares of preferred stock, of which 4,118,120 are designated “Series A-1 Preferred Stock,” 1,649,188 are designated “Series A-2 Preferred Stock,” 696,516 are designated “Series A-3 Preferred Stock,” and 361,659 are designated “Series A-4 Preferred Stock.” 6,825,483 shares of Tectonic’s preferred stock are currently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Tectonic Series A-1 Preferred Stock, Series A-3 Preferred Stock and Series A-4 Preferred Stock is entitled to one vote for each such share held of record on the applicable record date on each matter voted on at a meeting of stockholders (the “Voting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Number and Qualification of Directors</w:t>
            </w:r>
          </w:p>
        </w:tc>
      </w:tr>
      <w:tr>
        <w:trPr/>
        <w:tc>
          <w:tcPr>
            <w:tcW w:w="4098" w:type="dxa"/>
            <w:tcBorders/>
            <w:vAlign w:val="center"/>
          </w:tcPr>
          <w:p>
            <w:pPr>
              <w:pStyle w:val="TableContents"/>
              <w:bidi w:val="0"/>
              <w:spacing w:before="0" w:after="283"/>
              <w:jc w:val="left"/>
              <w:rPr/>
            </w:pPr>
            <w:r>
              <w:rPr/>
              <w:t>The number of AVROBIO directors is fixed from time to time by resolution of the AVROBIO Board. The AVROBIO Board currently consists of seven members. No decrease in the authorized number of directors constituting the AVROBIO Board will shorten the term of any incumbent director. Directors of AVROBIO need not be stockholders of AVROBIO.</w:t>
            </w:r>
          </w:p>
        </w:tc>
        <w:tc>
          <w:tcPr>
            <w:tcW w:w="120" w:type="dxa"/>
            <w:tcBorders/>
            <w:vAlign w:val="center"/>
          </w:tcPr>
          <w:p>
            <w:pPr>
              <w:pStyle w:val="TableContents"/>
              <w:bidi w:val="0"/>
              <w:spacing w:before="0" w:after="283"/>
              <w:jc w:val="left"/>
              <w:rPr/>
            </w:pPr>
            <w:r>
              <w:rPr/>
              <w:t>  </w:t>
            </w:r>
          </w:p>
        </w:tc>
        <w:tc>
          <w:tcPr>
            <w:tcW w:w="5987" w:type="dxa"/>
            <w:tcBorders/>
            <w:vAlign w:val="center"/>
          </w:tcPr>
          <w:p>
            <w:pPr>
              <w:pStyle w:val="TableContents"/>
              <w:bidi w:val="0"/>
              <w:spacing w:before="0" w:after="283"/>
              <w:jc w:val="left"/>
              <w:rPr/>
            </w:pPr>
            <w:r>
              <w:rPr/>
              <w:t>The number of Tectonic directors is fixed from time to time by resolution of the Tectonic board. The Tectonic board currently consists of six members. Directors of Tectonic need not be stockholders of Tectonic. The vote of the holders of at least a majority of the outstanding shares of Voting Preferred Stock voting together on an as-converted to common stock basis is needed to increase or decrease the authorized number of directors constituting Tectonic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795"/>
        <w:gridCol w:w="120"/>
        <w:gridCol w:w="5290"/>
      </w:tblGrid>
      <w:tr>
        <w:trPr/>
        <w:tc>
          <w:tcPr>
            <w:tcW w:w="4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90" w:type="dxa"/>
            <w:tcBorders/>
            <w:vAlign w:val="center"/>
          </w:tcPr>
          <w:p>
            <w:pPr>
              <w:pStyle w:val="TableContents"/>
              <w:bidi w:val="0"/>
              <w:spacing w:before="0" w:after="283"/>
              <w:jc w:val="left"/>
              <w:rPr>
                <w:sz w:val="4"/>
                <w:szCs w:val="4"/>
              </w:rPr>
            </w:pPr>
            <w:r>
              <w:rPr>
                <w:sz w:val="4"/>
                <w:szCs w:val="4"/>
              </w:rPr>
            </w:r>
          </w:p>
        </w:tc>
      </w:tr>
      <w:tr>
        <w:trPr/>
        <w:tc>
          <w:tcPr>
            <w:tcW w:w="47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2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center"/>
              <w:rPr>
                <w:i/>
              </w:rPr>
            </w:pPr>
            <w:r>
              <w:rPr>
                <w:i/>
              </w:rPr>
              <w:t>Structure of Board of Directors; Term of Directors; Election of Directors</w:t>
            </w:r>
          </w:p>
        </w:tc>
      </w:tr>
      <w:tr>
        <w:trPr/>
        <w:tc>
          <w:tcPr>
            <w:tcW w:w="4795" w:type="dxa"/>
            <w:tcBorders/>
            <w:vAlign w:val="center"/>
          </w:tcPr>
          <w:p>
            <w:pPr>
              <w:pStyle w:val="TableContents"/>
              <w:bidi w:val="0"/>
              <w:spacing w:before="0" w:after="283"/>
              <w:jc w:val="left"/>
              <w:rPr/>
            </w:pPr>
            <w:r>
              <w:rPr/>
              <w:t>Other than any directors elected by the separate vote of the holders of any series of AVROBIO undesignated preferred stock, the AVROBIO Board is divided into three classes, designated as Class I, Class II and Class III, respectively. Directors are assigned to each class in accordance with a resolution or resolutions adopted by the AVROBIO Board. At the first annual meeting of stockholders following the effectiveness of AVROBIO’s IPO, the term of office of the Class I directors expired and Class I directors were elected for a full term of three years. At the second annual meeting of stockholders following AVROBIO’s IPO, the term of office of the Class II directors expired and Class II directors were elected for a full term of three years. At the third annual meeting of stockholders following AVROBIO’s IPO, the term of office of the Class III directors expired and Class III directors were elected for a full term of three years. At each succeeding annual meeting of stockholders, directors are elected for a full term of three years to succeed the directors of the class whose terms expire at such annual meeting. Notwithstanding the foregoing, directors elected to each class hold office until their successors are duly elected and qualified or until their earlier resignation, death or removal.</w:t>
            </w:r>
          </w:p>
        </w:tc>
        <w:tc>
          <w:tcPr>
            <w:tcW w:w="120" w:type="dxa"/>
            <w:tcBorders/>
            <w:vAlign w:val="center"/>
          </w:tcPr>
          <w:p>
            <w:pPr>
              <w:pStyle w:val="TableContents"/>
              <w:bidi w:val="0"/>
              <w:spacing w:before="0" w:after="283"/>
              <w:jc w:val="left"/>
              <w:rPr/>
            </w:pPr>
            <w:r>
              <w:rPr/>
              <w:t>  </w:t>
            </w:r>
          </w:p>
        </w:tc>
        <w:tc>
          <w:tcPr>
            <w:tcW w:w="5290" w:type="dxa"/>
            <w:tcBorders/>
            <w:vAlign w:val="center"/>
          </w:tcPr>
          <w:p>
            <w:pPr>
              <w:pStyle w:val="TableContents"/>
              <w:bidi w:val="0"/>
              <w:spacing w:before="0" w:after="283"/>
              <w:jc w:val="left"/>
              <w:rPr/>
            </w:pPr>
            <w:r>
              <w:rPr/>
              <w:t>The holders of record of the shares of Voting Preferred Stock, exclusively and as a separate class (voting together on an as converted to common stock basis) shall be entitled to elect three directors and the holders of record of the shares of Tectonic common stock, exclusively and as a separate class, shall be entitled to elect two directors. If the holders of shares of Voting Preferred Stock or Tectonic common stock, as the case may be, fail to elect a sufficient number of directors to fill all directorships for which they are entitled to elect directors, voting exclusively and as a separate class, then any directorship not so filled shall remain vacant until such time as the holders of the Tectonic preferred stock or Tectonic common stock, as the case may be, elect a person to fill such directorship by vote or written consent in lieu of a meeting; and no such directorship may be filled by stockholders of Tectonic other than by the stockholders of Tectonic that are entitled to elect a person to fill such directorship, voting exclusively and as a separate class. The holders of record of the shares of Tectonic common stock and of any other class or series of voting stock (including the Voting Preferred Stock), exclusively and voting together as a single class, shall be entitled to elect the balance of the total number of directors of Tectonic. Pursuant to the terms of a Voting Agreement dated March 31, 2021 (the “Voting Agreement”), Vida Ventures II, LLC and its affiliates, Polaris Partners IX, L.P. and its affiliates and Timothy A. Springer each have the right to designate one of the directors elected by the holders of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Removal of Directors</w:t>
            </w:r>
          </w:p>
        </w:tc>
      </w:tr>
      <w:tr>
        <w:trPr/>
        <w:tc>
          <w:tcPr>
            <w:tcW w:w="4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AVROBIO undesignated preferred stock to elect directors, or except as otherwise provided by the DGCL or AVROBIO’s charter, any director may be removed from office at any time, but only with cause and only by the affirmative vote of the holders of two thirds (2/3) of the outstanding shares of capital stock of AVROBIO entitled to vote at an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 decrease in the authorized number of directors constituting the AVROBIO Board will shorten the term of any incumbent director. In the event of a vacancy in the AVROBIO Board, the remaining directors, except as otherwise provided by law, shall exercise the powers of the full AVROBIO Board until the vacancy is filled.</w:t>
            </w:r>
          </w:p>
        </w:tc>
        <w:tc>
          <w:tcPr>
            <w:tcW w:w="120" w:type="dxa"/>
            <w:tcBorders/>
            <w:vAlign w:val="center"/>
          </w:tcPr>
          <w:p>
            <w:pPr>
              <w:pStyle w:val="TableContents"/>
              <w:bidi w:val="0"/>
              <w:spacing w:before="0" w:after="283"/>
              <w:jc w:val="left"/>
              <w:rPr/>
            </w:pPr>
            <w:r>
              <w:rPr/>
              <w:t>  </w:t>
            </w:r>
          </w:p>
        </w:tc>
        <w:tc>
          <w:tcPr>
            <w:tcW w:w="5290" w:type="dxa"/>
            <w:tcBorders/>
            <w:vAlign w:val="center"/>
          </w:tcPr>
          <w:p>
            <w:pPr>
              <w:pStyle w:val="TableContents"/>
              <w:bidi w:val="0"/>
              <w:spacing w:before="0" w:after="283"/>
              <w:jc w:val="left"/>
              <w:rPr/>
            </w:pPr>
            <w:r>
              <w:rPr/>
              <w:t>Any Tectonic director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5379"/>
        <w:gridCol w:w="120"/>
        <w:gridCol w:w="4706"/>
      </w:tblGrid>
      <w:tr>
        <w:trPr/>
        <w:tc>
          <w:tcPr>
            <w:tcW w:w="53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537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470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Vacancies on the Board of Directors</w:t>
            </w:r>
          </w:p>
        </w:tc>
      </w:tr>
      <w:tr>
        <w:trPr/>
        <w:tc>
          <w:tcPr>
            <w:tcW w:w="5379" w:type="dxa"/>
            <w:tcBorders/>
            <w:vAlign w:val="center"/>
          </w:tcPr>
          <w:p>
            <w:pPr>
              <w:pStyle w:val="TableContents"/>
              <w:bidi w:val="0"/>
              <w:spacing w:before="0" w:after="283"/>
              <w:jc w:val="left"/>
              <w:rPr/>
            </w:pPr>
            <w:r>
              <w:rPr/>
              <w:t>Any director may resign at any time by electronic transmission or upon notice in writing to AVROBIO Chairman of the AVROBIO Board, President or Secretary. Such resignation shall be effective upon receipt, unless the resignation otherwise provides. Subject to the rights of the holders of any series of AVROBIO undesignated preferred stock, any vacancies and any newly created directorships resulting from any increase in the number of directors, will be filled solely and exclusively by the affirmative vote of a majority of the remaining directors then in office, even if less than a quorum, and not by the stockholders. Any director elected in accordance with the preceding sentence will hold office for the remainder of the full term of the director for which the vacancy was created or occurred and until such director’s successor is elected and qualified or until his or her earlier resignation, death or removal.</w:t>
            </w:r>
          </w:p>
        </w:tc>
        <w:tc>
          <w:tcPr>
            <w:tcW w:w="120" w:type="dxa"/>
            <w:tcBorders/>
            <w:vAlign w:val="center"/>
          </w:tcPr>
          <w:p>
            <w:pPr>
              <w:pStyle w:val="TableContents"/>
              <w:bidi w:val="0"/>
              <w:spacing w:before="0" w:after="283"/>
              <w:jc w:val="left"/>
              <w:rPr/>
            </w:pPr>
            <w:r>
              <w:rPr/>
              <w:t>  </w:t>
            </w:r>
          </w:p>
        </w:tc>
        <w:tc>
          <w:tcPr>
            <w:tcW w:w="47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director may resign at any time by delivering such director’s notice in writing or by electronic transmission to the Secretary, such resignation to specify whether it will be effective at a particular time, upon receipt by the Secretary or at the pleasure of the Tectonic Board. If no such specification is made, it will be deemed effective at the pleasure of the Tectonic Board.</w:t>
            </w:r>
          </w:p>
          <w:p>
            <w:pPr>
              <w:pStyle w:val="TableContents"/>
              <w:bidi w:val="0"/>
              <w:spacing w:before="0" w:after="20"/>
              <w:jc w:val="left"/>
              <w:rPr>
                <w:rFonts w:ascii="Times New Roman" w:hAnsi="Times New Roman"/>
                <w:sz w:val="20"/>
              </w:rPr>
            </w:pPr>
            <w:r>
              <w:rPr>
                <w:rFonts w:ascii="Times New Roman" w:hAnsi="Times New Roman"/>
                <w:sz w:val="20"/>
              </w:rPr>
              <w:t>A vacancy in any directorship filled by the holders of any class or classes or series shall be filled only by vote or written consent in lieu of a meeting of the holders of such class or classes or series or by any remaining director or directors elected by the holders of such class or classes or series entitled to make such elections. Whenever the holders of any class or classes of stock or series thereof are entitled to elect one or more directors by the provisions of Tectonic’s charter, vacancies and newly created directorships of such class or classes or series will, unless the Tectonic board determines by resolution that any such vacancies or newly created directorships must be filled by stockholders, be filled by a majority of the directors elected by such class or classes or series thereof then in office, or by a sole remaining director so elected.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Stockholder Action by Written Consent</w:t>
            </w:r>
          </w:p>
        </w:tc>
      </w:tr>
      <w:tr>
        <w:trPr/>
        <w:tc>
          <w:tcPr>
            <w:tcW w:w="5379" w:type="dxa"/>
            <w:tcBorders/>
            <w:vAlign w:val="center"/>
          </w:tcPr>
          <w:p>
            <w:pPr>
              <w:pStyle w:val="TableContents"/>
              <w:bidi w:val="0"/>
              <w:spacing w:before="0" w:after="283"/>
              <w:jc w:val="left"/>
              <w:rPr/>
            </w:pPr>
            <w:r>
              <w:rPr/>
              <w:t>No action may be taken by the stockholders except at an annual or special meeting of stockholders called in accordance with AVROBIO’s amended and restated bylaws, and no action may be taken by the stockholders by written consent in lieu of a meeting.</w:t>
            </w:r>
          </w:p>
        </w:tc>
        <w:tc>
          <w:tcPr>
            <w:tcW w:w="120" w:type="dxa"/>
            <w:tcBorders/>
            <w:vAlign w:val="center"/>
          </w:tcPr>
          <w:p>
            <w:pPr>
              <w:pStyle w:val="TableContents"/>
              <w:bidi w:val="0"/>
              <w:spacing w:before="0" w:after="283"/>
              <w:jc w:val="left"/>
              <w:rPr/>
            </w:pPr>
            <w:r>
              <w:rPr/>
              <w:t>  </w:t>
            </w:r>
          </w:p>
        </w:tc>
        <w:tc>
          <w:tcPr>
            <w:tcW w:w="4706" w:type="dxa"/>
            <w:tcBorders/>
            <w:vAlign w:val="center"/>
          </w:tcPr>
          <w:p>
            <w:pPr>
              <w:pStyle w:val="TableContents"/>
              <w:bidi w:val="0"/>
              <w:spacing w:before="0" w:after="283"/>
              <w:jc w:val="left"/>
              <w:rPr/>
            </w:pPr>
            <w:r>
              <w:rPr/>
              <w:t>Any action required by statute to be taken at any annual or special meeting of the stockholders, or any action that may be taken at any annual or special meeting of the stockholders, may be taken without a meeting, without prior notice and without a vote, if a consent or consents setting forth the action so taken, will be signed by the holders of outstanding stock having not less than the minimum number of votes that would be necessary to authorize or take such action at a meeting at which all shares entitled to vote thereon were present and voted.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Quorum</w:t>
            </w:r>
          </w:p>
        </w:tc>
      </w:tr>
      <w:tr>
        <w:trPr/>
        <w:tc>
          <w:tcPr>
            <w:tcW w:w="5379" w:type="dxa"/>
            <w:tcBorders/>
            <w:vAlign w:val="center"/>
          </w:tcPr>
          <w:p>
            <w:pPr>
              <w:pStyle w:val="TableContents"/>
              <w:bidi w:val="0"/>
              <w:spacing w:before="0" w:after="283"/>
              <w:jc w:val="left"/>
              <w:rPr/>
            </w:pPr>
            <w:r>
              <w:rPr/>
              <w:t>Unless otherwise provided by law or AVROBIO’s charter or bylaws, at each meeting of stockholders the holders of a majority of the outstanding shares of stock entitled to vote at the meeting, present in person or represented by proxy, will constitute a quorum for the transaction of business. If a quorum fails to attend any meeting or the AVROBIO Board determines its necessary of otherwise in the best interest of</w:t>
            </w:r>
          </w:p>
        </w:tc>
        <w:tc>
          <w:tcPr>
            <w:tcW w:w="120" w:type="dxa"/>
            <w:tcBorders/>
            <w:vAlign w:val="center"/>
          </w:tcPr>
          <w:p>
            <w:pPr>
              <w:pStyle w:val="TableContents"/>
              <w:bidi w:val="0"/>
              <w:spacing w:before="0" w:after="283"/>
              <w:jc w:val="left"/>
              <w:rPr/>
            </w:pPr>
            <w:r>
              <w:rPr/>
              <w:t>  </w:t>
            </w:r>
          </w:p>
        </w:tc>
        <w:tc>
          <w:tcPr>
            <w:tcW w:w="4706" w:type="dxa"/>
            <w:tcBorders/>
            <w:vAlign w:val="center"/>
          </w:tcPr>
          <w:p>
            <w:pPr>
              <w:pStyle w:val="TableContents"/>
              <w:bidi w:val="0"/>
              <w:spacing w:before="0" w:after="283"/>
              <w:jc w:val="left"/>
              <w:rPr/>
            </w:pPr>
            <w:r>
              <w:rPr/>
              <w:t>At all meetings of stockholders, the presence, in person, by remote communication, if applicable, or by proxy duly authorized, of the holders of a majority of the outstanding shares of stock entitled to vote will constitute a quorum for the transaction of business. In the absence of a quorum, any meeting of stockholders may be adjourned, from time to time, either by the chair of the meeting or by vote of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413"/>
        <w:gridCol w:w="120"/>
        <w:gridCol w:w="5672"/>
      </w:tblGrid>
      <w:tr>
        <w:trPr/>
        <w:tc>
          <w:tcPr>
            <w:tcW w:w="4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72" w:type="dxa"/>
            <w:tcBorders/>
            <w:vAlign w:val="center"/>
          </w:tcPr>
          <w:p>
            <w:pPr>
              <w:pStyle w:val="TableContents"/>
              <w:bidi w:val="0"/>
              <w:spacing w:before="0" w:after="283"/>
              <w:jc w:val="left"/>
              <w:rPr>
                <w:sz w:val="4"/>
                <w:szCs w:val="4"/>
              </w:rPr>
            </w:pPr>
            <w:r>
              <w:rPr>
                <w:sz w:val="4"/>
                <w:szCs w:val="4"/>
              </w:rPr>
            </w:r>
          </w:p>
        </w:tc>
      </w:tr>
      <w:tr>
        <w:trPr/>
        <w:tc>
          <w:tcPr>
            <w:tcW w:w="441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67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4413" w:type="dxa"/>
            <w:tcBorders/>
            <w:vAlign w:val="center"/>
          </w:tcPr>
          <w:p>
            <w:pPr>
              <w:pStyle w:val="TableContents"/>
              <w:bidi w:val="0"/>
              <w:spacing w:before="0" w:after="283"/>
              <w:jc w:val="left"/>
              <w:rPr/>
            </w:pPr>
            <w:r>
              <w:rPr/>
              <w:t>AVROBIO, the presiding officer of the meeting or the holders of a majority of the shares entitled to vote who are present at the meeting may adjourn the meeting. The stockholders present at a duly constituted meeting may continue to transact business until adjournment notwithstanding the withdrawal of enough stockholders to reduce the voting shares below a quorum.</w:t>
            </w:r>
          </w:p>
        </w:tc>
        <w:tc>
          <w:tcPr>
            <w:tcW w:w="120" w:type="dxa"/>
            <w:tcBorders/>
            <w:vAlign w:val="center"/>
          </w:tcPr>
          <w:p>
            <w:pPr>
              <w:pStyle w:val="TableContents"/>
              <w:bidi w:val="0"/>
              <w:spacing w:before="0" w:after="283"/>
              <w:jc w:val="left"/>
              <w:rPr/>
            </w:pPr>
            <w:r>
              <w:rPr/>
              <w:t>  </w:t>
            </w:r>
          </w:p>
        </w:tc>
        <w:tc>
          <w:tcPr>
            <w:tcW w:w="5672" w:type="dxa"/>
            <w:tcBorders/>
            <w:vAlign w:val="center"/>
          </w:tcPr>
          <w:p>
            <w:pPr>
              <w:pStyle w:val="TableContents"/>
              <w:bidi w:val="0"/>
              <w:spacing w:before="0" w:after="283"/>
              <w:jc w:val="left"/>
              <w:rPr/>
            </w:pPr>
            <w:r>
              <w:rPr/>
              <w:t>holders of a majority of the shares represented thereat, but no other business will be transacted at such meeting. The stockholders present at a duly called or convened meeting, at which a quorum is present, may continue to transact business until adjournment, notwithstanding the withdrawal of enough stockholders to leave less than a quorum.</w:t>
            </w:r>
          </w:p>
        </w:tc>
      </w:tr>
      <w:tr>
        <w:trPr/>
        <w:tc>
          <w:tcPr>
            <w:tcW w:w="10205" w:type="dxa"/>
            <w:gridSpan w:val="3"/>
            <w:tcBorders/>
            <w:vAlign w:val="center"/>
          </w:tcPr>
          <w:p>
            <w:pPr>
              <w:pStyle w:val="TableContents"/>
              <w:bidi w:val="0"/>
              <w:spacing w:before="0" w:after="283"/>
              <w:jc w:val="center"/>
              <w:rPr>
                <w:i/>
              </w:rPr>
            </w:pPr>
            <w:r>
              <w:rPr>
                <w:i/>
              </w:rPr>
              <w:t>Special Meetings of Stockholders</w:t>
            </w:r>
          </w:p>
        </w:tc>
      </w:tr>
      <w:tr>
        <w:trPr/>
        <w:tc>
          <w:tcPr>
            <w:tcW w:w="4413" w:type="dxa"/>
            <w:tcBorders/>
            <w:vAlign w:val="center"/>
          </w:tcPr>
          <w:p>
            <w:pPr>
              <w:pStyle w:val="TableContents"/>
              <w:bidi w:val="0"/>
              <w:spacing w:before="0" w:after="283"/>
              <w:jc w:val="left"/>
              <w:rPr/>
            </w:pPr>
            <w:r>
              <w:rPr/>
              <w:t>Special meetings of stockholders may be called only by the AVROBIO Board acting pursuant to a resolution approved by the affirmative vote of a majority of the directors then in office and special meetings of stockholders may not be called by any other person or persons. The AVROBIO Board will determine the time and place, if any, of such special meeting. Only those matters set forth in the notice of the special meeting shall be considered or acted upon at such special meeting.</w:t>
            </w:r>
          </w:p>
        </w:tc>
        <w:tc>
          <w:tcPr>
            <w:tcW w:w="120" w:type="dxa"/>
            <w:tcBorders/>
            <w:vAlign w:val="center"/>
          </w:tcPr>
          <w:p>
            <w:pPr>
              <w:pStyle w:val="TableContents"/>
              <w:bidi w:val="0"/>
              <w:spacing w:before="0" w:after="283"/>
              <w:jc w:val="left"/>
              <w:rPr/>
            </w:pPr>
            <w:r>
              <w:rPr/>
              <w:t>  </w:t>
            </w:r>
          </w:p>
        </w:tc>
        <w:tc>
          <w:tcPr>
            <w:tcW w:w="5672" w:type="dxa"/>
            <w:tcBorders/>
            <w:vAlign w:val="center"/>
          </w:tcPr>
          <w:p>
            <w:pPr>
              <w:pStyle w:val="TableContents"/>
              <w:bidi w:val="0"/>
              <w:spacing w:before="0" w:after="283"/>
              <w:jc w:val="left"/>
              <w:rPr/>
            </w:pPr>
            <w:r>
              <w:rPr/>
              <w:t>Special meetings of the stockholders of Tectonic may be called, for any purpose or purposes, by (i) the Chair of the Tectonic Board, (ii) the Chief Executive Officer, (iii) the Tectonic Board pursuant to a resolution adopted by directors representing a quorum of the directors then serving on the Tectonic Board or (iv) by the holders of shares entitled to cast not less than 20% of the votes at the meeting, and will be held at such place, on such date, and at such time as the Tectonic Board will fix.</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Notice of Stockholder Meetings</w:t>
            </w:r>
          </w:p>
        </w:tc>
      </w:tr>
      <w:tr>
        <w:trPr/>
        <w:tc>
          <w:tcPr>
            <w:tcW w:w="4413" w:type="dxa"/>
            <w:tcBorders/>
            <w:vAlign w:val="center"/>
          </w:tcPr>
          <w:p>
            <w:pPr>
              <w:pStyle w:val="TableContents"/>
              <w:bidi w:val="0"/>
              <w:spacing w:before="0" w:after="283"/>
              <w:jc w:val="left"/>
              <w:rPr/>
            </w:pPr>
            <w:r>
              <w:rPr/>
              <w:t>Notice of all meetings of AVROBIO stockholders shall state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AVROBIO’s bylaws) not less than ten nor more than sixty days before the meeting to each stockholder entitled to vote thereat and to each stockholder who, under AVROBIO’s charter or bylaws is entitled to such notice. If mailed, notice is given when deposited in the mail, postage prepaid, directed to such stockholder at such stockholder’s address as it appears in AVROBIO’s records. Without limiting the manner by which notice may otherwise be effectively given to stockholders, any notice to stockholders may be given by electronic transmission in the manner provided in Section 232 of the DGCL.</w:t>
            </w:r>
          </w:p>
        </w:tc>
        <w:tc>
          <w:tcPr>
            <w:tcW w:w="120" w:type="dxa"/>
            <w:tcBorders/>
            <w:vAlign w:val="center"/>
          </w:tcPr>
          <w:p>
            <w:pPr>
              <w:pStyle w:val="TableContents"/>
              <w:bidi w:val="0"/>
              <w:spacing w:before="0" w:after="283"/>
              <w:jc w:val="left"/>
              <w:rPr/>
            </w:pPr>
            <w:r>
              <w:rPr/>
              <w:t>  </w:t>
            </w:r>
          </w:p>
        </w:tc>
        <w:tc>
          <w:tcPr>
            <w:tcW w:w="5672" w:type="dxa"/>
            <w:tcBorders/>
            <w:vAlign w:val="center"/>
          </w:tcPr>
          <w:p>
            <w:pPr>
              <w:pStyle w:val="TableContents"/>
              <w:bidi w:val="0"/>
              <w:spacing w:before="0" w:after="283"/>
              <w:jc w:val="left"/>
              <w:rPr/>
            </w:pPr>
            <w:r>
              <w:rPr/>
              <w:t>Notice, given in writing or by electronic transmission, of each meeting of stockholders will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such stockholder’s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will be bound by the proceedings of any such meeting in all respects as if due notice thereof had been given.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5985"/>
        <w:gridCol w:w="120"/>
        <w:gridCol w:w="4100"/>
      </w:tblGrid>
      <w:tr>
        <w:trPr/>
        <w:tc>
          <w:tcPr>
            <w:tcW w:w="5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sz w:val="4"/>
                <w:szCs w:val="4"/>
              </w:rPr>
            </w:pPr>
            <w:r>
              <w:rPr>
                <w:sz w:val="4"/>
                <w:szCs w:val="4"/>
              </w:rPr>
            </w:r>
          </w:p>
        </w:tc>
      </w:tr>
      <w:tr>
        <w:trPr/>
        <w:tc>
          <w:tcPr>
            <w:tcW w:w="5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Advance Notice Requirements for Stockholder Proposals</w:t>
            </w:r>
          </w:p>
        </w:tc>
      </w:tr>
      <w:tr>
        <w:trPr/>
        <w:tc>
          <w:tcPr>
            <w:tcW w:w="5985" w:type="dxa"/>
            <w:tcBorders/>
            <w:vAlign w:val="center"/>
          </w:tcPr>
          <w:p>
            <w:pPr>
              <w:pStyle w:val="TableContents"/>
              <w:bidi w:val="0"/>
              <w:spacing w:before="0" w:after="283"/>
              <w:jc w:val="left"/>
              <w:rPr/>
            </w:pPr>
            <w:r>
              <w:rPr/>
              <w:t>Nominations of persons for election to the AVROBIO Board and the proposal of business other than nominations to be considered by the stockholders may be made at an annual meeting of stockholders only (i) by or at the direction of the AVROBIO Board or (ii) by any stockholder of AVROBIO who is a stockholder of record at the time of giving notice provided for in AVROBIO’s amended and restated bylaws, who is entitled to vote at the meeting, who is present (in person or by proxy) at the meeting and who complies with the notice procedures set forth in AVROBIO’s bylaws. For the avoidance of doubt, the foregoing clause (ii) is the exclusive means for a stockholder to make director nominations and submit other business (other than matters properly included in the corporation’s notice of meeting of stockholders and proxy statement under Rule 14a-8 under the Exchange Act) before an annual meeting of stockholders.</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Tectonic’s bylaws do not contain advance notice requirements for stockholder proposals.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Certificate of Incorporation</w:t>
            </w:r>
          </w:p>
        </w:tc>
      </w:tr>
      <w:tr>
        <w:trPr/>
        <w:tc>
          <w:tcPr>
            <w:tcW w:w="5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affirmative vote of the majority of the outstanding shares of capital stock entitled to vote, and the affirmative vote of the majority of the outstanding shares of each class entitled to vote thereon as a class, at a duly constituted meeting of stockholders called expressly for such purpose, will be required to amend certain provisions of AVROBIO’s charter.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Notwithstanding any other provisions of AVROBIO’s charter or bylaws, or any provision of law which might otherwise permit a lesser vote or no vote, stockholders may vote to amend AVROBIO’s charter pursuant to Section 242 of the DGCL.</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Subject to Section 242 of the DGCL, affirmative vote of the majority of the outstanding shares of capital stock entitled to vote and the affirmative vote of the holders of at least a majority of the outstanding shares of Tectonic preferred stock, voting together on an as-converted to Tectonic common stock basis, will be required to amend, alter, waive or repeal any provision of Tectonic’s charter in a manner that adversely affects the powers, preferences or rights of the holders of Tectonic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Bylaws</w:t>
            </w:r>
          </w:p>
        </w:tc>
      </w:tr>
      <w:tr>
        <w:trPr/>
        <w:tc>
          <w:tcPr>
            <w:tcW w:w="5985" w:type="dxa"/>
            <w:tcBorders/>
            <w:vAlign w:val="center"/>
          </w:tcPr>
          <w:p>
            <w:pPr>
              <w:pStyle w:val="TableContents"/>
              <w:bidi w:val="0"/>
              <w:spacing w:before="0" w:after="283"/>
              <w:jc w:val="left"/>
              <w:rPr/>
            </w:pPr>
            <w:r>
              <w:rPr/>
              <w:t>AVROBIO’s bylaws may be amended or repealed by the AVROBIO stockholders or the AVROBIO Board. The affirmative vote of a majority of the outstanding shares of capital stock entitled to vote, voting together as a single class, is required to amend or repeal AVROBIO’s bylaws. The AVROBIO Board also has the power to amend or repeal AVROBIO’s bylaws by the affirmative vote of a majority of the directors then in office.</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The Tectonic Board is expressly empowered to adopt, amend or repeal Tectonic’s bylaws. Tectonic stockholders also have power to adopt, amend or repeal Tectonic’s bylaws; provided, however, that, in addition to any vote of the holders of any class or series of stock of the corporation required by law or by Tectonic’s charter, such action by stockholders requires the affirmative vote of the holders of a majority of the voting power of all of the then outstanding shares of the capital stock of Tectonic entitled to vote generally in the election of directors, voting together as a single class.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5921"/>
        <w:gridCol w:w="120"/>
        <w:gridCol w:w="4164"/>
      </w:tblGrid>
      <w:tr>
        <w:trPr/>
        <w:tc>
          <w:tcPr>
            <w:tcW w:w="5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64" w:type="dxa"/>
            <w:tcBorders/>
            <w:vAlign w:val="center"/>
          </w:tcPr>
          <w:p>
            <w:pPr>
              <w:pStyle w:val="TableContents"/>
              <w:bidi w:val="0"/>
              <w:spacing w:before="0" w:after="283"/>
              <w:jc w:val="left"/>
              <w:rPr>
                <w:sz w:val="4"/>
                <w:szCs w:val="4"/>
              </w:rPr>
            </w:pPr>
            <w:r>
              <w:rPr>
                <w:sz w:val="4"/>
                <w:szCs w:val="4"/>
              </w:rPr>
            </w:r>
          </w:p>
        </w:tc>
      </w:tr>
      <w:tr>
        <w:trPr/>
        <w:tc>
          <w:tcPr>
            <w:tcW w:w="592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416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5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6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affirmative vote of the holders of at least a majority of the outstanding shares of Voting Preferred Stock, voting together on an as-converted to Tectonic common stock basis, is required to amend, alter, waive or repeal any provision of Tectonic’s bylaws in a manner that adversely affects the powers, preferences or rights of the holders of Tectonic preferred stock.</w:t>
            </w:r>
          </w:p>
        </w:tc>
      </w:tr>
      <w:tr>
        <w:trPr/>
        <w:tc>
          <w:tcPr>
            <w:tcW w:w="10205" w:type="dxa"/>
            <w:gridSpan w:val="3"/>
            <w:tcBorders/>
            <w:vAlign w:val="center"/>
          </w:tcPr>
          <w:p>
            <w:pPr>
              <w:pStyle w:val="TableContents"/>
              <w:bidi w:val="0"/>
              <w:spacing w:before="0" w:after="283"/>
              <w:jc w:val="center"/>
              <w:rPr>
                <w:i/>
              </w:rPr>
            </w:pPr>
            <w:r>
              <w:rPr>
                <w:i/>
              </w:rPr>
              <w:t>Limitation on Director Liability</w:t>
            </w:r>
          </w:p>
        </w:tc>
      </w:tr>
      <w:tr>
        <w:trPr/>
        <w:tc>
          <w:tcPr>
            <w:tcW w:w="5921" w:type="dxa"/>
            <w:tcBorders/>
            <w:vAlign w:val="center"/>
          </w:tcPr>
          <w:p>
            <w:pPr>
              <w:pStyle w:val="TableContents"/>
              <w:bidi w:val="0"/>
              <w:spacing w:before="0" w:after="283"/>
              <w:jc w:val="left"/>
              <w:rPr/>
            </w:pPr>
            <w:r>
              <w:rPr/>
              <w:t>The liability of the AVROBIO directors to AVROBIO or AVROBIO stockholders for monetary damages is and will be eliminated to the fullest extent under applicable law. If applicable law is amended to authorize corporate action further eliminating or limiting the personal liability of directors, then the liability of a director to AVROBIO will be eliminated or limited to the fullest extent permitted by applicable law as so amended. Any amendment, repeal or modification of applicable law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tc>
        <w:tc>
          <w:tcPr>
            <w:tcW w:w="120" w:type="dxa"/>
            <w:tcBorders/>
            <w:vAlign w:val="center"/>
          </w:tcPr>
          <w:p>
            <w:pPr>
              <w:pStyle w:val="TableContents"/>
              <w:bidi w:val="0"/>
              <w:spacing w:before="0" w:after="283"/>
              <w:jc w:val="left"/>
              <w:rPr/>
            </w:pPr>
            <w:r>
              <w:rPr/>
              <w:t>  </w:t>
            </w:r>
          </w:p>
        </w:tc>
        <w:tc>
          <w:tcPr>
            <w:tcW w:w="4164" w:type="dxa"/>
            <w:tcBorders/>
            <w:vAlign w:val="center"/>
          </w:tcPr>
          <w:p>
            <w:pPr>
              <w:pStyle w:val="TableContents"/>
              <w:bidi w:val="0"/>
              <w:spacing w:before="0" w:after="283"/>
              <w:jc w:val="left"/>
              <w:rPr/>
            </w:pPr>
            <w:r>
              <w:rPr/>
              <w:t>A Tectonic director shall not be personally liable to Tectonic or its stockholders for monetary damages for breach of fiduciary duty as a director.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Indemnification</w:t>
            </w:r>
          </w:p>
        </w:tc>
      </w:tr>
      <w:tr>
        <w:trPr/>
        <w:tc>
          <w:tcPr>
            <w:tcW w:w="5921" w:type="dxa"/>
            <w:tcBorders/>
            <w:vAlign w:val="center"/>
          </w:tcPr>
          <w:p>
            <w:pPr>
              <w:pStyle w:val="TableContents"/>
              <w:bidi w:val="0"/>
              <w:spacing w:before="0" w:after="283"/>
              <w:jc w:val="left"/>
              <w:rPr/>
            </w:pPr>
            <w:r>
              <w:rPr/>
              <w:t>To the fullest extent permitted by applicable law, AVROBIO is authorized to provide indemnification of (and advancement of expenses to) directors, officers and agents of AVROBIO (and any other persons to which applicable law permits AVROBIO to provide indemnification) through provisions of AVROBIO’s amended and restated bylaws, agreements with such agents or other persons, vote of stockholders or disinterested directors or otherwise in excess of the indemnification and advancement otherwise permitted by such applicable law. If applicable law is amended to authorize broader indemnification rights than such law permitted AVROBIO to provide prior to such amendment, then the liability of a director to AVROBIO will be eliminated or limited to the fullest extent permitted by applicable law as so amended.</w:t>
            </w:r>
          </w:p>
        </w:tc>
        <w:tc>
          <w:tcPr>
            <w:tcW w:w="120" w:type="dxa"/>
            <w:tcBorders/>
            <w:vAlign w:val="center"/>
          </w:tcPr>
          <w:p>
            <w:pPr>
              <w:pStyle w:val="TableContents"/>
              <w:bidi w:val="0"/>
              <w:spacing w:before="0" w:after="283"/>
              <w:jc w:val="left"/>
              <w:rPr/>
            </w:pPr>
            <w:r>
              <w:rPr/>
              <w:t>  </w:t>
            </w:r>
          </w:p>
        </w:tc>
        <w:tc>
          <w:tcPr>
            <w:tcW w:w="4164" w:type="dxa"/>
            <w:tcBorders/>
            <w:vAlign w:val="center"/>
          </w:tcPr>
          <w:p>
            <w:pPr>
              <w:pStyle w:val="TableContents"/>
              <w:bidi w:val="0"/>
              <w:spacing w:before="0" w:after="283"/>
              <w:jc w:val="left"/>
              <w:rPr/>
            </w:pPr>
            <w:r>
              <w:rPr/>
              <w:t>To the fullest extent permitted by applicable law, Tectonic is authorized to provide indemnification of (and advancement of expenses to) directors, officers and agents of Tectonic (and any other persons to which the DGCL permits Tectonic to provide indemnification) through bylaw provisions, agreements with such agents or other persons, vote of stockholders or disinterested directors or otherwise, in excess of the indemnification and advancement otherwise permitted by Section 145 of the DGCL.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708"/>
        <w:gridCol w:w="120"/>
        <w:gridCol w:w="8377"/>
      </w:tblGrid>
      <w:tr>
        <w:trPr/>
        <w:tc>
          <w:tcPr>
            <w:tcW w:w="1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77" w:type="dxa"/>
            <w:tcBorders/>
            <w:vAlign w:val="center"/>
          </w:tcPr>
          <w:p>
            <w:pPr>
              <w:pStyle w:val="TableContents"/>
              <w:bidi w:val="0"/>
              <w:spacing w:before="0" w:after="283"/>
              <w:jc w:val="left"/>
              <w:rPr>
                <w:sz w:val="4"/>
                <w:szCs w:val="4"/>
              </w:rPr>
            </w:pPr>
            <w:r>
              <w:rPr>
                <w:sz w:val="4"/>
                <w:szCs w:val="4"/>
              </w:rPr>
            </w:r>
          </w:p>
        </w:tc>
      </w:tr>
      <w:tr>
        <w:trPr/>
        <w:tc>
          <w:tcPr>
            <w:tcW w:w="170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837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Conversion Rights</w:t>
            </w:r>
          </w:p>
        </w:tc>
      </w:tr>
      <w:tr>
        <w:trPr/>
        <w:tc>
          <w:tcPr>
            <w:tcW w:w="1708" w:type="dxa"/>
            <w:tcBorders/>
            <w:vAlign w:val="center"/>
          </w:tcPr>
          <w:p>
            <w:pPr>
              <w:pStyle w:val="TableContents"/>
              <w:bidi w:val="0"/>
              <w:spacing w:before="0" w:after="283"/>
              <w:jc w:val="left"/>
              <w:rPr/>
            </w:pPr>
            <w:r>
              <w:rPr/>
              <w:t>AVROBIO does not have any outstanding shares of undesignated preferred stock.</w:t>
            </w:r>
          </w:p>
        </w:tc>
        <w:tc>
          <w:tcPr>
            <w:tcW w:w="120" w:type="dxa"/>
            <w:tcBorders/>
            <w:vAlign w:val="center"/>
          </w:tcPr>
          <w:p>
            <w:pPr>
              <w:pStyle w:val="TableContents"/>
              <w:bidi w:val="0"/>
              <w:spacing w:before="0" w:after="283"/>
              <w:jc w:val="left"/>
              <w:rPr/>
            </w:pPr>
            <w:r>
              <w:rPr/>
              <w:t>  </w:t>
            </w:r>
          </w:p>
        </w:tc>
        <w:tc>
          <w:tcPr>
            <w:tcW w:w="8377" w:type="dxa"/>
            <w:tcBorders/>
            <w:vAlign w:val="center"/>
          </w:tcPr>
          <w:p>
            <w:pPr>
              <w:pStyle w:val="TableContents"/>
              <w:bidi w:val="0"/>
              <w:spacing w:before="0" w:after="283"/>
              <w:jc w:val="left"/>
              <w:rPr/>
            </w:pPr>
            <w:r>
              <w:rPr/>
              <w:t>Tectonic’s charter provides that holders of Tectonic preferred stock have the right to convert such shares into shares of common stock at any time at a conversion rate in accordance with the terms of Tectonic’s charter. In addition, upon the earliest of (a) the closing of the sale of shares of Tectonic common stock to the public at a price of at least $39.56280 per share in a firm-commitment underwritten public offering pursuant to an effective registration statement under the Securities Act, resulting in at least $75,000,000 of gross proceeds to Tectonic or (b) the date and time, or the occurrence of an event, specified by vote or written consent of the holders of at least a majority of the outstanding shares of Voting Preferred Stock voting together on an as-converted to common stock basis, then (i) all outstanding shares of Tectonic preferred stock shall automatically be converted into shares of Tectonic common stock, at the then effective conversion rate as calculated pursuant to Tectonic’s charter. Each share of Series A-2 preferred stock shall be convertible into one share of Series A-1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Right of First Refusal</w:t>
            </w:r>
          </w:p>
        </w:tc>
      </w:tr>
      <w:tr>
        <w:trPr/>
        <w:tc>
          <w:tcPr>
            <w:tcW w:w="1708" w:type="dxa"/>
            <w:tcBorders/>
            <w:vAlign w:val="center"/>
          </w:tcPr>
          <w:p>
            <w:pPr>
              <w:pStyle w:val="TableContents"/>
              <w:bidi w:val="0"/>
              <w:spacing w:before="0" w:after="283"/>
              <w:jc w:val="left"/>
              <w:rPr/>
            </w:pPr>
            <w:r>
              <w:rPr/>
              <w:t>AVROBIO does not have a right of first refusal in place.</w:t>
            </w:r>
          </w:p>
        </w:tc>
        <w:tc>
          <w:tcPr>
            <w:tcW w:w="120" w:type="dxa"/>
            <w:tcBorders/>
            <w:vAlign w:val="center"/>
          </w:tcPr>
          <w:p>
            <w:pPr>
              <w:pStyle w:val="TableContents"/>
              <w:bidi w:val="0"/>
              <w:spacing w:before="0" w:after="283"/>
              <w:jc w:val="left"/>
              <w:rPr/>
            </w:pPr>
            <w:r>
              <w:rPr/>
              <w:t>  </w:t>
            </w:r>
          </w:p>
        </w:tc>
        <w:tc>
          <w:tcPr>
            <w:tcW w:w="8377" w:type="dxa"/>
            <w:tcBorders/>
            <w:vAlign w:val="center"/>
          </w:tcPr>
          <w:p>
            <w:pPr>
              <w:pStyle w:val="TableContents"/>
              <w:bidi w:val="0"/>
              <w:spacing w:before="0" w:after="283"/>
              <w:jc w:val="left"/>
              <w:rPr/>
            </w:pPr>
            <w:r>
              <w:rPr/>
              <w:t>Pursuant to a Right of First Refusal and Co-Sale Agreement dated March 31, 2021 (the “Right of First Refusal Agreement”) certain of Tectonic stockholders (each, a “Key Holder”), wishing to transfer any shares of Tectonic capital stock must first provide Tectonic with the right to purchase such shares. In such an event, if Tectonic does not elect to exercise its right of first refusal in full, certain stockholders party to the Right of First Refusal, or Investors, have a secondary right of first refusal to purchase all or any portion of the shares of Tectonic capital stock which are proposed for sale or transfer by the Key 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Right of Co-Sale</w:t>
            </w:r>
          </w:p>
        </w:tc>
      </w:tr>
      <w:tr>
        <w:trPr/>
        <w:tc>
          <w:tcPr>
            <w:tcW w:w="1708" w:type="dxa"/>
            <w:tcBorders/>
            <w:vAlign w:val="center"/>
          </w:tcPr>
          <w:p>
            <w:pPr>
              <w:pStyle w:val="TableContents"/>
              <w:bidi w:val="0"/>
              <w:spacing w:before="0" w:after="283"/>
              <w:jc w:val="left"/>
              <w:rPr/>
            </w:pPr>
            <w:r>
              <w:rPr/>
              <w:t>AVROBIO does not have a right of co-sale in place.</w:t>
            </w:r>
          </w:p>
        </w:tc>
        <w:tc>
          <w:tcPr>
            <w:tcW w:w="120" w:type="dxa"/>
            <w:tcBorders/>
            <w:vAlign w:val="center"/>
          </w:tcPr>
          <w:p>
            <w:pPr>
              <w:pStyle w:val="TableContents"/>
              <w:bidi w:val="0"/>
              <w:spacing w:before="0" w:after="283"/>
              <w:jc w:val="left"/>
              <w:rPr/>
            </w:pPr>
            <w:r>
              <w:rPr/>
              <w:t>  </w:t>
            </w:r>
          </w:p>
        </w:tc>
        <w:tc>
          <w:tcPr>
            <w:tcW w:w="8377" w:type="dxa"/>
            <w:tcBorders/>
            <w:vAlign w:val="center"/>
          </w:tcPr>
          <w:p>
            <w:pPr>
              <w:pStyle w:val="TableContents"/>
              <w:bidi w:val="0"/>
              <w:spacing w:before="0" w:after="283"/>
              <w:jc w:val="left"/>
              <w:rPr/>
            </w:pPr>
            <w:r>
              <w:rPr/>
              <w:t>Pursuant to the Right of First Refusal Agreement each Investor has a right of co-sale with respect to any Tectonic capital stock proposed to be transferred or sold by any Key Holder which is not earlier purchased by Tectonic by exercise of its right of first refusal (as further described above) or by any Tectonic investor by exercise of their secondary right of first refusal (as further described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198"/>
        <w:gridCol w:w="120"/>
        <w:gridCol w:w="5887"/>
      </w:tblGrid>
      <w:tr>
        <w:trPr/>
        <w:tc>
          <w:tcPr>
            <w:tcW w:w="41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87" w:type="dxa"/>
            <w:tcBorders/>
            <w:vAlign w:val="center"/>
          </w:tcPr>
          <w:p>
            <w:pPr>
              <w:pStyle w:val="TableContents"/>
              <w:bidi w:val="0"/>
              <w:spacing w:before="0" w:after="283"/>
              <w:jc w:val="left"/>
              <w:rPr>
                <w:sz w:val="4"/>
                <w:szCs w:val="4"/>
              </w:rPr>
            </w:pPr>
            <w:r>
              <w:rPr>
                <w:sz w:val="4"/>
                <w:szCs w:val="4"/>
              </w:rPr>
            </w:r>
          </w:p>
        </w:tc>
      </w:tr>
      <w:tr>
        <w:trPr/>
        <w:tc>
          <w:tcPr>
            <w:tcW w:w="419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88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Preemptive Rights</w:t>
            </w:r>
          </w:p>
        </w:tc>
      </w:tr>
      <w:tr>
        <w:trPr/>
        <w:tc>
          <w:tcPr>
            <w:tcW w:w="4198" w:type="dxa"/>
            <w:tcBorders/>
            <w:vAlign w:val="center"/>
          </w:tcPr>
          <w:p>
            <w:pPr>
              <w:pStyle w:val="TableContents"/>
              <w:bidi w:val="0"/>
              <w:spacing w:before="0" w:after="283"/>
              <w:jc w:val="left"/>
              <w:rPr/>
            </w:pPr>
            <w:r>
              <w:rPr/>
              <w:t>AVROBIO stockholders do not have preemptive rights. Thus, if additional shares of AVROBIO common stock are issued, the current holders of AVROBIO common stock will own a proportionately smaller interest in a larger number of outstanding shares of common stock to the extent that they do not participate in the additional issuance.</w:t>
            </w:r>
          </w:p>
        </w:tc>
        <w:tc>
          <w:tcPr>
            <w:tcW w:w="120" w:type="dxa"/>
            <w:tcBorders/>
            <w:vAlign w:val="center"/>
          </w:tcPr>
          <w:p>
            <w:pPr>
              <w:pStyle w:val="TableContents"/>
              <w:bidi w:val="0"/>
              <w:spacing w:before="0" w:after="283"/>
              <w:jc w:val="left"/>
              <w:rPr/>
            </w:pPr>
            <w:r>
              <w:rPr/>
              <w:t>  </w:t>
            </w:r>
          </w:p>
        </w:tc>
        <w:tc>
          <w:tcPr>
            <w:tcW w:w="5887" w:type="dxa"/>
            <w:tcBorders/>
            <w:vAlign w:val="center"/>
          </w:tcPr>
          <w:p>
            <w:pPr>
              <w:pStyle w:val="TableContents"/>
              <w:bidi w:val="0"/>
              <w:spacing w:before="0" w:after="283"/>
              <w:jc w:val="left"/>
              <w:rPr/>
            </w:pPr>
            <w:r>
              <w:rPr/>
              <w:t>Pursuant to the Investors’ Rights Agreement, dated March 31, 2021 (the “Tectonic IRA”), if Tectonic proposes to offer or sell new equity securities, Tectonic must first offer such securities to certain holders of Tectonic capital stock. Each such holder will then have the right to purchase securities in such new offering equal to the proportion of the ownership interest of such holder prior to such offering.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Distributions to Stockholders</w:t>
            </w:r>
          </w:p>
        </w:tc>
      </w:tr>
      <w:tr>
        <w:trPr/>
        <w:tc>
          <w:tcPr>
            <w:tcW w:w="4198" w:type="dxa"/>
            <w:tcBorders/>
            <w:vAlign w:val="center"/>
          </w:tcPr>
          <w:p>
            <w:pPr>
              <w:pStyle w:val="TableContents"/>
              <w:bidi w:val="0"/>
              <w:spacing w:before="0" w:after="283"/>
              <w:jc w:val="left"/>
              <w:rPr/>
            </w:pPr>
            <w:r>
              <w:rPr/>
              <w:t>Dividends upon AVROBIO capital stock, subject to the provisions of AVROBIO’s charter and applicable law, if any, may be declared by the AVROBIO Board pursuant to law at any regular or special meeting. Dividends may be paid in cash, in property, or in shares of the capital stock, subject to the provisions of AVROBIO’s charter and applicable law. The AVROBIO Board may fix a record date for the determination of holders of AVROBIO common stock entitled to receive payment of a dividend or distribution declared thereon, which record date shall not precede the date upon which the resolution fixing the record date is adopted, and which record date may not be more than 60 days prior to the date fixed for the payment thereof.</w:t>
            </w:r>
          </w:p>
        </w:tc>
        <w:tc>
          <w:tcPr>
            <w:tcW w:w="120" w:type="dxa"/>
            <w:tcBorders/>
            <w:vAlign w:val="center"/>
          </w:tcPr>
          <w:p>
            <w:pPr>
              <w:pStyle w:val="TableContents"/>
              <w:bidi w:val="0"/>
              <w:spacing w:before="0" w:after="283"/>
              <w:jc w:val="left"/>
              <w:rPr/>
            </w:pPr>
            <w:r>
              <w:rPr/>
              <w:t>  </w:t>
            </w:r>
          </w:p>
        </w:tc>
        <w:tc>
          <w:tcPr>
            <w:tcW w:w="5887" w:type="dxa"/>
            <w:tcBorders/>
            <w:vAlign w:val="center"/>
          </w:tcPr>
          <w:p>
            <w:pPr>
              <w:pStyle w:val="TableContents"/>
              <w:bidi w:val="0"/>
              <w:spacing w:before="0" w:after="283"/>
              <w:jc w:val="left"/>
              <w:rPr/>
            </w:pPr>
            <w:r>
              <w:rPr/>
              <w:t>Dividends upon Tectonic capital stock, subject to the provisions of Tectonic’s charter and applicable law, if any, may be declared by the Tectonic Board any regular or special meeting. Dividends may be paid in cash, in property, or in shares of the capital stock, subject to the provisions of Tectonic ’s amended and restated certificate of incorporation, as amended, and applicable law. The Tectonic Board may fix a record date for the determination of holders of Tectonic common stock entitled to receive payment of a dividend or distribution declared thereon, which record date is to be not to precede the date upon which the resolution fixing the record date is adopted, and which record date may not be more than 60 days prior to the date fixed for the payment thereof. The holders of Tectonic preferred stock are entitled to receive, only when, as and if declared by the Tectonic Board, dividends at the rate of 8% of the original issue price for each share of Tectonic preferred stock. No dividend shall be paid to the holders of Tectonic Common Stock unless the holders of Tectonic preferred stock first receive payment of the dividends to which they are entitled under Tectonic’s amended and restated certificate of incorporation.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Exclusive Forum</w:t>
            </w:r>
          </w:p>
        </w:tc>
      </w:tr>
      <w:tr>
        <w:trPr/>
        <w:tc>
          <w:tcPr>
            <w:tcW w:w="4198" w:type="dxa"/>
            <w:tcBorders/>
            <w:vAlign w:val="center"/>
          </w:tcPr>
          <w:p>
            <w:pPr>
              <w:pStyle w:val="TableContents"/>
              <w:bidi w:val="0"/>
              <w:spacing w:before="0" w:after="283"/>
              <w:jc w:val="left"/>
              <w:rPr/>
            </w:pPr>
            <w:r>
              <w:rPr/>
              <w:t>AVROBIO’s bylaws provide that unless it consents in writing to the selection of an alternative forum, the Court of Chancery of the State of Delaware will be the sole and exclusive forum for any state law claim for: (i) any derivative action or proceeding brought on behalf of AVROBIO, (ii) any action asserting a claim of breach of or based on a fiduciary duty owed by any current or former director, officer or other employee of AVROBIO to AVROBIO or AVROBIO stockholders, (iii) any action asserting a claim against AVROBIO or any current or former director, officer or other employee or stockholder of the AVROBIO arising pursuant to any</w:t>
            </w:r>
          </w:p>
        </w:tc>
        <w:tc>
          <w:tcPr>
            <w:tcW w:w="120" w:type="dxa"/>
            <w:tcBorders/>
            <w:vAlign w:val="center"/>
          </w:tcPr>
          <w:p>
            <w:pPr>
              <w:pStyle w:val="TableContents"/>
              <w:bidi w:val="0"/>
              <w:spacing w:before="0" w:after="283"/>
              <w:jc w:val="left"/>
              <w:rPr/>
            </w:pPr>
            <w:r>
              <w:rPr/>
              <w:t>  </w:t>
            </w:r>
          </w:p>
        </w:tc>
        <w:tc>
          <w:tcPr>
            <w:tcW w:w="5887" w:type="dxa"/>
            <w:tcBorders/>
            <w:vAlign w:val="center"/>
          </w:tcPr>
          <w:p>
            <w:pPr>
              <w:pStyle w:val="TableContents"/>
              <w:bidi w:val="0"/>
              <w:spacing w:before="0" w:after="283"/>
              <w:jc w:val="left"/>
              <w:rPr/>
            </w:pPr>
            <w:r>
              <w:rPr/>
              <w:t>Unless Tectonic consents in writing to the selection of an alternative forum, the Court of Chancery in the State of Delaware shall be the sole and exclusive forum for any stockholder (including a beneficial owner) to bring (i) any derivative action or proceeding brought on behalf of Tectonic, (ii) any action asserting a claim of breach of fiduciary duty owed by any director, officer or other employee of Tectonic to Tectonic or its stockholders, (iii) any action asserting a claim against Tectonic, its directors, officers or employees arising pursuant to any provision of the DGCL or Tectonic’s amended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5073"/>
        <w:gridCol w:w="120"/>
        <w:gridCol w:w="5012"/>
      </w:tblGrid>
      <w:tr>
        <w:trPr/>
        <w:tc>
          <w:tcPr>
            <w:tcW w:w="50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12" w:type="dxa"/>
            <w:tcBorders/>
            <w:vAlign w:val="center"/>
          </w:tcPr>
          <w:p>
            <w:pPr>
              <w:pStyle w:val="TableContents"/>
              <w:bidi w:val="0"/>
              <w:spacing w:before="0" w:after="283"/>
              <w:jc w:val="left"/>
              <w:rPr>
                <w:sz w:val="4"/>
                <w:szCs w:val="4"/>
              </w:rPr>
            </w:pPr>
            <w:r>
              <w:rPr>
                <w:sz w:val="4"/>
                <w:szCs w:val="4"/>
              </w:rPr>
            </w:r>
          </w:p>
        </w:tc>
      </w:tr>
      <w:tr>
        <w:trPr/>
        <w:tc>
          <w:tcPr>
            <w:tcW w:w="507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0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5073" w:type="dxa"/>
            <w:tcBorders/>
            <w:vAlign w:val="center"/>
          </w:tcPr>
          <w:p>
            <w:pPr>
              <w:pStyle w:val="TableContents"/>
              <w:bidi w:val="0"/>
              <w:spacing w:before="0" w:after="283"/>
              <w:jc w:val="left"/>
              <w:rPr/>
            </w:pPr>
            <w:r>
              <w:rPr/>
              <w:t>provision of the DGCL or AVROBIO’s charter or bylaws, or (iv) any action asserting a claim against AVROBIO or any current or former director or officer or other employee of AVROBIO governed by the internal affairs doctrine. Unless AVROBIO consents in writing to the selection of an alternative forum, the United States District Court for the District of Massachusetts shall be the exclusive forum for the resolution of any complaint asserting a cause of action arising under the Securities Act. Any person or entity purchasing or otherwise acquiring any interest in shares of capital stock of AVROBIO will be deemed to have notice of and to have consented to the forum selection provision of AVROBIO’s bylaws.</w:t>
            </w:r>
          </w:p>
        </w:tc>
        <w:tc>
          <w:tcPr>
            <w:tcW w:w="120" w:type="dxa"/>
            <w:tcBorders/>
            <w:vAlign w:val="center"/>
          </w:tcPr>
          <w:p>
            <w:pPr>
              <w:pStyle w:val="TableContents"/>
              <w:bidi w:val="0"/>
              <w:spacing w:before="0" w:after="283"/>
              <w:jc w:val="left"/>
              <w:rPr/>
            </w:pPr>
            <w:r>
              <w:rPr/>
              <w:t>  </w:t>
            </w:r>
          </w:p>
        </w:tc>
        <w:tc>
          <w:tcPr>
            <w:tcW w:w="5012" w:type="dxa"/>
            <w:tcBorders/>
            <w:vAlign w:val="center"/>
          </w:tcPr>
          <w:p>
            <w:pPr>
              <w:pStyle w:val="TableContents"/>
              <w:bidi w:val="0"/>
              <w:spacing w:before="0" w:after="283"/>
              <w:jc w:val="left"/>
              <w:rPr/>
            </w:pPr>
            <w:r>
              <w:rPr/>
              <w:t>and restated certificate of incorporation, as amended or bylaws or (iv) any action asserting a claim against Tectonic,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tc>
      </w:tr>
      <w:tr>
        <w:trPr/>
        <w:tc>
          <w:tcPr>
            <w:tcW w:w="10205" w:type="dxa"/>
            <w:gridSpan w:val="3"/>
            <w:tcBorders/>
            <w:vAlign w:val="center"/>
          </w:tcPr>
          <w:p>
            <w:pPr>
              <w:pStyle w:val="TableContents"/>
              <w:bidi w:val="0"/>
              <w:spacing w:before="0" w:after="283"/>
              <w:jc w:val="center"/>
              <w:rPr>
                <w:i/>
              </w:rPr>
            </w:pPr>
            <w:r>
              <w:rPr>
                <w:i/>
              </w:rPr>
              <w:t>Registration Rights</w:t>
            </w:r>
          </w:p>
        </w:tc>
      </w:tr>
      <w:tr>
        <w:trPr/>
        <w:tc>
          <w:tcPr>
            <w:tcW w:w="5073" w:type="dxa"/>
            <w:tcBorders/>
            <w:vAlign w:val="center"/>
          </w:tcPr>
          <w:p>
            <w:pPr>
              <w:pStyle w:val="TableContents"/>
              <w:bidi w:val="0"/>
              <w:spacing w:before="0" w:after="283"/>
              <w:jc w:val="left"/>
              <w:rPr/>
            </w:pPr>
            <w:r>
              <w:rPr/>
              <w:t>AVROBIO is not party to any registration rights agreements.</w:t>
            </w:r>
          </w:p>
        </w:tc>
        <w:tc>
          <w:tcPr>
            <w:tcW w:w="120" w:type="dxa"/>
            <w:tcBorders/>
            <w:vAlign w:val="center"/>
          </w:tcPr>
          <w:p>
            <w:pPr>
              <w:pStyle w:val="TableContents"/>
              <w:bidi w:val="0"/>
              <w:spacing w:before="0" w:after="283"/>
              <w:jc w:val="left"/>
              <w:rPr/>
            </w:pPr>
            <w:r>
              <w:rPr/>
              <w:t>  </w:t>
            </w:r>
          </w:p>
        </w:tc>
        <w:tc>
          <w:tcPr>
            <w:tcW w:w="5012" w:type="dxa"/>
            <w:tcBorders/>
            <w:vAlign w:val="center"/>
          </w:tcPr>
          <w:p>
            <w:pPr>
              <w:pStyle w:val="TableContents"/>
              <w:bidi w:val="0"/>
              <w:spacing w:before="0" w:after="283"/>
              <w:jc w:val="left"/>
              <w:rPr/>
            </w:pPr>
            <w:r>
              <w:rPr/>
              <w:t>Under the Tectonic IRA, certain holders of Tectonic preferred stock that are party to the Tectonic IRA have certain registration rights, including the right to demand that Tectonic file a registration statement, so called “demand” registration rights, or request that their shares be covered by a registration statement that Tectonic is otherwise filing, so-called “piggyback” registration rights.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 Transfer Restrictions Applicable to Stockholders</w:t>
            </w:r>
          </w:p>
        </w:tc>
      </w:tr>
      <w:tr>
        <w:trPr/>
        <w:tc>
          <w:tcPr>
            <w:tcW w:w="5073" w:type="dxa"/>
            <w:tcBorders/>
            <w:vAlign w:val="center"/>
          </w:tcPr>
          <w:p>
            <w:pPr>
              <w:pStyle w:val="TableContents"/>
              <w:bidi w:val="0"/>
              <w:spacing w:before="0" w:after="283"/>
              <w:jc w:val="left"/>
              <w:rPr/>
            </w:pPr>
            <w:r>
              <w:rPr/>
              <w:t>Shares of AVROBIO are transferable in the manner prescribed by the DGCL.</w:t>
            </w:r>
          </w:p>
        </w:tc>
        <w:tc>
          <w:tcPr>
            <w:tcW w:w="120" w:type="dxa"/>
            <w:tcBorders/>
            <w:vAlign w:val="center"/>
          </w:tcPr>
          <w:p>
            <w:pPr>
              <w:pStyle w:val="TableContents"/>
              <w:bidi w:val="0"/>
              <w:spacing w:before="0" w:after="283"/>
              <w:jc w:val="left"/>
              <w:rPr/>
            </w:pPr>
            <w:r>
              <w:rPr/>
              <w:t>  </w:t>
            </w:r>
          </w:p>
        </w:tc>
        <w:tc>
          <w:tcPr>
            <w:tcW w:w="5012" w:type="dxa"/>
            <w:tcBorders/>
            <w:vAlign w:val="center"/>
          </w:tcPr>
          <w:p>
            <w:pPr>
              <w:pStyle w:val="TableContents"/>
              <w:bidi w:val="0"/>
              <w:spacing w:before="0" w:after="283"/>
              <w:jc w:val="left"/>
              <w:rPr/>
            </w:pPr>
            <w:r>
              <w:rPr/>
              <w:t>Pursuant to Tectonic’s bylaws, transfer of Tectonic shares requires prior written consent of Tectonic board, subject to certain conditions as provided in the Tectonic bylaws.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Stockholder Rights Plan</w:t>
            </w:r>
          </w:p>
        </w:tc>
      </w:tr>
      <w:tr>
        <w:trPr/>
        <w:tc>
          <w:tcPr>
            <w:tcW w:w="5073" w:type="dxa"/>
            <w:tcBorders/>
            <w:vAlign w:val="center"/>
          </w:tcPr>
          <w:p>
            <w:pPr>
              <w:pStyle w:val="TableContents"/>
              <w:bidi w:val="0"/>
              <w:spacing w:before="0" w:after="283"/>
              <w:jc w:val="left"/>
              <w:rPr/>
            </w:pPr>
            <w:r>
              <w:rPr/>
              <w:t>AVROBIO has not adopted a stockholder rights plan, or “poison pill.”</w:t>
            </w:r>
          </w:p>
        </w:tc>
        <w:tc>
          <w:tcPr>
            <w:tcW w:w="120" w:type="dxa"/>
            <w:tcBorders/>
            <w:vAlign w:val="center"/>
          </w:tcPr>
          <w:p>
            <w:pPr>
              <w:pStyle w:val="TableContents"/>
              <w:bidi w:val="0"/>
              <w:spacing w:before="0" w:after="283"/>
              <w:jc w:val="left"/>
              <w:rPr/>
            </w:pPr>
            <w:r>
              <w:rPr/>
              <w:t>  </w:t>
            </w:r>
          </w:p>
        </w:tc>
        <w:tc>
          <w:tcPr>
            <w:tcW w:w="5012" w:type="dxa"/>
            <w:tcBorders/>
            <w:vAlign w:val="center"/>
          </w:tcPr>
          <w:p>
            <w:pPr>
              <w:pStyle w:val="TableContents"/>
              <w:bidi w:val="0"/>
              <w:spacing w:before="0" w:after="283"/>
              <w:jc w:val="left"/>
              <w:rPr/>
            </w:pPr>
            <w:r>
              <w:rPr/>
              <w:t>Tectonic has not adopted a stockholder rights plan, or “poison pill.”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3" w:name="toc770053_188"/>
      <w:bookmarkEnd w:id="183"/>
      <w:r>
        <w:rPr>
          <w:rFonts w:ascii="Times New Roman" w:hAnsi="Times New Roman"/>
          <w:b/>
          <w:sz w:val="20"/>
        </w:rPr>
        <w:t xml:space="preserve">PRINCIPAL AVROBIO STOCKHOLDERS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to the extent known by AVROBIO or ascertainable from public filings, with respect to the beneficial ownership of AVROBIO common stock as of March 15, 2024, by: </w:t>
      </w:r>
    </w:p>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directors;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named executive officers;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AVROBIO’s directors and executive officers as a group;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AVROBIO to beneficially own greater than 5% of AVROBIO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titled “Shares Beneficially Owned” is based on a total of 44,877,840 shares of AVROBIO common stock outstanding as of March 15, 2024.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AVROBIO common stock. Shares of AVROBIO common stock subject to options that are currently exercisable or exercisable within 60 days of March 15,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AVROBIO common stock beneficially owned by them, subject to community property laws, where applicable. Except as otherwise indicated in the table below, addresses of named beneficial owners are in care of AVROBIO, Inc., One Broadway, 14th Floor, Cambridge, Massachusetts 02142. </w:t>
      </w:r>
    </w:p>
    <w:p>
      <w:pPr>
        <w:pStyle w:val="TextBody"/>
        <w:bidi w:val="0"/>
        <w:spacing w:before="0" w:after="0"/>
        <w:jc w:val="left"/>
        <w:rPr/>
      </w:pPr>
      <w:r>
        <w:rPr/>
        <w:t> </w:t>
      </w:r>
    </w:p>
    <w:tbl>
      <w:tblPr>
        <w:tblW w:w="9282" w:type="dxa"/>
        <w:jc w:val="left"/>
        <w:tblInd w:w="0" w:type="dxa"/>
        <w:tblLayout w:type="fixed"/>
        <w:tblCellMar>
          <w:top w:w="0" w:type="dxa"/>
          <w:left w:w="0" w:type="dxa"/>
          <w:bottom w:w="0" w:type="dxa"/>
          <w:right w:w="0" w:type="dxa"/>
        </w:tblCellMar>
      </w:tblPr>
      <w:tblGrid>
        <w:gridCol w:w="5975"/>
        <w:gridCol w:w="120"/>
        <w:gridCol w:w="86"/>
        <w:gridCol w:w="1408"/>
        <w:gridCol w:w="86"/>
        <w:gridCol w:w="172"/>
        <w:gridCol w:w="110"/>
        <w:gridCol w:w="1035"/>
        <w:gridCol w:w="290"/>
      </w:tblGrid>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408" w:type="dxa"/>
            <w:tcBorders/>
            <w:shd w:fill="CCEEFF" w:val="clear"/>
            <w:vAlign w:val="center"/>
          </w:tcPr>
          <w:p>
            <w:pPr>
              <w:pStyle w:val="TableContents"/>
              <w:bidi w:val="0"/>
              <w:spacing w:before="0" w:after="283"/>
              <w:jc w:val="left"/>
              <w:rPr>
                <w:sz w:val="4"/>
                <w:szCs w:val="4"/>
              </w:rPr>
            </w:pPr>
            <w:r>
              <w:rPr>
                <w:sz w:val="4"/>
                <w:szCs w:val="4"/>
              </w:rPr>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Affiliates of Atlas Venture Fund(1)</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4,541,381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10.12</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BML Investment, L.P.(2)</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4,401,627</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9.81</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Affiliates of ADAR1 Fund(3)</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3,276,498</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7.30</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Newtyn Management, LLC(4)</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2,734,175</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6.09</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Geoff MacKay(5)</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213,938</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Golipour(6)</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400,655</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Ostrowski(7)</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809,184</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1.77</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Essra Ridha(8)</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307,694</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Bruce Booth, DPhil(9)</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76,069</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Ian T. Clark(10)</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155,091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Donenberg(11)</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96,812</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M. Farfel, PhD(12)</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80,394</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Annalisa Jenkins, MBBS, FRCP(13)</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115,580</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Paige, PhD(14)</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328,581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Philip J. Vickers, PhD(15)</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99,612</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 as a group (11 persons)(16)</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3,042,369</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6.40</w:t>
            </w:r>
          </w:p>
        </w:tc>
        <w:tc>
          <w:tcPr>
            <w:tcW w:w="29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in part on a Schedule 13D filed with the SEC on July 30, 2019 and a Form 4 filed with the SEC on February 18, 2020. 3,710,052 shares are held directly by Atlas Venture X, 810,811 shares are held 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by Atlas Venture Opportunity and 20,518 shares are held directly by AVA X LP. AVA X LP is the general partner of Atlas Venture X, and AVA X LLC is the general partner of AVA X LP. AVA Opportunity LP is the general partner of Atlas Venture Opportunity and AVA Opportunity LLC is the general partner of AVA Opportunity LP. Bruce Booth is a member of AVA X LLC and AVA Opportunity LLC and a member of the AVROBIO Board. Dr. Booth disclaims beneficial ownership of such shares, except to the extent of his proportionate pecuniary interest therein, if any. The address for Atlas Venture X is 300 Technology Square, 8th Floor, Cambridge, MA 02139.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13G/A filed with the SEC on February 7, 2024. The report was filed by BML Investment Partners, L.P. and Braden M. Leonard. The address for these persons is 65 E Cedar, Suite 2, Zionsville, IN 46077.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February 23, 2024. The report was filed by ADAR1 Partners, LP, ADAR1 Capital Management, LLC, ADAR1 Capital Management GP, LLC, and Daniel Schneeberger. 3,276,498 shares are directly held by ADAR1 Partners, LP. ADAR1 Capital Management, LLC acts as an investment adviser to, and manages investment and trading accounts of, ADAR1 Partners, LP. ADAR1 Capital Management GP, LLC acts as the general partner of ADAR1 Partners, LP. Mr. Schneeberger is the manager of ADAR1 Capital Management, LLC and ADAR1 Capital Management GP, LLC. ADAR1 Capital Management, LLC, ADAR1 Capital Management GP, LLC and Mr. Schneeberger may be deemed to indirectly beneficially own securities held by ADAR1 Partners, LP. The address of the principal business office of each of these persons is 3503 Wild Cherry Drive, Building 9, Austin, Texas 78738.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February 14, 2024. The report was filed by Newtyn Management, LLC. 1,332,500 shares are held directly by Newtyn Partners, LP and 1,401,675 shares are held directly by Newtyn TE Partners, LP. Newtyn Management, LLC is the investment manager to Newtyn Partners, LP and Newtyn TE Partners, LP and may be deemed to beneficially own the 2,734,175 shares held in aggregate by Newtyn Partners, LP and Newtyn TE Partners, LP. The address for Newtyn Management, LLC is 60 East 42nd Street, 9th Floor, New York, NY 10165.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(5)</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213,938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37,700 shares of AVROBIO common stock and (ii) 362,955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(7)</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29,285 shares of AVROBIO common stock and (ii) 779,899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(8)</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15,881 shares of AVROBIO common stock and (ii) 291,813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(9)</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76,069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155,091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(11)</w:t>
            </w:r>
          </w:p>
        </w:tc>
        <w:tc>
          <w:tcPr>
            <w:tcW w:w="9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2,000 shares of AVROBIO common stock and (ii) 94,812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pPr>
            <w:r>
              <w:rPr/>
              <w:t>(12)</w:t>
            </w:r>
          </w:p>
        </w:tc>
        <w:tc>
          <w:tcPr>
            <w:tcW w:w="97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80,394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(13)</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115,580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pPr>
            <w:r>
              <w:rPr/>
              <w:t>(14)</w:t>
            </w:r>
          </w:p>
        </w:tc>
        <w:tc>
          <w:tcPr>
            <w:tcW w:w="98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252,512 shares of AVROBIO common stock and (ii) 76,069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(15)</w:t>
            </w:r>
          </w:p>
        </w:tc>
        <w:tc>
          <w:tcPr>
            <w:tcW w:w="9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4,800 shares of AVROBIO common stock and (ii) 94,812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(16)</w:t>
            </w:r>
          </w:p>
        </w:tc>
        <w:tc>
          <w:tcPr>
            <w:tcW w:w="98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an aggregate of 2,678,169 shares issuable upon exercise of stock options within 60 days of March 15, 2024 held by AVROBIO’s current executive officers and directors as a group. Excludes shares held by Mr. MacKay, who is not a current executive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4" w:name="toc770053_189"/>
      <w:bookmarkEnd w:id="184"/>
      <w:r>
        <w:rPr>
          <w:rFonts w:ascii="Times New Roman" w:hAnsi="Times New Roman"/>
          <w:b/>
          <w:sz w:val="20"/>
        </w:rPr>
        <w:t xml:space="preserve">PRINCIPAL TECTONIC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Tectonic common stock as of March 15, 2024,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Tectonic to beneficially own greater than 5% of Tectonic’s common stock;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Tectonic’s directors;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Tectonic’s named executive officers; and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Tectonic’s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titled “Shares Beneficially Owned” is based on a total of 9,462,603 shares of Tectonic’s common stock deemed to be outstanding as of March 15, 2024, assuming the conversion of all outstanding shares of Tectonic preferred stock into shares of Tectonic common stock. The following table does not reflect any shares of Tectonic common stock that such holders have agreed to purchase in the private financings.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attribute beneficial ownership of securities to persons who possess sole or shared voting or investment power with respect to securities. In addition, shares of Tectonic common stock subject to options that are currently exercisable or exercisable within 60 days of March 15,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Tectonic common stock beneficially owned by them, subject to community property laws, where applicable. Except as otherwise indicated in the table below, addresses of named beneficial owners are in care of Tectonic, 490 Arsenal Way, Suite 210, Watertown, Massachusetts 02472. </w:t>
      </w:r>
    </w:p>
    <w:p>
      <w:pPr>
        <w:pStyle w:val="TextBody"/>
        <w:bidi w:val="0"/>
        <w:spacing w:before="0" w:after="0"/>
        <w:jc w:val="left"/>
        <w:rPr/>
      </w:pPr>
      <w:r>
        <w:rPr/>
        <w:t> </w:t>
      </w:r>
    </w:p>
    <w:tbl>
      <w:tblPr>
        <w:tblW w:w="9360" w:type="dxa"/>
        <w:jc w:val="left"/>
        <w:tblInd w:w="0" w:type="dxa"/>
        <w:tblLayout w:type="fixed"/>
        <w:tblCellMar>
          <w:top w:w="0" w:type="dxa"/>
          <w:left w:w="0" w:type="dxa"/>
          <w:bottom w:w="0" w:type="dxa"/>
          <w:right w:w="0" w:type="dxa"/>
        </w:tblCellMar>
      </w:tblPr>
      <w:tblGrid>
        <w:gridCol w:w="5930"/>
        <w:gridCol w:w="120"/>
        <w:gridCol w:w="92"/>
        <w:gridCol w:w="1507"/>
        <w:gridCol w:w="92"/>
        <w:gridCol w:w="184"/>
        <w:gridCol w:w="137"/>
        <w:gridCol w:w="1008"/>
        <w:gridCol w:w="290"/>
      </w:tblGrid>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4,552,327</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48.1</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Ventures(2)</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1,319,960</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13.9</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L.P.(3)</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1,282,043</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13.5</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Ph.D.(4)</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989,042</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10.5</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Alise Reicin, M.D.(5)</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514,581</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5.4</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4,552,327</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48.1</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Vitorovic(2)</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1,319,960</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13.9</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McGuire(6)</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1,319,957</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13.9</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Ph.D.(4)</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989,042</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10.5</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M.D.(5)</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514,581</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5.4</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Ph.D.(7)</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275,942</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2.8</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M.D.(8)</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101,430</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M.D.(9)</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28,447</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 as a group(10 persons)(10)</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9,333,333</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91.3</w:t>
            </w:r>
          </w:p>
        </w:tc>
        <w:tc>
          <w:tcPr>
            <w:tcW w:w="29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980,000 shares of Tectonic common stock held by Dr. Springer, (ii) 1,167,852 shares of Tectonic common stock issuable upon conversion of Tectonic Series A-1 preferred stock held by Dr. Springer, (iii) 1,649,188 shares of Tectonic common stock issuable upon conversion of Tectonic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Series A-2 preferred stock held by Dr. Springer, (iv) 497,611 shares of Tectonic common stock issuable upon conversion of Tectonic Series A-3 preferred stock and (v) 257,676 shares of Tectonic common stock issuable upon conversion of Tectonic Series A-4 preferred stock held by Dr. Springer.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1,284,322 shares of Tectonic common stock issuable upon conversion of Tectonic Series A-1 preferred stock held by Vida Ventures II, LLC (“Vida II Main Fund”), and (ii) 35,638 shares of Tectonic common stock issuable upon conversion of Tectonic Series A-1 preferred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Stefan Vitorovic serves as a director on the Tectonic Board.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Massachusetts 02109.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1,137,432 shares of Tectonic common stock issuable upon conversion of Tectonic Series A-1 preferred stock held by Polaris Partners IX, L.P. (“PP IX”), (ii) 99,398 shares of Tectonic common stock issuable upon conversion of Tectonic Series A-3 preferred stock held by PP IX and (iii) 45,213 shares of Tectonic common stock issuable upon conversion of Tectonic Series A-4 preferred stock held by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Tectonic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980,000 shares of Tectonic common stock held by Dr. Kruse and (ii) 9,042 shares of Tectonic common stock issuable upon conversion of Tectonic Series A-4 preferred stock held by Dr. Kruse.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(5)</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309,817 shares of Tectonic common stock held by Dr. Reicin, 42,386 of which are subject to repurchase as of February 9, 2024, (ii) 19,458 shares of Tectonic common stock issuable upon conversion of Tectonic Series A-3 preferred stock held by the 2020 Reicin-Boiarsky Family Trust (the “2020 Reicin Trust”), (iii) 13,561 shares of Tectonic common stock issuable upon conversion of Tectonic Series A-4 preferred stock held by the 2020 Reicin Trust and (v) 172,745 shares of Tectonic common stock issuable upon exercise of options granted to Dr. Reicin that are exercisable within 60 days of March 15, 2024. Robert Boiarsky is a co-trustee of the 2020 Reicin Trust and the spouse of Dr. Reicin. Dr. Reicin may be deemed to have shared voting and dispositive power over the securities held by the 2020 Reicin Trust.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37,914 shares of Tectonic common stock issuable upon conversion of Tectonic Series A-1 preferred stock held by Polaris Founders Capital Fund I, L.P. (“PF I”), (ii) 1,137,432 shares of Tectonic common stock issuable upon conversion of Tectonic Series A-1 preferred stock held by PP IX, (iii) 99,398 shares of Tectonic common stock issuable upon conversion of Tectonic Series A-3 preferred stock held by PP IX and (iv) 45,213 shares of Tectonic common stock issuable upon conversion of Tectonic Series A-4 preferred stock held by PP IX. Polaris Founders Capital Management Co. I, L.L.C. (“PFC I GP”) is the general partner of PF I and may be deemed to have sole voting and dispositive power with respect to the shares held by PFC I GP. Terrance McGuire, a member of the Tectonic Board, and Jonathan Flint (together, the “PFC I GP Managing Members”) are the managing members of PFC I GP. Each of the PFC I GP Managing Members, in their respective capacities with respect to PFC I GP, may be deemed to have shared voting and dispositive power with respect to the shares held by PF I. PP GP IX is the general partner of PP IX and may be deemed to have sole voting and dispositive power with respect to the shares held by PP IX. The PP GP IX Managing Members are the managing members of PP GP IX, and Terrance McGuire,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member of the Tectonic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(7)</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40,000 shares of Tectonic common stock held by Dr. Cortis and (ii) 235,942 shares of Tectonic common stock issuable upon exercise of options granted to Dr. Cortis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(8)</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101,430 shares of Tectonic common stock issuable upon exercise of options granted to Dr. Ruddy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(9)</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5,682 shares of Tectonic common stock held by Dr. Tipirneni and (ii) 22,765 shares of Tectonic common stock issuable upon exercise of options granted to Dr. Tipirneni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(10)</w:t>
            </w:r>
          </w:p>
        </w:tc>
        <w:tc>
          <w:tcPr>
            <w:tcW w:w="98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an aggregate of 2,315,499 shares of Tectonic common stock, (ii) 3,663,158 shares of Tectonic common stock issuable upon conversion of Tectonic Series A-1 preferred stock, (iii) 1,649,188 shares of Tectonic common stock issuable upon conversion of Tectonic Series A-2 preferred stock, (iv) 616,467 shares of Tectonic common stock issuable upon conversion of Tectonic Series A-3 preferred stock, (v) 325,492 shares of Tectonic common stock issuable upon conversion of Tectonic Series A-4 preferred stock and (vi) an aggregate of 763,529 shares issuable upon exercise of stock options within 60 days of March 15, 2024 held by Tectonic’s current executive officers and directors as a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5" w:name="toc770053_190"/>
      <w:bookmarkEnd w:id="185"/>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(including the private financings) occurred on March 15, 2024, for each stockholder expected by AVROBIO and Tectonic to become the beneficial owner of more than 5% of the combined company’s outstanding common stock, each person expected to be a named executive officer of the combined company, each person expected to be a director of the combined company, and all of the combined company’s expected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Tectonic common stock. Shares of Tectonic common stock subject to options that are currently exercisable or exercisable within 60 days of March 15,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Tectonic common stock beneficially owned by them, subject to community property laws,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19,360,036 shares of common stock expected to be outstanding upon consummation of the merger, after giving effect to the private financings and the anticipated AVROBIO one-for-ten reverse stock split. The number of shares beneficially owned includes shares of common stock that each person has the right to acquire within 60 days, including upon the exercise of stock options. These stock options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These percentages and the percentages listed in the table are calculated based on an estimated exchange ratio of 0.74458326 shares of AVROBIO common stock. These estimates are subject to adjustment prior to the closing under certain circumstances further described in the Merger Agreement, including, but not limited to, if AVROBIO’s net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closing is lower than $64.5 million or greater than $65.5 million. The below table assumes that AVROBIO’s net cash as of closing will be approximately $65.0 million. </w:t>
      </w:r>
    </w:p>
    <w:p>
      <w:pPr>
        <w:pStyle w:val="TextBody"/>
        <w:bidi w:val="0"/>
        <w:spacing w:before="0" w:after="0"/>
        <w:jc w:val="left"/>
        <w:rPr/>
      </w:pPr>
      <w:r>
        <w:rPr/>
        <w:t> </w:t>
      </w:r>
    </w:p>
    <w:tbl>
      <w:tblPr>
        <w:tblW w:w="7790" w:type="dxa"/>
        <w:jc w:val="left"/>
        <w:tblInd w:w="0" w:type="dxa"/>
        <w:tblLayout w:type="fixed"/>
        <w:tblCellMar>
          <w:top w:w="0" w:type="dxa"/>
          <w:left w:w="0" w:type="dxa"/>
          <w:bottom w:w="0" w:type="dxa"/>
          <w:right w:w="0" w:type="dxa"/>
        </w:tblCellMar>
      </w:tblPr>
      <w:tblGrid>
        <w:gridCol w:w="4310"/>
        <w:gridCol w:w="120"/>
        <w:gridCol w:w="86"/>
        <w:gridCol w:w="1581"/>
        <w:gridCol w:w="86"/>
        <w:gridCol w:w="172"/>
        <w:gridCol w:w="136"/>
        <w:gridCol w:w="1009"/>
        <w:gridCol w:w="290"/>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581" w:type="dxa"/>
            <w:tcBorders/>
            <w:shd w:fill="CCEEFF" w:val="clear"/>
            <w:vAlign w:val="center"/>
          </w:tcPr>
          <w:p>
            <w:pPr>
              <w:pStyle w:val="TableContents"/>
              <w:bidi w:val="0"/>
              <w:spacing w:before="0" w:after="283"/>
              <w:jc w:val="left"/>
              <w:rPr>
                <w:sz w:val="4"/>
                <w:szCs w:val="4"/>
              </w:rPr>
            </w:pPr>
            <w:r>
              <w:rPr>
                <w:sz w:val="4"/>
                <w:szCs w:val="4"/>
              </w:rPr>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Timothy A. Springer, Ph.D.(1)</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5,911,748</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30.5</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LLC(2)</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1,501,287</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7.8</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L.P.(3)</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1,495,050</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7.7</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Ventures(4)</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1,433,204</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7.4</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EcoR1(5)</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1,183,075</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6.1</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581" w:type="dxa"/>
            <w:tcBorders/>
            <w:shd w:fill="CCEEFF" w:val="clear"/>
            <w:vAlign w:val="center"/>
          </w:tcPr>
          <w:p>
            <w:pPr>
              <w:pStyle w:val="TableContents"/>
              <w:bidi w:val="0"/>
              <w:spacing w:before="0" w:after="283"/>
              <w:jc w:val="left"/>
              <w:rPr>
                <w:sz w:val="4"/>
                <w:szCs w:val="4"/>
              </w:rPr>
            </w:pPr>
            <w:r>
              <w:rPr>
                <w:sz w:val="4"/>
                <w:szCs w:val="4"/>
              </w:rPr>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5,911,748</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30.5</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McGuire(6)</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1,613,357</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8.3</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Vitorovic(4)</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1,433,204</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M.D.(7)</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383,893</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2.0</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Ph.D.(8)</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205,461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M.D.(9)</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75,523</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M.D.(10)</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21,181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Donenberg(11)</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9,681</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All executive officers and directors as a group </w:t>
              <w:br/>
              <w:t>(10 persons)(12)</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10,572,360</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54.6</w:t>
            </w:r>
          </w:p>
        </w:tc>
        <w:tc>
          <w:tcPr>
            <w:tcW w:w="29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5,045,200 shares of common stock held by Dr. Springer and (ii) 866,548 shares of common stock held by TAS Partners, LLC (“TAS”). Dr. Springer is the sole managing member of TAS. Dr. Springer exercises sole voting and dispositive power over the shares held by him directly and the shares held by TAS. Dr. Springer disclaims beneficial ownership of the shares held by TAS. The principal business address of each of Dr. Springer and TAS is 36 Woodman Road, Newton, MA, 02467.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300,258 shares of common stock held by Fidelity Select Portfolios: Biotechnology Portfolio, (ii) 101,487 shares of common stock held by Fidelity Advisor Series VII: Fidelity Advisor Biotechnology Fund, (iii) 88,545 shares of common stock held by Fidelity Mt. Vernon Street Trust: Fidelity Series Growth Company Fund, (iv) 321,363 shares of common stock held by Fidelity Mt. Vernon Street Trust: Fidelity Growth Company Fund, (v) 557,851 shares of common stock held by Fidelity Growth Company Commingled Pool, and (vi) 131,783 shares of common stock held by Fidelity Mt. Vernon Street Trust: Fidelity Growth Company K6 Fund. 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1,495,050 shares of common stock held by Polaris Partners IX, L.P.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Tectonic Board, holds an interest in PP GP IX. Each of the PP GP IX Managing Members and Terrance McGuire, in their respective capacities with respect to PP GP IX, may be deemed to have shared voting and dispositive power with respect to the shares held by PP IX.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principal business address for all entities and individuals affiliated with Polaris Partners is c/o Polaris Partners, One Marina Park Drive, 8th Floor, Boston, Massachusetts 02210.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1,394,510 shares of common stock held by Vida Ventures II, LLC (“Vida II Main Fund”) and (ii) 38,694 shares of common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Stefan Vitorovic serves as a director on the Tectonic Board.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Massachusetts 02109.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77,376 shares of common stock held by EcoR1 Capital Fund, L.P. (“Capital Fund”), (ii) 1,091,217 shares of common stock held by EcoR1 Capital Fund Qualified, L.P. (“Qualified Fund”) and (iii) 14,482 shares of common stock held by EcoR1 Venture Opportunity Fund, L.P. (“Opportunity Fund”). EcoR1 Capital LLC (“EcoR1”) is the general partner of Capital Fund and Qualified Fund, and the investment advisor to Opportunity Fund. Biotech Opportunity GP, LLC is the general partner of Opportunity Fund. Oleg Nodelman is the control person of EcoR1 and Biotech Opportunity GP, LLC and may be deemed to share dispositive voting power over the shares held by Qualified Fund, Capital Fund and Opportunity Fund. Mr. Nodelman, EcoR1 and Biotech Opportunity GP, LLC each disclaim beneficial ownership of all shares except to the extent of their pecuniary interest. The address of the above person and entities is 357 Tehama Street #3, San Francisco, CA 94103.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(6)</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28,230 shares of common stock held by Polaris Founders Capital Fund I, L.P. (“PF I”), (ii) consists of 90,077 shares of common stock held by Polaris Founders Capital Fund II, L.P. (“PF II”) and (iii) 1,495,050 shares of common stock held by PP IX.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Tectonic Board,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 II. PP GP IX is the general partner of PP IX and may be deemed to have sole voting and dispositive power with respect to the shares held by PP IX. The PP GP IX Managing Members are the managing members of PP GP IX, and Terrance McGuire, a member of the Tectonic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230,685 shares of Tectonic common stock held by Dr. Reicin, 31,560 of which are subject to repurchase as of March 15, 2024, (ii) 24,585 shares of common stock held by the 2020 Reicin-Boiarsky Family Trust (the “2020 Reicin Trust”) and (iii) 128,623 shares of Tectonic common stock issuable upon exercise of options granted to Dr. Reicin that are exercisable within 60 days of March 15, 2024. Robert Boiarsky is a co-trustee of the 2020 Reicin Trust and the spouse of Dr. Reicin. Dr. Reicin may be deemed to have shared voting and dispositive power over the securities held by the 2020 Reicin Trust.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(8)</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29,783 shares of common stock held by Dr. Cortis and (ii) 175,678 shares of common stock issuable upon exercise of options granted to Dr. Cortis that are exercisable within 60 days of March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(9)</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75,523 shares of common stock issuable upon exercise of options granted to Dr. Ruddy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(10)</w:t>
            </w:r>
          </w:p>
        </w:tc>
        <w:tc>
          <w:tcPr>
            <w:tcW w:w="98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4,231 shares of common stock held by Dr. Tipirneni and (ii) 16,950 shares of common stock issuable upon exercise of options granted to Dr. Tipirneni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(11)</w:t>
            </w:r>
          </w:p>
        </w:tc>
        <w:tc>
          <w:tcPr>
            <w:tcW w:w="98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 shares of common stock held by Mr. Donenberg and (ii) 9,481 shares of common stock issuable upon exercise of options granted to Mr. Donenberg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pPr>
            <w:r>
              <w:rPr/>
              <w:t>(12)</w:t>
            </w:r>
          </w:p>
        </w:tc>
        <w:tc>
          <w:tcPr>
            <w:tcW w:w="98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9,991,723 shares of common stock and (ii) 580,637 shares of common stock issuable upon exercise of options that are exercisable within 60 days of March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6" w:name="toc770053_191"/>
      <w:bookmarkEnd w:id="18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Goodwin will pass upon the validity of AVROBIO’s common stock offered by this proxy statement/prospectus. The material U.S. federal income tax consequences of the merger will be passed upon for AVROBIO by Goodwin, and for Tectonic by Cooley. </w:t>
      </w:r>
    </w:p>
    <w:p>
      <w:pPr>
        <w:pStyle w:val="TextBody"/>
        <w:bidi w:val="0"/>
        <w:spacing w:before="480" w:after="0"/>
        <w:jc w:val="center"/>
        <w:rPr>
          <w:rFonts w:ascii="Times New Roman" w:hAnsi="Times New Roman"/>
          <w:b/>
          <w:sz w:val="20"/>
        </w:rPr>
      </w:pPr>
      <w:bookmarkStart w:id="187" w:name="toc770053_192"/>
      <w:bookmarkEnd w:id="18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AVROBIO as of December 31, 2023 and 2022, and for each of the years then ended, appearing in this proxy statement/prospectus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Tectonic as of December 31, 2023 and 2022, and for the years then ended, included in this proxy statement/prospectus,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88" w:name="toc770053_193"/>
      <w:bookmarkEnd w:id="18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AVROBIO is subject to the informational requirements of the Exchange Act and in accordance therewith, files annual, quarterly and current reports, proxy statements and other information with the SEC electronically, and the SEC maintains a website that contains AVROBIO’s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AVROBIO also makes available free of charge on or through its website at </w:t>
      </w:r>
      <w:r>
        <w:rPr>
          <w:rFonts w:ascii="Times New Roman" w:hAnsi="Times New Roman"/>
          <w:i/>
          <w:sz w:val="20"/>
        </w:rPr>
        <w:t>www.avrobio.com</w:t>
      </w:r>
      <w:r>
        <w:rPr>
          <w:rFonts w:ascii="Times New Roman" w:hAnsi="Times New Roman"/>
          <w:sz w:val="20"/>
        </w:rPr>
        <w:t xml:space="preserve">, its Annual Reports on Form 10-K, Quarterly Reports on Form 10-Q, Current Reports on Form 8-K and amendments to those reports filed or furnished pursuant to Section 13(a) or 15(d) of the Exchange Act as soon as reasonably practicable after AVROBIO electronically files such material with or otherwise furnishes it to the SEC. The website addresses for the SEC and AVROBIO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has filed with the SEC a registration statement on Form S-4, of which this proxy statement/prospectus is a part, under the Securities Act to register the shares of AVROBIO common stock to be issued to Tectonic stockholders in the merger. The registration statement, including the attached annexes, exhibits and schedules, contains additional relevant information about AVROBIO and AVROBIO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AVROBIO has supplied all information contained in this proxy statement/prospectus relating to AVROBIO and Tectonic has supplied all information contained in this proxy statement/prospectus relating to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request documents from AVROBIO or Tectonic, please send a request in writing or by telephone to either AVROBIO or Tectonic at the following addresses: </w:t>
      </w:r>
    </w:p>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3620"/>
        <w:gridCol w:w="60"/>
        <w:gridCol w:w="3065"/>
      </w:tblGrid>
      <w:tr>
        <w:trPr/>
        <w:tc>
          <w:tcPr>
            <w:tcW w:w="3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AVROBIO,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Tectonic Therapeutic, Inc.</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One Broadway, 14th Floor</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490 Arsenal Way, Suite 210</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Cambridge, MA 02142</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Watertown, MA 02472</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Attn: Corporate Secretary</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Attn: Christian Cortis, Ph.D.</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Tel: (617) 914-8420</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Tel: (339) 666-3320</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Email: CorporateSecretary@AVROBIO.com</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Email: investor@tectonictx.com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an AVROBIO stockholder and would like additional copies, without charge, of this proxy statement/prospectus or if you have questions about the merger, including the procedures for voting your shares, you should contact AVROBIO’s proxy solicitor at the following address and telephone number: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940" cy="3937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4940" cy="393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Shareholders may call toll free: (877) 456-3513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9" w:name="toc770053_194"/>
      <w:bookmarkEnd w:id="189"/>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would like to have a proposal considered for inclusion in AVROBIO’s 2024 proxy statement must submit the proposal in accordance with the procedures outlined in Rule 14a-8 of the Exchange Act so that it is received by AVROBIO no later than January 6, 2024. However, if the date of the 2024 annual meeting of stockholders is changed by more than 30 days from the date of the previous year’s meeting, then the deadline is a reasonable time before AVROBIO begins to print and send its proxy statement for the 2024 annual meeting of stockholders. SEC rules set standards for eligibility and specify the types of stockholder proposals that may be excluded from a proxy statement. Stockholder proposals should be addressed to One Broadway, 14th Floor, Cambridge, Massachusetts 02142, Attention: Corporate Secretary and CorporateSecretary@AVROBIO.com.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wishes to propose a nomination of persons for election to the AVROBIO Board or present a proposal at an annual meeting but does not wish to have the proposal considered for inclusion in AVROBIO’s proxy statement and proxy card, AVROBIO’s bylaws establish an advance notice procedure for such nominations and proposals. Stockholders at an annual meeting may only consider proposals or nominations specified in the notice of meeting or brought before the meeting by or at the direction of the AVROBIO Board or by a stockholder of record on the record date for the meeting, who is entitled to vote at the meeting and who has delivered timely notice in proper form to AVROBIO’s corporate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required notice must be in writing and received by AVROBIO’s corporate secretary at its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2024 annual meeting of stockholders, the required notice must be received by AVROBIO’s corporate secretary at its principal executive offices no earlier than February 7, 2024 and no later than March 8, 2024. Stockholder proposals and the required notice should be addressed to One Broadway, 14th Floor, Cambridge, Massachusetts 02142, Attention: Corporate Secretary and CorporateSecretary@AVROBIO.com.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comply with the SEC’s new universal proxy rules, stockholders who intend to solicit proxies in support of director nominees other than AVROBIO’s nominees must provide notice that sets forth the information required by Rule 14a-19 under the Exchange Act no later than 60 days prior to the one-year anniversary of AVROBIO’s annual meeting of stockholders. The proxy to be solicited on behalf of the AVROBIO Board for its 2024 annual meeting of stockholders may confer discretionary authority to vote on any such proposal considered to have been received on a non-timely basis that nonetheless properly comes before AVROBIO’s 2024 annual meeting of stockholders. Stockholders are also advised to review AVROBIO’s bylaws, which contain additional requirements about advance notice of stockholder proposals and director nominations. </w:t>
      </w:r>
    </w:p>
    <w:p>
      <w:pPr>
        <w:pStyle w:val="TextBody"/>
        <w:bidi w:val="0"/>
        <w:spacing w:before="360" w:after="0"/>
        <w:jc w:val="left"/>
        <w:rPr>
          <w:rFonts w:ascii="Times New Roman" w:hAnsi="Times New Roman"/>
          <w:b/>
          <w:sz w:val="20"/>
        </w:rPr>
      </w:pPr>
      <w:bookmarkStart w:id="190" w:name="toc770053_195"/>
      <w:bookmarkEnd w:id="190"/>
      <w:r>
        <w:rPr>
          <w:rFonts w:ascii="Times New Roman" w:hAnsi="Times New Roman"/>
          <w:b/>
          <w:sz w:val="20"/>
        </w:rPr>
        <w:t xml:space="preserve">Communication with the Directors of AVROBIO </w:t>
      </w:r>
    </w:p>
    <w:p>
      <w:pPr>
        <w:pStyle w:val="TextBody"/>
        <w:bidi w:val="0"/>
        <w:spacing w:before="120" w:after="0"/>
        <w:jc w:val="left"/>
        <w:rPr>
          <w:rFonts w:ascii="Times New Roman" w:hAnsi="Times New Roman"/>
          <w:sz w:val="20"/>
        </w:rPr>
      </w:pPr>
      <w:r>
        <w:rPr>
          <w:rFonts w:ascii="Times New Roman" w:hAnsi="Times New Roman"/>
          <w:sz w:val="20"/>
        </w:rPr>
        <w:t xml:space="preserve">Any interested party with concerns about AVROBIO may report such concerns to the AVROBIO Board or the chairperson of the AVROBIO Board or Nominating and Corporate Governance Committee, by submitting a written communication to the attention of such director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AVROBIO, Inc. </w:t>
      </w:r>
    </w:p>
    <w:p>
      <w:pPr>
        <w:pStyle w:val="TextBody"/>
        <w:bidi w:val="0"/>
        <w:spacing w:before="0" w:after="0"/>
        <w:jc w:val="center"/>
        <w:rPr>
          <w:rFonts w:ascii="Times New Roman" w:hAnsi="Times New Roman"/>
          <w:sz w:val="20"/>
        </w:rPr>
      </w:pPr>
      <w:r>
        <w:rPr>
          <w:rFonts w:ascii="Times New Roman" w:hAnsi="Times New Roman"/>
          <w:sz w:val="20"/>
        </w:rPr>
        <w:t xml:space="preserve">One Broadway, 14th Floor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02142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AVROBIO tends to receive repetitive or duplicative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AVROBIO’s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which is (866) 569-1843. </w:t>
      </w:r>
    </w:p>
    <w:p>
      <w:pPr>
        <w:pStyle w:val="TextBody"/>
        <w:bidi w:val="0"/>
        <w:spacing w:before="360" w:after="0"/>
        <w:jc w:val="left"/>
        <w:rPr>
          <w:rFonts w:ascii="Times New Roman" w:hAnsi="Times New Roman"/>
          <w:b/>
          <w:sz w:val="20"/>
        </w:rPr>
      </w:pPr>
      <w:bookmarkStart w:id="191" w:name="toc770053_196"/>
      <w:bookmarkEnd w:id="191"/>
      <w:r>
        <w:rPr>
          <w:rFonts w:ascii="Times New Roman" w:hAnsi="Times New Roman"/>
          <w:b/>
          <w:sz w:val="20"/>
        </w:rPr>
        <w:t xml:space="preserve">Householding of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Notices of Internet Availability of Proxy Materials or other special meeting materials with respect to two or more stockholders sharing the same address by delivering a single Notice of Internet Availability of Proxy Materials or other special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special meeting, a number of brokers with account holders who are AVROBIO stockholders will be “householding” AVROBIO’s proxy materials. A single Notice of Internet Availability of Proxy Materials will be delivered to multiple stockholders sharing an address unless contrary instructions have been received from the affected stockholders. Once the stockholder has received notice from his or her broker that the broker will be “householding” communications to the stockholder’s address, “householding” will continue until the stockholder are notified otherwise or until the stockholder revokes his or her consent. If, at any time, the stockholder no longer wishes to participate in “householding” and would prefer to receive a separate Notice of Internet Availability of Proxy Materials, please notify the broker or AVROBIO. Direct the written request to AVROBIO, Inc., Attn: Corporate Secretary, One Broadway, 14th Floor, Cambridge, MA 02142 or call (617) 752-7011. Stockholders who currently receive multiple copies of the Notices of Internet Availability of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479 </w:t>
      </w:r>
      <w:r>
        <w:br w:type="page"/>
      </w:r>
    </w:p>
    <w:p>
      <w:pPr>
        <w:pStyle w:val="HorizontalLine"/>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AVR</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O</w:t>
      </w:r>
    </w:p>
    <w:p>
      <w:pPr>
        <w:pStyle w:val="TextBody"/>
        <w:bidi w:val="0"/>
        <w:spacing w:before="0" w:after="0"/>
        <w:jc w:val="center"/>
        <w:rPr>
          <w:rFonts w:ascii="Times New Roman" w:hAnsi="Times New Roman"/>
          <w:b/>
          <w:sz w:val="20"/>
        </w:rPr>
      </w:pPr>
      <w:r>
        <w:rPr>
          <w:rFonts w:ascii="Times New Roman" w:hAnsi="Times New Roman"/>
          <w:b/>
          <w:sz w:val="20"/>
        </w:rPr>
        <w:t xml:space="preserve">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INDEX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785" w:type="dxa"/>
        <w:jc w:val="left"/>
        <w:tblInd w:w="0" w:type="dxa"/>
        <w:tblLayout w:type="fixed"/>
        <w:tblCellMar>
          <w:top w:w="0" w:type="dxa"/>
          <w:left w:w="0" w:type="dxa"/>
          <w:bottom w:w="0" w:type="dxa"/>
          <w:right w:w="0" w:type="dxa"/>
        </w:tblCellMar>
      </w:tblPr>
      <w:tblGrid>
        <w:gridCol w:w="75"/>
        <w:gridCol w:w="120"/>
        <w:gridCol w:w="257"/>
        <w:gridCol w:w="258"/>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4"/>
            <w:tcBorders/>
          </w:tcPr>
          <w:p>
            <w:pPr>
              <w:pStyle w:val="TableContents"/>
              <w:bidi w:val="0"/>
              <w:spacing w:before="0" w:after="283"/>
              <w:jc w:val="left"/>
              <w:rPr>
                <w:sz w:val="4"/>
                <w:szCs w:val="4"/>
              </w:rPr>
            </w:pPr>
            <w:r>
              <w:rPr>
                <w:sz w:val="4"/>
                <w:szCs w:val="4"/>
              </w:rPr>
            </w:r>
          </w:p>
        </w:tc>
      </w:tr>
    </w:tbl>
    <w:tbl>
      <w:tblPr>
        <w:tblW w:w="8080" w:type="dxa"/>
        <w:jc w:val="left"/>
        <w:tblInd w:w="0" w:type="dxa"/>
        <w:tblLayout w:type="fixed"/>
        <w:tblCellMar>
          <w:top w:w="0" w:type="dxa"/>
          <w:left w:w="0" w:type="dxa"/>
          <w:bottom w:w="0" w:type="dxa"/>
          <w:right w:w="0" w:type="dxa"/>
        </w:tblCellMar>
      </w:tblPr>
      <w:tblGrid>
        <w:gridCol w:w="7475"/>
        <w:gridCol w:w="120"/>
        <w:gridCol w:w="60"/>
        <w:gridCol w:w="350"/>
        <w:gridCol w:w="75"/>
      </w:tblGrid>
      <w:tr>
        <w:trPr/>
        <w:tc>
          <w:tcPr>
            <w:tcW w:w="7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 as of and for the Years ended December 31, 2023 and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5" w:type="dxa"/>
            <w:tcBorders/>
            <w:vAlign w:val="center"/>
          </w:tcPr>
          <w:p>
            <w:pPr>
              <w:pStyle w:val="TableContents"/>
              <w:bidi w:val="0"/>
              <w:spacing w:before="0" w:after="0"/>
              <w:jc w:val="left"/>
              <w:rPr/>
            </w:pPr>
            <w:hyperlink w:anchor="fin770053_7">
              <w:r>
                <w:rPr>
                  <w:rStyle w:val="InternetLink"/>
                  <w:rFonts w:ascii="Times New Roman" w:hAnsi="Times New Roman"/>
                  <w:sz w:val="20"/>
                </w:rPr>
                <w:t>Report of Independent Registered Public Accounting Firm (PCAOB ID: 42)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8">
              <w:r>
                <w:rPr>
                  <w:rStyle w:val="InternetLink"/>
                  <w:rFonts w:ascii="Times New Roman" w:hAnsi="Times New Roman"/>
                  <w:sz w:val="20"/>
                </w:rPr>
                <w:t>Consolidated Balance Sheets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F-3</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9">
              <w:r>
                <w:rPr>
                  <w:rStyle w:val="InternetLink"/>
                  <w:rFonts w:ascii="Times New Roman" w:hAnsi="Times New Roman"/>
                  <w:sz w:val="20"/>
                </w:rPr>
                <w:t>Consolidated Statements of Operations and Comprehensive Income (Loss)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10">
              <w:r>
                <w:rPr>
                  <w:rStyle w:val="InternetLink"/>
                  <w:rFonts w:ascii="Times New Roman" w:hAnsi="Times New Roman"/>
                  <w:sz w:val="20"/>
                </w:rPr>
                <w:t>Consolidated Statements of Stockholders’ Equity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11">
              <w:r>
                <w:rPr>
                  <w:rStyle w:val="InternetLink"/>
                  <w:rFonts w:ascii="Times New Roman" w:hAnsi="Times New Roman"/>
                  <w:sz w:val="20"/>
                </w:rPr>
                <w:t>Consolidated Statements of Cash Flows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12">
              <w:r>
                <w:rPr>
                  <w:rStyle w:val="InternetLink"/>
                  <w:rFonts w:ascii="Times New Roman" w:hAnsi="Times New Roman"/>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F-7</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475"/>
        <w:gridCol w:w="120"/>
        <w:gridCol w:w="60"/>
        <w:gridCol w:w="470"/>
        <w:gridCol w:w="75"/>
      </w:tblGrid>
      <w:tr>
        <w:trPr/>
        <w:tc>
          <w:tcPr>
            <w:tcW w:w="7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 as of and for the Years ended December 31, 2023 and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5" w:type="dxa"/>
            <w:tcBorders/>
            <w:vAlign w:val="center"/>
          </w:tcPr>
          <w:p>
            <w:pPr>
              <w:pStyle w:val="TableContents"/>
              <w:bidi w:val="0"/>
              <w:spacing w:before="0" w:after="0"/>
              <w:jc w:val="left"/>
              <w:rPr/>
            </w:pPr>
            <w:hyperlink w:anchor="fina770053_1">
              <w:r>
                <w:rPr>
                  <w:rStyle w:val="InternetLink"/>
                  <w:rFonts w:ascii="Times New Roman" w:hAnsi="Times New Roman"/>
                  <w:sz w:val="20"/>
                </w:rPr>
                <w:t>Independent Auditor’s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2">
              <w:r>
                <w:rPr>
                  <w:rStyle w:val="InternetLink"/>
                  <w:rFonts w:ascii="Times New Roman" w:hAnsi="Times New Roman"/>
                  <w:sz w:val="20"/>
                </w:rPr>
                <w:t>Consolidated Balance Sheets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3">
              <w:r>
                <w:rPr>
                  <w:rStyle w:val="InternetLink"/>
                  <w:rFonts w:ascii="Times New Roman" w:hAnsi="Times New Roman"/>
                  <w:sz w:val="20"/>
                </w:rPr>
                <w:t>Consolidated Statements of Operations and Other Comprehensive Income (Loss)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4">
              <w:r>
                <w:rPr>
                  <w:rStyle w:val="InternetLink"/>
                  <w:rFonts w:ascii="Times New Roman" w:hAnsi="Times New Roman"/>
                  <w:sz w:val="20"/>
                </w:rPr>
                <w:t>Consolidated Statements of Convertible Preferred Stock and Stockholders’ Deficit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5">
              <w:r>
                <w:rPr>
                  <w:rStyle w:val="InternetLink"/>
                  <w:rFonts w:ascii="Times New Roman" w:hAnsi="Times New Roman"/>
                  <w:sz w:val="20"/>
                </w:rPr>
                <w:t>Consolidated Statements of Cash Flows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F-37</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6">
              <w:r>
                <w:rPr>
                  <w:rStyle w:val="InternetLink"/>
                  <w:rFonts w:ascii="Times New Roman" w:hAnsi="Times New Roman"/>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Stockholders and the Board of Directors of AVROBIO, Inc.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AVROBIO, Inc. (the Company) as of December 31, 2023 and 2022, the related consolidated statements of operations and comprehensive income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Audit Matters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Ernst &amp; Young LLP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2018.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Boston, Massachusetts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14, 2024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BALANCE SHEETS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per share data)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670"/>
        <w:gridCol w:w="120"/>
        <w:gridCol w:w="140"/>
        <w:gridCol w:w="875"/>
        <w:gridCol w:w="155"/>
        <w:gridCol w:w="60"/>
        <w:gridCol w:w="140"/>
        <w:gridCol w:w="875"/>
        <w:gridCol w:w="170"/>
      </w:tblGrid>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98,020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92,563</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283</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7,112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99,958</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2,894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101,093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103,949</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384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11,732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999</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13,115</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 payable, net of discount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15,276</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28,579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 shares authorized and no shares issued or outstanding as of December 31, 2023 and 2022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$0.0001 par value; 150,000 shares authorized as of December 31, 2023 and 2022; 44,654 and 43,916 shares issued and outstanding as of December 31, 2023 and 2022,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572,010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564,798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(477,275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(489,432</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94,739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75,370</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101,093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103,949</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OPERATIONS AND COMPREHENSIVE INCOME (LOSS)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per share data)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210"/>
        <w:gridCol w:w="120"/>
        <w:gridCol w:w="184"/>
        <w:gridCol w:w="896"/>
        <w:gridCol w:w="204"/>
        <w:gridCol w:w="77"/>
        <w:gridCol w:w="184"/>
        <w:gridCol w:w="1157"/>
        <w:gridCol w:w="173"/>
      </w:tblGrid>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896" w:type="dxa"/>
            <w:tcBorders/>
            <w:vAlign w:val="center"/>
          </w:tcPr>
          <w:p>
            <w:pPr>
              <w:pStyle w:val="TableContents"/>
              <w:bidi w:val="0"/>
              <w:spacing w:before="0" w:after="283"/>
              <w:jc w:val="right"/>
              <w:rPr/>
            </w:pPr>
            <w:r>
              <w:rPr/>
              <w:t>47,700</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72,186</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23,967</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33,248</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71,667</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105,434</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83,736</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impairment</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(1,877</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10,192</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(105,434</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2,420</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(299</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(78</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(157</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2,342</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(456</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12,534</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(105,890</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377</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and comprehensive income (loss) attributable to common stockholders—basic and diluted</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896" w:type="dxa"/>
            <w:tcBorders/>
            <w:vAlign w:val="center"/>
          </w:tcPr>
          <w:p>
            <w:pPr>
              <w:pStyle w:val="TableContents"/>
              <w:bidi w:val="0"/>
              <w:spacing w:before="0" w:after="283"/>
              <w:jc w:val="right"/>
              <w:rPr/>
            </w:pPr>
            <w:r>
              <w:rPr/>
              <w:t>12,157</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(105,890</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double" w:sz="6" w:space="1" w:color="000000"/>
              </w:rPr>
            </w:pPr>
            <w:r>
              <w:rPr>
                <w:bdr w:val="double" w:sz="6" w:space="1" w:color="000000"/>
              </w:rPr>
              <w:t> </w:t>
            </w:r>
          </w:p>
        </w:tc>
        <w:tc>
          <w:tcPr>
            <w:tcW w:w="896" w:type="dxa"/>
            <w:tcBorders/>
            <w:vAlign w:val="center"/>
          </w:tcPr>
          <w:p>
            <w:pPr>
              <w:pStyle w:val="TableContents"/>
              <w:bidi w:val="0"/>
              <w:spacing w:before="0" w:after="0"/>
              <w:jc w:val="left"/>
              <w:rPr>
                <w:bdr w:val="double" w:sz="6" w:space="1" w:color="000000"/>
              </w:rPr>
            </w:pPr>
            <w:r>
              <w:rPr>
                <w:bdr w:val="double" w:sz="6"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double" w:sz="6" w:space="1" w:color="000000"/>
              </w:rPr>
            </w:pPr>
            <w:r>
              <w:rPr>
                <w:bdr w:val="double" w:sz="6" w:space="1" w:color="000000"/>
              </w:rPr>
              <w:t> </w:t>
            </w:r>
          </w:p>
        </w:tc>
        <w:tc>
          <w:tcPr>
            <w:tcW w:w="1157"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stockholders—basic</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896" w:type="dxa"/>
            <w:tcBorders/>
            <w:vAlign w:val="center"/>
          </w:tcPr>
          <w:p>
            <w:pPr>
              <w:pStyle w:val="TableContents"/>
              <w:bidi w:val="0"/>
              <w:spacing w:before="0" w:after="283"/>
              <w:jc w:val="right"/>
              <w:rPr/>
            </w:pPr>
            <w:r>
              <w:rPr/>
              <w:t>0.27</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(2.42</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stockholders—diluted</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0.27</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(2.42</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used in computing earnings per share:</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44,327</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43,739</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outstanding—diluted</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44,568</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43,739</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STOCKHOLDERS’ EQUITY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654"/>
        <w:gridCol w:w="120"/>
        <w:gridCol w:w="63"/>
        <w:gridCol w:w="720"/>
        <w:gridCol w:w="63"/>
        <w:gridCol w:w="126"/>
        <w:gridCol w:w="301"/>
        <w:gridCol w:w="559"/>
        <w:gridCol w:w="60"/>
        <w:gridCol w:w="120"/>
        <w:gridCol w:w="163"/>
        <w:gridCol w:w="937"/>
        <w:gridCol w:w="60"/>
        <w:gridCol w:w="120"/>
        <w:gridCol w:w="188"/>
        <w:gridCol w:w="1182"/>
        <w:gridCol w:w="155"/>
        <w:gridCol w:w="60"/>
        <w:gridCol w:w="189"/>
        <w:gridCol w:w="1191"/>
        <w:gridCol w:w="174"/>
      </w:tblGrid>
      <w:tr>
        <w:trPr/>
        <w:tc>
          <w:tcPr>
            <w:tcW w:w="3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65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8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4" w:type="dxa"/>
            <w:vMerge w:val="restart"/>
            <w:tcBorders/>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80" w:type="dxa"/>
            <w:gridSpan w:val="2"/>
            <w:vMerge w:val="continue"/>
            <w:tcBorders>
              <w:bottom w:val="single" w:sz="8" w:space="0" w:color="000000"/>
            </w:tcBorders>
            <w:tcMar>
              <w:bottom w:w="28" w:type="dxa"/>
            </w:tcMar>
            <w:vAlign w:val="center"/>
          </w:tcPr>
          <w:p>
            <w:pPr>
              <w:pStyle w:val="Normal"/>
              <w:bidi w:val="0"/>
              <w:jc w:val="left"/>
              <w:rPr/>
            </w:pPr>
            <w:r>
              <w:rPr/>
            </w:r>
          </w:p>
        </w:tc>
        <w:tc>
          <w:tcPr>
            <w:tcW w:w="174" w:type="dxa"/>
            <w:vMerge w:val="continue"/>
            <w:tcBorders/>
            <w:vAlign w:val="center"/>
          </w:tcPr>
          <w:p>
            <w:pPr>
              <w:pStyle w:val="Normal"/>
              <w:bidi w:val="0"/>
              <w:jc w:val="left"/>
              <w:rPr/>
            </w:pPr>
            <w:r>
              <w:rPr/>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2021</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43,652</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553,014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(383,542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169,476</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 and units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142</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58</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2018 employee stock purchase plan</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121</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204</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11,522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11,522</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(105,890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(105,890</w:t>
            </w:r>
          </w:p>
        </w:tc>
        <w:tc>
          <w:tcPr>
            <w:tcW w:w="174" w:type="dxa"/>
            <w:tcBorders/>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720" w:type="dxa"/>
            <w:tcBorders/>
            <w:vAlign w:val="center"/>
          </w:tcPr>
          <w:p>
            <w:pPr>
              <w:pStyle w:val="TableContents"/>
              <w:bidi w:val="0"/>
              <w:spacing w:before="0" w:after="0"/>
              <w:jc w:val="left"/>
              <w:rPr>
                <w:bdr w:val="single" w:sz="2" w:space="1" w:color="000000"/>
              </w:rPr>
            </w:pPr>
            <w:r>
              <w:rPr>
                <w:bdr w:val="single" w:sz="2"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single" w:sz="2" w:space="1" w:color="000000"/>
              </w:rPr>
            </w:pPr>
            <w:r>
              <w:rPr>
                <w:bdr w:val="single" w:sz="2" w:space="1" w:color="000000"/>
              </w:rPr>
              <w:t> </w:t>
            </w:r>
          </w:p>
        </w:tc>
        <w:tc>
          <w:tcPr>
            <w:tcW w:w="1191"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43,916</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564,798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(489,432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75,370</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Vesting of restricted stock units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306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298</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235</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2018 employee stock purchase plan</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134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86</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6,891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6,891</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12,157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12,157</w:t>
            </w:r>
          </w:p>
        </w:tc>
        <w:tc>
          <w:tcPr>
            <w:tcW w:w="174" w:type="dxa"/>
            <w:tcBorders/>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720" w:type="dxa"/>
            <w:tcBorders/>
            <w:vAlign w:val="center"/>
          </w:tcPr>
          <w:p>
            <w:pPr>
              <w:pStyle w:val="TableContents"/>
              <w:bidi w:val="0"/>
              <w:spacing w:before="0" w:after="0"/>
              <w:jc w:val="left"/>
              <w:rPr>
                <w:bdr w:val="single" w:sz="2" w:space="1" w:color="000000"/>
              </w:rPr>
            </w:pPr>
            <w:r>
              <w:rPr>
                <w:bdr w:val="single" w:sz="2"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single" w:sz="2" w:space="1" w:color="000000"/>
              </w:rPr>
            </w:pPr>
            <w:r>
              <w:rPr>
                <w:bdr w:val="single" w:sz="2" w:space="1" w:color="000000"/>
              </w:rPr>
              <w:t> </w:t>
            </w:r>
          </w:p>
        </w:tc>
        <w:tc>
          <w:tcPr>
            <w:tcW w:w="1191"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44,654</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572,010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(477,275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94,739</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720" w:type="dxa"/>
            <w:tcBorders/>
            <w:vAlign w:val="center"/>
          </w:tcPr>
          <w:p>
            <w:pPr>
              <w:pStyle w:val="TableContents"/>
              <w:bidi w:val="0"/>
              <w:spacing w:before="0" w:after="0"/>
              <w:jc w:val="left"/>
              <w:rPr>
                <w:bdr w:val="double" w:sz="6" w:space="1" w:color="000000"/>
              </w:rPr>
            </w:pPr>
            <w:r>
              <w:rPr>
                <w:bdr w:val="double" w:sz="6"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double" w:sz="6" w:space="1" w:color="000000"/>
              </w:rPr>
            </w:pPr>
            <w:r>
              <w:rPr>
                <w:bdr w:val="double" w:sz="6" w:space="1" w:color="000000"/>
              </w:rPr>
              <w:t> </w:t>
            </w:r>
          </w:p>
        </w:tc>
        <w:tc>
          <w:tcPr>
            <w:tcW w:w="1191"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CASH FLOWS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212"/>
        <w:gridCol w:w="120"/>
        <w:gridCol w:w="177"/>
        <w:gridCol w:w="960"/>
        <w:gridCol w:w="197"/>
        <w:gridCol w:w="75"/>
        <w:gridCol w:w="177"/>
        <w:gridCol w:w="1114"/>
        <w:gridCol w:w="173"/>
      </w:tblGrid>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before="0" w:after="283"/>
              <w:jc w:val="left"/>
              <w:rPr>
                <w:sz w:val="4"/>
                <w:szCs w:val="4"/>
              </w:rPr>
            </w:pPr>
            <w:r>
              <w:rPr>
                <w:sz w:val="4"/>
                <w:szCs w:val="4"/>
              </w:rPr>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960" w:type="dxa"/>
            <w:tcBorders/>
            <w:vAlign w:val="center"/>
          </w:tcPr>
          <w:p>
            <w:pPr>
              <w:pStyle w:val="TableContents"/>
              <w:bidi w:val="0"/>
              <w:spacing w:before="0" w:after="283"/>
              <w:jc w:val="right"/>
              <w:rPr/>
            </w:pPr>
            <w:r>
              <w:rPr/>
              <w:t>12,157</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114" w:type="dxa"/>
            <w:tcBorders/>
            <w:vAlign w:val="center"/>
          </w:tcPr>
          <w:p>
            <w:pPr>
              <w:pStyle w:val="TableContents"/>
              <w:bidi w:val="0"/>
              <w:spacing w:before="0" w:after="283"/>
              <w:jc w:val="right"/>
              <w:rPr/>
            </w:pPr>
            <w:r>
              <w:rPr/>
              <w:t>(105,890</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before="0" w:after="283"/>
              <w:jc w:val="left"/>
              <w:rPr>
                <w:sz w:val="4"/>
                <w:szCs w:val="4"/>
              </w:rPr>
            </w:pPr>
            <w:r>
              <w:rPr>
                <w:sz w:val="4"/>
                <w:szCs w:val="4"/>
              </w:rPr>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(83,736</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6,891</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11,522</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617</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1,440</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asset impairment charges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1,877</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59</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1,074</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331</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377</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(Gain)/loss on impairment of leasehold improvements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86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(Gain)/loss on extinguishment of operating lease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(72</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(81</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lease expense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1,912</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2,726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5,154</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2,466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40</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34</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(357</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(3,102</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Current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(2,464</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(2,893</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(6,660</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(3,906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(63,190</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(97,208</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before="0" w:after="283"/>
              <w:jc w:val="left"/>
              <w:rPr>
                <w:sz w:val="4"/>
                <w:szCs w:val="4"/>
              </w:rPr>
            </w:pPr>
            <w:r>
              <w:rPr>
                <w:sz w:val="4"/>
                <w:szCs w:val="4"/>
              </w:rPr>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asset sale, net</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83,736</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sale of property, plant, and equipment</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1,348</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(267</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85,076</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(267</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note payable, including end of term charge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(16,350</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235</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58</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2018 employee stock purchase plan</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86</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204</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(16,029</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262</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5,857</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(97,213</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92,846</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190,059</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98,703</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92,846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960" w:type="dxa"/>
            <w:tcBorders/>
            <w:vAlign w:val="center"/>
          </w:tcPr>
          <w:p>
            <w:pPr>
              <w:pStyle w:val="TableContents"/>
              <w:bidi w:val="0"/>
              <w:spacing w:before="0" w:after="0"/>
              <w:jc w:val="left"/>
              <w:rPr>
                <w:bdr w:val="double" w:sz="6" w:space="1" w:color="000000"/>
              </w:rPr>
            </w:pPr>
            <w:r>
              <w:rPr>
                <w:bdr w:val="double" w:sz="6"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1114"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831</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1,425</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and financing activities: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 of use asset obtained in exchange for operating lease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2,392</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4,319</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Reconciliation of cash, cash equivalents and restricted cash reported within the consolidated balance sheets: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98,020</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92,563</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683</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283</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98,703</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92,846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960" w:type="dxa"/>
            <w:tcBorders/>
            <w:vAlign w:val="center"/>
          </w:tcPr>
          <w:p>
            <w:pPr>
              <w:pStyle w:val="TableContents"/>
              <w:bidi w:val="0"/>
              <w:spacing w:before="0" w:after="0"/>
              <w:jc w:val="left"/>
              <w:rPr>
                <w:bdr w:val="double" w:sz="6" w:space="1" w:color="000000"/>
              </w:rPr>
            </w:pPr>
            <w:r>
              <w:rPr>
                <w:bdr w:val="double" w:sz="6"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1114"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share and per share data)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1. Nature of the Business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AVROBIO, Inc. (the “Company” or “AVROBIO”) is a gene therapy company which has been focused on developing potentially curative hematopoietic stem cell, or HSC, gene therapies to treat rare diseases following a single dose treatment regimen.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See Note 15 for further discussion. On January 30, 2024, the Company entered into the Merger Agreement with Tectonic Therapeutic, Inc. (“Tectonic”) pursuant to which a wholly-owned subsidiary of the Company will merge with and into Tectonic, with Tectonic surviving as a wholly-owned subsidiary of the Company (the “Merger”). See Note 16 for further discussion.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with the Financial Accounting Standards Board (“FASB”) Accounting Standards Update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2014-15,</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Disclosure of Uncertainties about an Entity’s Ability to Continue as a Going Concern (Subtopic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205-40),</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evaluated whether there are conditions and events, considered in the aggregate, that raise substantial doubt about the Company’s ability to continue as a going concern within one year after the date that the consolidated financial statements are issued.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AVR-RD-04)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all other assets of the Company specifically related to this program. As of December 31, 2023, the Company had an accumulated deficit of $477,275. The Company expects that its cash and cash equivalents of $98,020 as of December 31, 2023 will be sufficient to fund current planned operations and capital expenditure requirements for at least the next twelve months from the filing date of this Annual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with the Securities and Exchange Commission (“SEC”).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May 19, 2023, the Company entered into an Asset Purchase Agreement (the “Asset Purchase Agreement”) with Novartis Pharma AG and Novartis Pharmaceuticals Corporation (collectively, “Novartis”), providing for the sale of the Company’s cystinosis gene therapy program (designated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AVR-RD-04)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all other assets of the Company specifically related to this program. The aggregate consideration to the Company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consisted of a cash payment of $87,500 upon closing of the transaction. The Company completed the Asset Sale (as defined below) on June 9, 2023 and recognized $83,736 as a gain on asset sale, net of $3,764 transaction costs, in the consolidated statement of operations and comprehensive income (loss). See Note 3 for further discussion.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 employees in a workforce reduction implemented effective as of October 31, 2023 (the “October 2023 Workforce Reduction”). The Company’s workforce was further reduced by 8 employees in the December 2023 Workforce Reduction effective as of December 31, 2023 (the “December 2023 Workforce Reduction”). Affected employees in the July 2023 Workforce Reduction, October 2023 Workforce Reduction, and December 2023 Workforce Reduction were offered separation benefits, including severance payments. See Note 15 for further discussion.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2. Summary of Significant Accounting Policies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Basis of Presentation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ASU of FASB.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Principles of Consolidation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consolidated financial statements include the accounts of AVROBIO, Inc. and its wholly owned subsidiaries. All intercompany transactions and balances have been eliminated in consolidation.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Segment Information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Use of Estimates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preparation of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on-going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Cash and Cash Equivalents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considers all highly liquid investments purchased with original maturities of three months or less at acquisition to be cash equivalents. As of December 31, 2023 and 2022, cash and cash equivalents were primarily held in interest-bearing money market funds.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Concentrations of Credit Risk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no significant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off-balance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Fair Value Measurements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1— Fair values are determined utilizing prices (unadjusted) in active markets for identical assets or liabilities that the Company has the ability to access.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3—Unobservable inputs that are supported by little or no market activity that are significant to determining the fair value of the assets or liabilities, including pricing models, discounted cash flow methodologies and similar techniques.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carrying amounts of the Company’s financial instruments, which include cash equivalents, accounts payable, and accrued expenses, approximated their fair values as of December 31, 2023 and 2022 due to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short-term</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nature of these instruments.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The Company has evaluated the estimated fair value of financial instruments using available market information. The use of different market assumptions, estimation methodologies, or both, could have a significant effect on the estimated fair value amounts. See Note 4</w:t>
      </w:r>
    </w:p>
    <w:p>
      <w:pPr>
        <w:pStyle w:val="TextBody"/>
        <w:bidi w:val="0"/>
        <w:spacing w:before="240" w:after="0"/>
        <w:jc w:val="left"/>
        <w:rPr>
          <w:caps w:val="false"/>
          <w:smallCaps w:val="false"/>
          <w:spacing w:val="0"/>
          <w:shd w:fill="FFFFFF" w:val="clear"/>
        </w:rPr>
      </w:pPr>
      <w:r>
        <w:rPr>
          <w:caps w:val="false"/>
          <w:smallCaps w:val="false"/>
          <w:spacing w:val="0"/>
          <w:shd w:fill="FFFFFF" w:val="clear"/>
        </w:rPr>
        <w:t>“</w:t>
      </w:r>
      <w:r>
        <w:rPr>
          <w:rFonts w:ascii="Times New Roman" w:hAnsi="Times New Roman"/>
          <w:i/>
          <w:caps w:val="false"/>
          <w:smallCaps w:val="false"/>
          <w:spacing w:val="0"/>
          <w:sz w:val="20"/>
          <w:shd w:fill="FFFFFF" w:val="clear"/>
        </w:rPr>
        <w:t xml:space="preserve">Fair Value of Financial Assets and Liabilities”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further discussion.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Property and Equipment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are recorded at cost. Depreciation and amortization is calculated using the straight-line method over the following estimated useful lives of the assets: </w:t>
      </w:r>
    </w:p>
    <w:p>
      <w:pPr>
        <w:pStyle w:val="TextBody"/>
        <w:bidi w:val="0"/>
        <w:spacing w:before="0" w:after="0"/>
        <w:jc w:val="left"/>
        <w:rPr>
          <w:shd w:fill="FFFFFF" w:val="clear"/>
        </w:rPr>
      </w:pPr>
      <w:r>
        <w:rPr>
          <w:shd w:fill="FFFFFF" w:val="clear"/>
        </w:rPr>
        <w:t> </w:t>
      </w:r>
    </w:p>
    <w:tbl>
      <w:tblPr>
        <w:tblW w:w="5845" w:type="dxa"/>
        <w:jc w:val="left"/>
        <w:tblInd w:w="0" w:type="dxa"/>
        <w:tblLayout w:type="fixed"/>
        <w:tblCellMar>
          <w:top w:w="0" w:type="dxa"/>
          <w:left w:w="0" w:type="dxa"/>
          <w:bottom w:w="0" w:type="dxa"/>
          <w:right w:w="0" w:type="dxa"/>
        </w:tblCellMar>
      </w:tblPr>
      <w:tblGrid>
        <w:gridCol w:w="2705"/>
        <w:gridCol w:w="120"/>
        <w:gridCol w:w="3020"/>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Estimated Useful Life</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Laboratory and office equipment</w:t>
            </w:r>
          </w:p>
        </w:tc>
        <w:tc>
          <w:tcPr>
            <w:tcW w:w="12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center"/>
              <w:rPr/>
            </w:pPr>
            <w:r>
              <w:rPr/>
              <w:t>5 years</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2 years</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center"/>
              <w:rPr/>
            </w:pPr>
            <w:r>
              <w:rPr/>
              <w:t>Lesser of lease term or 10 years</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Impairment of Long-Lived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During the year ended December 31, 2023 the Company recognized a $937 loss on impairment of property, plant, and equipment as a result of the reclassification of these assets to held for sale. The Company did not record any impairment loss during the year ended December 31,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Prior to January 1, 2022, the Company accounted for leases in accordance with FASB ASC 840, Leases. At lease inception, the Company determined if an arrangement was an operating or capital lease. For operating leases, the Company recognized rent expense, inclusive of rent escalations, on a straight-line basis over the lease term.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Effective on January 1, 2022, the Company accounts for leases in accordance with ASC Topic 842, Leases (“ASC 842”). Upon transition, the Company applied the package of practical expedients permitted under ASC 842 transition guidance to its entire lease portfolio at January 1, 2022. As a result, the Company was not required to reassess (i) whether any expired or existing contracts are or contain leases, (ii) the classification of any expired or existing leases, and (iii) initial direct costs for any existing leases. Furthermore, as a lessee the Company elected to combine lease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together for the majority of its leases. As a result, for these applicable classes of underlying assets, the Company accounted for each separate lease component and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associated with that lease component as a single lease component.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with ASC 842, the Company determines whether an arrangement is or contains a lease at inception. A contract is or contains a lease if the contract conveys the right to control the use of an identified asset for a period of time in exchange for consideration. The Company records leases at the lease commencement date, when control of the underlying asset is transferred from the lessor to the lessee, as operating or finance leases and records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(“ROU”) asset and a lease liability on the consolidated balance sheet for all leases with a lease term of greater than twelve months. The Company has elected to not recognize leases with a lease term of twelve months or less on the balance sheet and will recognize lease payments for such short-term leases as an expense on a straight-line basis.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enters into contracts that contain both lease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may include items such as maintenance, utilities, or other operating costs. For leases of real estate, the Company combines the lease and associated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in its lease arrangements as a single lease component. Variable costs, such as utilities or maintenance costs, are not included in the measurement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and lease liabilities, but rather are expensed when the event determining the amount of variable consideration to be paid occurs.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Operating lease assets and liabilities are recognized at the lease commencement date based on the present value of the lease payments over the lease term using the discount rate implicit in the lease if readily determinable. If the rate implicit is not readily determinable, the Company utilizes its incremental borrowing rate based upon the available information at the lease commencement date. ROU assets are further adjusted for items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such as initial direct costs, prepaid rent, or lease incentives. Operating lease payments are expensed using the straight-line method as an operating expense over the lease term.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and (ii) a portion that reduces the finance lease liability associated with the lease.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 ended December 31, 2023 the Company recognized a $940 loss on impairment of ROU assets as a result of the discontinued use of lab space in Cambridge, Massachusetts, United States. The Company did not record any impairment loss during the year ended December 31,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Comprehensive Income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Comprehensive income (loss) is defined as the change in stockholders’ equity of a business enterprise during a period from transactions and other events and circumstances from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non-owner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sources. Comprehensive income (loss) includes net income (loss) as well as other changes in stockholders’ equity (deficit) which includes certain changes in equity that are excluded from net income (loss). Comprehensive loss has been disclosed in the accompanying consolidated statements of operations and comprehensive loss and equals the Company’s net loss for all periods presented.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Foreign Currency Translation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(expense) income, net in the consolidated statements of operations and comprehensive loss. During the years ended December 31, 2023 and 2022, the Company recorded foreign exchange losses of $122 and $92, respectively, in other expense in the consolidated statements of operations and comprehensive loss.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Research and Development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Non-refundable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Stock-Based Compensation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measurement date for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awards is the later of the adoption date of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2018-07,</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or the date of grant. For stock-based awards granted to nonemployees subject to graded vesting that only contain service conditions, the Company has elected to recognize stock-based compensation expense using the straight-line recognition method.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classifies stock-based compensation expense in its consolidated statements of operations and comprehensive loss in the same manner in which the award recipient’s cash compensation costs are classified.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2022,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accounts for uncertain tax positions recognized in the consolidated financial statements by prescribing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more-likely-than-not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Net Income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Basic net loss per share is computed by dividing net loss by the weighted-average number of shares of common stock outstanding during the period, without consideration of potential dilutive securities. Diluted net loss per share is computed by adjusting the weighted-average shares outstanding for the potential dilutive effects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of common stock equivalents outstanding during the period calculated in accordance with the treasury stock method. For purposes of the diluted net loss per share calculation, stock options and restricted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Subsequent Event Considerations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Recently Adopted Accounting Pronouncements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2016,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Financial Instruments—Credit Losses (Topic 326): Measurement of Credit Losses on Financial Instruments, or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requires that credit losses be reported as an allowance using an expected losses model, representing the entity’s current estimate of credit losses expected to be incurred. For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debt securities with unrealized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losses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this standard now requires allowances to be recorded instead of reducing the amortized cost of the investment. On January 1, 2023 the Company adopted this standard, which had no impact on its financial position or results of operations.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November 2019,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2019-11,</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Codification Improvements to Topic 326, Financial Instruments – Credit Losses,” or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2019-11.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2019-11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is an accounting pronouncement that amends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Recently Issued Accounting Pronouncements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2023, the FASB issued Accounting Standard Update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Income Taxes (Topic 740): Improvements to Income Tax Disclosures.” This guidance is intended to enhance the transparency and decision-usefulness of income tax disclosures. The amendments in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address investor requests for enhanced income tax information primarily through changes to disclosure regarding rate reconciliation and income taxes paid both in the United States and in foreign jurisdictions.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October 2023,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2023-06</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Disclosure Improvements: Codification Amendments in Response to the SEC’s Disclosure Update and Simplification Initiative.” which incorporates certain SEC disclosure requirements into the FASB Accounting Standards Codification (“Codification”). The amendments in the ASU are expected to clarify or improve disclosure and presentation requirements of a variety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that related disclosure from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S-X</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or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becomes effective, with early adoption prohibited. The amendments in this ASU should be applied prospectively. The Company is currently evaluating this guidance to determine the impact it may have on its consolidated financial statement disclosures.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3. License and Purchase Agreements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 with The University of Manchester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ex vivo</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lentiviral gene therapy for use in the treatment of Hunter syndrome, or mucopolysaccharidosis type II (“MPSII”). As consideration for the MPSII License Agreement, the Company agreed to pay UoM an upfront,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of $8,000, which was recognized as research and development expense during the year ended December 31, 2020.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part of the agreement, the Company was obligated to make milestone payments of up to an aggregate of $80,000 upon the achievement of specified development and regulatory milestones, to pay royalties, on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product-by-product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country-by-country</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of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mid-single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digit percentage based on net sales of products licensed under the agreement and to pay a low double-digit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were estimated to equal approximately £9,900 in the aggregate.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2023 and 2022, the Company recognized $1,610 and $2,346, respectively, of costs related to the CRFA, excluding the payment made in connection with the termination.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Agreements with University Health Network (“UHN”)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Fabry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27, 2016, the Company entered into an agreement with UHN, pursuant to which UHN granted the Company an option to enter into an exclusive license under the UHN intellectual property related to Fabry disease in accordance with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pre-negotiated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licensing terms. On November 4, 2016, the Company exercised its option and entered into a license agreement with UHN, pursuant to which UHN granted the Company an exclusive worldwide license under certain intellectual property rights and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non-exclusive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worldwide license under certain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know-how,</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Under this agreement, the Company paid an option fee of CAD$20, an upfront license fee of CAD$75, plus the annual license maintenance fee for the first year. Thereafter, the Company was also required to pay UHN future annual license maintenance fees until the first sale of a licensed product in certain markets. The Company was also obligated to make future milestone payments in an aggregate amount of up to CAD$2,450 upon the achievement of specified milestones as well as royalties on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country-by-country</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of a low to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mid-single-digit</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percentage of annual net sales of licensed products and a lower single-digit royalty percentage in certain circumstances. Additionally, the Company had agreed to pay a low double-digit royalty percentage of all sublicensing revenue.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agreement required the Company to meet certain performance milestones within specified timeframes. UHN could terminate the agreement if the Company failed to meet these performance milestones despite using commercially reasonable efforts and the Company is unable to reach agreement with UHN on revised timeframes. The Company’s royalty obligation was to expire on a licensed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product-by-licensed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product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country-by-country</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Unless terminated earlier, the agreement was to expire upon the expiration of the Company’s royalty obligation for all licensed products. UHN could terminate the agreement if the Company failed to make any payments within a specified period after receiving written notice of such failure, or in the event that the Company fails to obtain or maintain insurance. Either the Company or UHN could terminate the license agreement in the event of a material breach by the other party and failure to cure such breach within a certain period of time. The Company could voluntarily terminate the agreement with prior notice to UHN.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Effective January 4, 2024, AVROBIO terminated the Fabry license agreement with UHN, and in connection with such termination, the Company paid UHN CAD$194. Following the termination of the agreement, AVROBIO does not have any remaining financial obligations to UHN pursuant to the Fabry license agreement. For the years ended December 31, 2023 and 2022, the Company recorded research and development expense related to this agreement with UHN of $93 and $161, respectively, which consists of reimbursable funded study trial costs and license maintenance fees. No milestone fees were incurred related to the Fabry license agreement in the years ended December 31, 2023 and 2022.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Interleukin 12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and agreed to pay UHN up to $2,000 upon the closing of an IPO if certain criteria are met. The fair value of the shares issued to UHN of $480 and the upfront fee was expensed upon the execution of the agreement. Upon the closing of the Company’s initial public offering (the “IPO”) in 2018, as the criteria were met, the Company paid UHN $2,000. The Company was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granted any sublicense rights under the license agreement, the Company agreed to pay UHN a low double-digit royalty percentage of any sublicense income received by the Company. The agreement also required the Company to meet certain diligence requirements based upon specified milestones.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Effective as of August 24, 2023, the Company and UHN agreed to terminate the Interleukin 12 License Agreement, and in connection with such termination there were no payments made to UHN. Following the termination of the agreement, the Company does not have any remaining financial obligations to UHN pursuant to the Interleukin 12 License Agreement.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2023 and 2022, the Company recorded research and development expense related to this agreement with UHN of $37 and $39, respectively, which consists of license maintenance fees. No milestone fees were incurred related to the Interleukin 12 license agreement in the years ended December 31, 2023 and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 with BioMarin Pharmaceutical Inc. (“BioMarin”)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expenses related to the license were recorded for the years ended December 31, 2023 and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 with Papillon Therapeutics, Inc. (previously GenStem Therapeutics, Inc.)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product-by-licensed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product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country-by-country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 The license agreement with Papillon was assigned to Novartis on May 19, 2023 in conjunction with the Company’s Asset Purchase Agreement with Novartis which provided for the sale of the Company’s cystinosis gene therapy program and all other assets of the Company specifically related to this program (see “Sale of Cystinosis Program” below).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No expenses related to the license were recorded for the years ended December 31, 2023 and 2022.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 with Lund University Rights Holders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2023 and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Sale of Cystinosis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May 19, 2023, the Company entered into the Asset Purchase Agreement with Novartis, providing for the sale of the Company’s cystinosis gene therapy program (designated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AVR-RD-04)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w:t>
      </w:r>
    </w:p>
    <w:p>
      <w:pPr>
        <w:pStyle w:val="TextBody"/>
        <w:bidi w:val="0"/>
        <w:spacing w:before="120" w:after="0"/>
        <w:jc w:val="left"/>
        <w:rPr>
          <w:rFonts w:ascii="Times New Roman" w:hAnsi="Times New Roman"/>
          <w:sz w:val="12"/>
          <w:shd w:fill="FFFFFF" w:val="clear"/>
        </w:rPr>
      </w:pPr>
      <w:r>
        <w:rPr>
          <w:rFonts w:ascii="Times New Roman" w:hAnsi="Times New Roman"/>
          <w:sz w:val="12"/>
          <w:shd w:fill="FFFFFF" w:val="clear"/>
        </w:rPr>
        <w: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 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 upon closing of the transaction. The Company recognized $83,736 as a gain on asset sale, net of $3,764 in transaction costs, in the consolidated statement of operations and comprehensive income (loss).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4. Fair Value of Financial Assets and Liabilities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presents information about the Company’s financial assets and liabilities measured at fair value on a recurring basis and indicates the level of the fair value hierarchy utilized to determine such fair values as of December 31, 2023 and 2022: </w:t>
      </w:r>
    </w:p>
    <w:p>
      <w:pPr>
        <w:pStyle w:val="TextBody"/>
        <w:bidi w:val="0"/>
        <w:spacing w:before="0" w:after="0"/>
        <w:jc w:val="left"/>
        <w:rPr>
          <w:shd w:fill="FFFFFF" w:val="clear"/>
        </w:rPr>
      </w:pPr>
      <w:r>
        <w:rPr>
          <w:shd w:fill="FFFFFF" w:val="clear"/>
        </w:rPr>
        <w:t> </w:t>
      </w:r>
    </w:p>
    <w:tbl>
      <w:tblPr>
        <w:tblW w:w="7160" w:type="dxa"/>
        <w:jc w:val="left"/>
        <w:tblInd w:w="0" w:type="dxa"/>
        <w:tblLayout w:type="fixed"/>
        <w:tblCellMar>
          <w:top w:w="0" w:type="dxa"/>
          <w:left w:w="0" w:type="dxa"/>
          <w:bottom w:w="0" w:type="dxa"/>
          <w:right w:w="0" w:type="dxa"/>
        </w:tblCellMar>
      </w:tblPr>
      <w:tblGrid>
        <w:gridCol w:w="3275"/>
        <w:gridCol w:w="120"/>
        <w:gridCol w:w="140"/>
        <w:gridCol w:w="680"/>
        <w:gridCol w:w="60"/>
        <w:gridCol w:w="120"/>
        <w:gridCol w:w="264"/>
        <w:gridCol w:w="491"/>
        <w:gridCol w:w="60"/>
        <w:gridCol w:w="120"/>
        <w:gridCol w:w="264"/>
        <w:gridCol w:w="491"/>
        <w:gridCol w:w="60"/>
        <w:gridCol w:w="120"/>
        <w:gridCol w:w="140"/>
        <w:gridCol w:w="680"/>
        <w:gridCol w:w="7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Measurements as of</w:t>
              <w:br/>
              <w:t>December 31, 2023</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96,707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96,707</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96,707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96,707</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7160" w:type="dxa"/>
        <w:jc w:val="left"/>
        <w:tblInd w:w="0" w:type="dxa"/>
        <w:tblLayout w:type="fixed"/>
        <w:tblCellMar>
          <w:top w:w="0" w:type="dxa"/>
          <w:left w:w="0" w:type="dxa"/>
          <w:bottom w:w="0" w:type="dxa"/>
          <w:right w:w="0" w:type="dxa"/>
        </w:tblCellMar>
      </w:tblPr>
      <w:tblGrid>
        <w:gridCol w:w="3275"/>
        <w:gridCol w:w="120"/>
        <w:gridCol w:w="140"/>
        <w:gridCol w:w="680"/>
        <w:gridCol w:w="60"/>
        <w:gridCol w:w="120"/>
        <w:gridCol w:w="264"/>
        <w:gridCol w:w="491"/>
        <w:gridCol w:w="60"/>
        <w:gridCol w:w="120"/>
        <w:gridCol w:w="264"/>
        <w:gridCol w:w="491"/>
        <w:gridCol w:w="60"/>
        <w:gridCol w:w="120"/>
        <w:gridCol w:w="140"/>
        <w:gridCol w:w="680"/>
        <w:gridCol w:w="7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Measurements as of</w:t>
              <w:br/>
              <w:t>December 31, 2022</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91,095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91,095</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91,095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91,095</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years ended December 31, 2023 and 2022, there were no transfers between levels.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5. Supplemental Balance Sheet Information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Prepaid Expenses and Other Current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Prepaid expenses and other current assets consisted of the following: </w:t>
      </w:r>
    </w:p>
    <w:p>
      <w:pPr>
        <w:pStyle w:val="TextBody"/>
        <w:bidi w:val="0"/>
        <w:spacing w:before="0" w:after="0"/>
        <w:jc w:val="left"/>
        <w:rPr>
          <w:shd w:fill="FFFFFF" w:val="clear"/>
        </w:rPr>
      </w:pPr>
      <w:r>
        <w:rPr>
          <w:shd w:fill="FFFFFF" w:val="clear"/>
        </w:rPr>
        <w:t> </w:t>
      </w:r>
    </w:p>
    <w:tbl>
      <w:tblPr>
        <w:tblW w:w="5365" w:type="dxa"/>
        <w:jc w:val="left"/>
        <w:tblInd w:w="0" w:type="dxa"/>
        <w:tblLayout w:type="fixed"/>
        <w:tblCellMar>
          <w:top w:w="0" w:type="dxa"/>
          <w:left w:w="0" w:type="dxa"/>
          <w:bottom w:w="0" w:type="dxa"/>
          <w:right w:w="0" w:type="dxa"/>
        </w:tblCellMar>
      </w:tblPr>
      <w:tblGrid>
        <w:gridCol w:w="3590"/>
        <w:gridCol w:w="120"/>
        <w:gridCol w:w="140"/>
        <w:gridCol w:w="560"/>
        <w:gridCol w:w="60"/>
        <w:gridCol w:w="120"/>
        <w:gridCol w:w="140"/>
        <w:gridCol w:w="560"/>
        <w:gridCol w:w="7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4,509</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999</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compensation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327</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incentive refund, net of reserve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269</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7,112</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Property and Equipment,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net consisted of the following: </w:t>
      </w:r>
    </w:p>
    <w:p>
      <w:pPr>
        <w:pStyle w:val="TextBody"/>
        <w:bidi w:val="0"/>
        <w:spacing w:before="0" w:after="0"/>
        <w:jc w:val="left"/>
        <w:rPr>
          <w:shd w:fill="FFFFFF" w:val="clear"/>
        </w:rPr>
      </w:pPr>
      <w:r>
        <w:rPr>
          <w:shd w:fill="FFFFFF" w:val="clear"/>
        </w:rPr>
        <w:t> </w:t>
      </w:r>
    </w:p>
    <w:tbl>
      <w:tblPr>
        <w:tblW w:w="6185" w:type="dxa"/>
        <w:jc w:val="left"/>
        <w:tblInd w:w="0" w:type="dxa"/>
        <w:tblLayout w:type="fixed"/>
        <w:tblCellMar>
          <w:top w:w="0" w:type="dxa"/>
          <w:left w:w="0" w:type="dxa"/>
          <w:bottom w:w="0" w:type="dxa"/>
          <w:right w:w="0" w:type="dxa"/>
        </w:tblCellMar>
      </w:tblPr>
      <w:tblGrid>
        <w:gridCol w:w="4070"/>
        <w:gridCol w:w="120"/>
        <w:gridCol w:w="140"/>
        <w:gridCol w:w="635"/>
        <w:gridCol w:w="155"/>
        <w:gridCol w:w="120"/>
        <w:gridCol w:w="140"/>
        <w:gridCol w:w="635"/>
        <w:gridCol w:w="170"/>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Laboratory and office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5,967</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629</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102</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6,706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6,698</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(4,421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(3,804</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 of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2,894</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Depreciation and amortization expense for the years ended December 31, 2023 and 2022 was $617 and $1,440, respectively.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Restricted Cash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Company had restricted cash as presented in the table below, which consists of cash used to secure a letter of credit for the benefit of the landlord in connection with the Company’s lease agreement as well as restricted cash related to the Company’s corporate credit card program. The cash will be restricted until the termination or modification of the lease arrangement and corporate credit card program, respectively. </w:t>
      </w:r>
    </w:p>
    <w:p>
      <w:pPr>
        <w:pStyle w:val="TextBody"/>
        <w:bidi w:val="0"/>
        <w:spacing w:before="0" w:after="0"/>
        <w:jc w:val="left"/>
        <w:rPr>
          <w:shd w:fill="FFFFFF" w:val="clear"/>
        </w:rPr>
      </w:pPr>
      <w:r>
        <w:rPr>
          <w:shd w:fill="FFFFFF" w:val="clear"/>
        </w:rPr>
        <w:t> </w:t>
      </w:r>
    </w:p>
    <w:tbl>
      <w:tblPr>
        <w:tblW w:w="4685" w:type="dxa"/>
        <w:jc w:val="left"/>
        <w:tblInd w:w="0" w:type="dxa"/>
        <w:tblLayout w:type="fixed"/>
        <w:tblCellMar>
          <w:top w:w="0" w:type="dxa"/>
          <w:left w:w="0" w:type="dxa"/>
          <w:bottom w:w="0" w:type="dxa"/>
          <w:right w:w="0" w:type="dxa"/>
        </w:tblCellMar>
      </w:tblPr>
      <w:tblGrid>
        <w:gridCol w:w="3080"/>
        <w:gridCol w:w="120"/>
        <w:gridCol w:w="161"/>
        <w:gridCol w:w="440"/>
        <w:gridCol w:w="68"/>
        <w:gridCol w:w="138"/>
        <w:gridCol w:w="161"/>
        <w:gridCol w:w="442"/>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283</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400</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Accrued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consisted of the following: </w:t>
      </w:r>
    </w:p>
    <w:p>
      <w:pPr>
        <w:pStyle w:val="TextBody"/>
        <w:bidi w:val="0"/>
        <w:spacing w:before="0" w:after="0"/>
        <w:jc w:val="left"/>
        <w:rPr>
          <w:shd w:fill="FFFFFF" w:val="clear"/>
        </w:rPr>
      </w:pPr>
      <w:r>
        <w:rPr>
          <w:shd w:fill="FFFFFF" w:val="clear"/>
        </w:rPr>
        <w:t> </w:t>
      </w:r>
    </w:p>
    <w:tbl>
      <w:tblPr>
        <w:tblW w:w="4900" w:type="dxa"/>
        <w:jc w:val="left"/>
        <w:tblInd w:w="0" w:type="dxa"/>
        <w:tblLayout w:type="fixed"/>
        <w:tblCellMar>
          <w:top w:w="0" w:type="dxa"/>
          <w:left w:w="0" w:type="dxa"/>
          <w:bottom w:w="0" w:type="dxa"/>
          <w:right w:w="0" w:type="dxa"/>
        </w:tblCellMar>
      </w:tblPr>
      <w:tblGrid>
        <w:gridCol w:w="3005"/>
        <w:gridCol w:w="120"/>
        <w:gridCol w:w="140"/>
        <w:gridCol w:w="560"/>
        <w:gridCol w:w="60"/>
        <w:gridCol w:w="120"/>
        <w:gridCol w:w="140"/>
        <w:gridCol w:w="68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6,122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and benefit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4,175</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Consulting and professional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1,224</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11,732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6. 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31, 2018, the Company entered into a sublease agreement for lab space located in Cambridge Massachusetts, United States, which was set to expire in October 2020. On June 9, 2020, the Company amended the terms of the sublease, which was set to expire in April 2022. Effective January 1, 2022, the Company amended the terms of the sublease, to extend the term through April 2023. In July 2022, the company moved its corporate headquarters to our subleased space in this location. 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December 31, 2023 and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June 1, 2020, the Company entered into a lease agreement for office space located in Toronto, Ontario, Canada, which was set to expire in June 2025. On October 31, 2023, the lease agreement was terminated. The annual lease payments were fixed for years 1 and 2, and then subject to a 6.67% increase for years 3 through 5. In accordance with the lease agreement, the Company was required to maintain a security deposit of CAD$27, which was recorded in other long-term assets as of December 31, 2022. In October 2022, the Company entered into a sublease agreement to sublease this space. The term of the sublease agreement commenced on October 1, 2022 and expires on June 29, 2025. The sublease was also terminated on October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effect of lease costs in the Company’s consolidated statement of operations and comprehensive loss: </w:t>
      </w:r>
    </w:p>
    <w:p>
      <w:pPr>
        <w:pStyle w:val="TextBody"/>
        <w:bidi w:val="0"/>
        <w:spacing w:before="0" w:after="0"/>
        <w:jc w:val="left"/>
        <w:rPr>
          <w:shd w:fill="FFFFFF" w:val="clear"/>
        </w:rPr>
      </w:pPr>
      <w:r>
        <w:rPr>
          <w:shd w:fill="FFFFFF" w:val="clear"/>
        </w:rPr>
        <w:t> </w:t>
      </w:r>
    </w:p>
    <w:tbl>
      <w:tblPr>
        <w:tblW w:w="4752" w:type="dxa"/>
        <w:jc w:val="left"/>
        <w:tblInd w:w="0" w:type="dxa"/>
        <w:tblLayout w:type="fixed"/>
        <w:tblCellMar>
          <w:top w:w="0" w:type="dxa"/>
          <w:left w:w="0" w:type="dxa"/>
          <w:bottom w:w="0" w:type="dxa"/>
          <w:right w:w="0" w:type="dxa"/>
        </w:tblCellMar>
      </w:tblPr>
      <w:tblGrid>
        <w:gridCol w:w="1745"/>
        <w:gridCol w:w="120"/>
        <w:gridCol w:w="235"/>
        <w:gridCol w:w="942"/>
        <w:gridCol w:w="260"/>
        <w:gridCol w:w="100"/>
        <w:gridCol w:w="235"/>
        <w:gridCol w:w="945"/>
        <w:gridCol w:w="17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2,195</w:t>
            </w:r>
          </w:p>
        </w:tc>
        <w:tc>
          <w:tcPr>
            <w:tcW w:w="2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2,994</w:t>
            </w:r>
          </w:p>
        </w:tc>
        <w:tc>
          <w:tcPr>
            <w:tcW w:w="170"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(77</w:t>
            </w:r>
          </w:p>
        </w:tc>
        <w:tc>
          <w:tcPr>
            <w:tcW w:w="2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942" w:type="dxa"/>
            <w:tcBorders/>
            <w:vAlign w:val="center"/>
          </w:tcPr>
          <w:p>
            <w:pPr>
              <w:pStyle w:val="TableContents"/>
              <w:bidi w:val="0"/>
              <w:spacing w:before="0" w:after="0"/>
              <w:jc w:val="left"/>
              <w:rPr>
                <w:bdr w:val="single" w:sz="2" w:space="1" w:color="000000"/>
              </w:rPr>
            </w:pPr>
            <w:r>
              <w:rPr>
                <w:bdr w:val="single" w:sz="2" w:space="1" w:color="000000"/>
              </w:rPr>
              <w:t> </w:t>
            </w:r>
          </w:p>
        </w:tc>
        <w:tc>
          <w:tcPr>
            <w:tcW w:w="2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94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costs</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2,118</w:t>
            </w:r>
          </w:p>
        </w:tc>
        <w:tc>
          <w:tcPr>
            <w:tcW w:w="2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2,971</w:t>
            </w:r>
          </w:p>
        </w:tc>
        <w:tc>
          <w:tcPr>
            <w:tcW w:w="170"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double" w:sz="6" w:space="1" w:color="000000"/>
              </w:rPr>
            </w:pPr>
            <w:r>
              <w:rPr>
                <w:bdr w:val="double" w:sz="6" w:space="1" w:color="000000"/>
              </w:rPr>
              <w:t> </w:t>
            </w:r>
          </w:p>
        </w:tc>
        <w:tc>
          <w:tcPr>
            <w:tcW w:w="942" w:type="dxa"/>
            <w:tcBorders/>
            <w:vAlign w:val="center"/>
          </w:tcPr>
          <w:p>
            <w:pPr>
              <w:pStyle w:val="TableContents"/>
              <w:bidi w:val="0"/>
              <w:spacing w:before="0" w:after="0"/>
              <w:jc w:val="left"/>
              <w:rPr>
                <w:bdr w:val="double" w:sz="6" w:space="1" w:color="000000"/>
              </w:rPr>
            </w:pPr>
            <w:r>
              <w:rPr>
                <w:bdr w:val="double" w:sz="6" w:space="1" w:color="000000"/>
              </w:rPr>
              <w:t> </w:t>
            </w:r>
          </w:p>
        </w:tc>
        <w:tc>
          <w:tcPr>
            <w:tcW w:w="2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double" w:sz="6" w:space="1" w:color="000000"/>
              </w:rPr>
            </w:pPr>
            <w:r>
              <w:rPr>
                <w:bdr w:val="double" w:sz="6" w:space="1" w:color="000000"/>
              </w:rPr>
              <w:t> </w:t>
            </w:r>
          </w:p>
        </w:tc>
        <w:tc>
          <w:tcPr>
            <w:tcW w:w="94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years ended December 31, 2023 and 2022 the Company made cash payments for operating leases of $2,771 and $3,167,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of December 31, 2023, future minimum payments of operating lease liabilities are as follows (in thousands): </w:t>
      </w:r>
    </w:p>
    <w:p>
      <w:pPr>
        <w:pStyle w:val="TextBody"/>
        <w:bidi w:val="0"/>
        <w:spacing w:before="0" w:after="0"/>
        <w:jc w:val="left"/>
        <w:rPr>
          <w:shd w:fill="FFFFFF" w:val="clear"/>
        </w:rPr>
      </w:pPr>
      <w:r>
        <w:rPr>
          <w:shd w:fill="FFFFFF" w:val="clear"/>
        </w:rPr>
        <w:t> </w:t>
      </w:r>
    </w:p>
    <w:tbl>
      <w:tblPr>
        <w:tblW w:w="4845" w:type="dxa"/>
        <w:jc w:val="left"/>
        <w:tblInd w:w="0" w:type="dxa"/>
        <w:tblLayout w:type="fixed"/>
        <w:tblCellMar>
          <w:top w:w="0" w:type="dxa"/>
          <w:left w:w="0" w:type="dxa"/>
          <w:bottom w:w="0" w:type="dxa"/>
          <w:right w:w="0" w:type="dxa"/>
        </w:tblCellMar>
      </w:tblPr>
      <w:tblGrid>
        <w:gridCol w:w="2600"/>
        <w:gridCol w:w="120"/>
        <w:gridCol w:w="526"/>
        <w:gridCol w:w="1429"/>
        <w:gridCol w:w="17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br/>
              <w:t>December 31, 2023</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896</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14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896</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(18</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14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878</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142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the weighted average remaining lease term was 0.3 years and the weighted average incremental borrowing rate used to determine the operating lease liability was 16.15%. As of December 31, 2022, the weighted average remaining lease term was 0.9 years and the weighted average incremental borrowing rate used to determine the operating lease liability was 10.58%.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7. Note Payable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November 2, 2021 (the “Closing Date”), the Company entered into a Loan and Security Agreement (the “Loan Agreement”) with Silicon Valley Bank pursuant to which a term loan in an aggregate principal amount of up to $50,000 (the “Term Loan Facility”) was available to the Company in three tranches, subject to certain terms and conditions. The first tranche of $15,000 was advanced to the Company on the Closing Date. Subject to the terms and conditions of the Loan Agreement, the first tranche allowed the Company to borrow an additional $15,000 through October 31, 2023. Upon satisfaction of certain milestones, the second and third tranches were available under the Term Loan Facility which allowed the Company to borrow an additional amount up to $10,000 in each tranche through October 31, 2023. Additionally, the Company could seek to borrow up to an additional $15,000 at the sole discretion of the lender through the term of the Loan Agreement. The Loan Agreement provided for an October 1, 2026 maturity date (the “Maturity Date”). The Company was required to pay an end of term fee (“End of Term Charge”) equal to 9.00% of the aggregate principal amount of the Term Loan advances upon repayment.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Advances under the Term Loan Facility bore interest at a rate equal to the greater of either (i) the Prime Rate (as reported in The Wall Street Journal) plus 4.85%, and (ii) 8.10%. The Company was obligated to make interest only payments through November 1, 2024. Following the interest only period, the Company was to repay the principal balance and interest of the advances in equal monthly installments through October 1, 2026.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could prepay advances under the Loan Agreement, in whole or in part, at any time subject to a prepayment charge (the “Prepayment Premium”) equal to: (a) 1.50% of amounts so prepaid, if such prepayment occurred during the first year following the Closing Date; (b) 1.00% of the amount so prepaid, if such prepayment occurred during the second year following the Closing Date, and (c) 0.00% of the amount so prepaid, if such prepayment occurred after the second year following the Closing Date.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Upon prepayment or repayment of all or any of the term loans under the Term Loan Facility, the Company was required to pay (in addition to any Prepayment Premium) an end of term charge of 9.0% of the aggregate funded amount under the Term Loan Facility.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Term Loan Facility was secured by substantially all of the Company’s assets, other than the Company’s intellectual property. The Company agreed to not pledge or secure its intellectual property to others.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was approximately 16.29%.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June 9, 2023, upon the closing of the Asset Sale, all outstanding amounts due and owed, including principal, interest, and other charges, under the Term Loan Facility,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2022 the carrying value of the note payable consists of the following: </w:t>
      </w:r>
    </w:p>
    <w:p>
      <w:pPr>
        <w:pStyle w:val="TextBody"/>
        <w:bidi w:val="0"/>
        <w:spacing w:before="0" w:after="0"/>
        <w:jc w:val="left"/>
        <w:rPr>
          <w:shd w:fill="FFFFFF" w:val="clear"/>
        </w:rPr>
      </w:pPr>
      <w:r>
        <w:rPr>
          <w:shd w:fill="FFFFFF" w:val="clear"/>
        </w:rPr>
        <w:t> </w:t>
      </w:r>
    </w:p>
    <w:tbl>
      <w:tblPr>
        <w:tblW w:w="5925" w:type="dxa"/>
        <w:jc w:val="left"/>
        <w:tblInd w:w="0" w:type="dxa"/>
        <w:tblLayout w:type="fixed"/>
        <w:tblCellMar>
          <w:top w:w="0" w:type="dxa"/>
          <w:left w:w="0" w:type="dxa"/>
          <w:bottom w:w="0" w:type="dxa"/>
          <w:right w:w="0" w:type="dxa"/>
        </w:tblCellMar>
      </w:tblPr>
      <w:tblGrid>
        <w:gridCol w:w="3680"/>
        <w:gridCol w:w="120"/>
        <w:gridCol w:w="333"/>
        <w:gridCol w:w="1622"/>
        <w:gridCol w:w="170"/>
      </w:tblGrid>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Note payable, including End of Term Charge</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16,350</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discount, net of accretion</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(1,074</w:t>
            </w:r>
          </w:p>
        </w:tc>
        <w:tc>
          <w:tcPr>
            <w:tcW w:w="17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Note payable, net of discount, long-term</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15,276</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double" w:sz="6" w:space="1" w:color="000000"/>
              </w:rPr>
            </w:pPr>
            <w:r>
              <w:rPr>
                <w:bdr w:val="double" w:sz="6" w:space="1" w:color="000000"/>
              </w:rPr>
              <w:t> </w:t>
            </w:r>
          </w:p>
        </w:tc>
        <w:tc>
          <w:tcPr>
            <w:tcW w:w="162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 ended December 31, 2023, the Company recognized $1,917 of interest expense related to the Loan Agreement, of which $939 is related to the loss on the extinguishment of debt due to the write off of the debt discount balance, which is reflected in other expense, net on the consolidated statements of operations and comprehensive loss. During year ended December 31, 2022, the Company recognized $1,808 of interest expense related to the Loan Agreement.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8. Common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authorized capital stock of the Company included 150,000,000 shares of common stock, $0.0001 par value, and 10,000,000 shares of undesignated preferred stock. As of December 31, 2023 and 2022, no undesignated shares of preferred stock were outstanding.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Through December 31, 2023, no cash dividends have been declared or paid.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Public Offerings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2019, the Company closed an underwritten public offering of 7,475,000 shares of its common stock at a public offering price of $18.50 per share (the “July 2019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Offering”), which included 975,000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shares of the Company’s common stock resulting from the full exercise of the underwriters’ option to purchase additional shares at the public offering price, less underwriting discounts and commissions. The net proceeds to the Company from the July 2019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Offering, after deducting underwriting discounts and commissions and other offering expenses payable by the Company, were $129,464.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February 2020, the Company closed an underwritten public offering of 4,350,000 shares of its common stock at a public offering price of $23.00 per share (the “February 2020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Offering”). The net proceeds to the Company from the February 2020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Offering, after deducting underwriting discounts and commissions and other offering expenses payable by the Company, were $93,627.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June 2020, the Company sold an aggregate of 384,140 shares of common stock under its 2019 </w:t>
      </w:r>
    </w:p>
    <w:p>
      <w:pPr>
        <w:pStyle w:val="TextBody"/>
        <w:bidi w:val="0"/>
        <w:spacing w:before="240" w:after="0"/>
        <w:jc w:val="left"/>
        <w:rPr>
          <w:spacing w:val="0"/>
          <w:shd w:fill="FFFFFF" w:val="clear"/>
        </w:rPr>
      </w:pPr>
      <w:r>
        <w:rPr>
          <w:spacing w:val="0"/>
          <w:shd w:fill="FFFFFF" w:val="clear"/>
        </w:rPr>
        <w:t>“</w:t>
      </w:r>
      <w:r>
        <w:rPr>
          <w:rFonts w:ascii="Times New Roman" w:hAnsi="Times New Roman"/>
          <w:spacing w:val="0"/>
          <w:sz w:val="20"/>
          <w:shd w:fill="FFFFFF" w:val="clear"/>
        </w:rPr>
        <w:t>at-the-market”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facility (the “2019 ATM Facility”) for net proceeds, after deducting commissions and other offering expenses payable by the Company, of $8,130.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November 2020, the Company closed an underwritten public offering of 5,000,000 shares of its common stock at a public offering price of $15.00 per share (the “November 2020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Offering”). The net proceeds to the Company from the November 2020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Offering, after deducting underwriting discounts and commissions and other offering expenses payable by the Company, were $70,221.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May 2021, the Company sold an aggregate of 1,829,268 shares of common stock under the 2019 ATM Facility for net proceeds, after deducting commissions and other offering expenses payable by the Company, of $14,550.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There were no public offerings during the years ended December 31, 2023 and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Common Stock Reserved for Future Issuance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Company has reserved the following shares of common stock for future issuance: </w:t>
      </w:r>
    </w:p>
    <w:p>
      <w:pPr>
        <w:pStyle w:val="TextBody"/>
        <w:bidi w:val="0"/>
        <w:spacing w:before="0" w:after="0"/>
        <w:jc w:val="left"/>
        <w:rPr>
          <w:shd w:fill="FFFFFF" w:val="clear"/>
        </w:rPr>
      </w:pPr>
      <w:r>
        <w:rPr>
          <w:shd w:fill="FFFFFF" w:val="clear"/>
        </w:rPr>
        <w:t> </w:t>
      </w:r>
    </w:p>
    <w:tbl>
      <w:tblPr>
        <w:tblW w:w="8940" w:type="dxa"/>
        <w:jc w:val="left"/>
        <w:tblInd w:w="0" w:type="dxa"/>
        <w:tblLayout w:type="fixed"/>
        <w:tblCellMar>
          <w:top w:w="0" w:type="dxa"/>
          <w:left w:w="0" w:type="dxa"/>
          <w:bottom w:w="0" w:type="dxa"/>
          <w:right w:w="0" w:type="dxa"/>
        </w:tblCellMar>
      </w:tblPr>
      <w:tblGrid>
        <w:gridCol w:w="6245"/>
        <w:gridCol w:w="120"/>
        <w:gridCol w:w="60"/>
        <w:gridCol w:w="1100"/>
        <w:gridCol w:w="60"/>
        <w:gridCol w:w="120"/>
        <w:gridCol w:w="60"/>
        <w:gridCol w:w="1100"/>
        <w:gridCol w:w="75"/>
      </w:tblGrid>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exercise of outstanding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5,142,272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9,423,271</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vesting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936,358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940,392</w:t>
            </w:r>
          </w:p>
        </w:tc>
        <w:tc>
          <w:tcPr>
            <w:tcW w:w="75"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2018 Stock Option and Incentive Plan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7,978,667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5,005,295</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2018 Employee Stock Purchase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1,771,748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1,467,026</w:t>
            </w:r>
          </w:p>
        </w:tc>
        <w:tc>
          <w:tcPr>
            <w:tcW w:w="75"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2019 Inducement Plan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1,407,211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786,656</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2020 Inducement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1,637,000</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of authorized common stock reserved for future issuance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18,936,256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19,259,640</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9. Stock-Based Compensation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Amended and Restated 2015 Stock Option and Grant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Amended and Restated 2015 Stock Option and Grant Plan, (the “2015 Plan”) provides for the Company to issue restricted stock awards and restricted stock units, or to grant incentive stock options or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non-statutory</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stock options. Incentive stock options may be granted only to the Company’s employees including officers and members of the Board who are also employees. Restricted stock awards and restricted stock units and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non-statutory</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stock options may be granted to employees, members of the Board, outside advisors, and consultants of the Company.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total number of common shares that may be issued under the 2015 Plan was 2,008,564 shares. Following the IPO, no further grants have been made under 2015 plan.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Shares that expire, are terminated, surrendered or cancelled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2015 Plan is administered by the Board. Equity awards granted to employees and members of the Board typically vest over four years.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2018 Stock Option and Incentive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2018 Stock Option and Incentive Plan (the “2018 Plan”) was adopted by the Board on June 1, 2018 and approved by stockholders on June 7, 2018 and became effective upon the effectiveness of the Company’s Registration Statement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2018 Plan replaced the 2015 Plan as the Board determined not to make additional awards under the 2015 Plan following the pricing of the Company’s IPO. The 2018 Plan allows the Board, compensation committee or other designated committee to make equity-based and cash-based incentive awards to its officers, employees, directors and other key persons (including consultants).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April 16, 2020, the Board adopted an amendment to the 2018 Plan (the “Amendment”), to (i) increase the number of shares of common stock currently reserved for issuance under the 2018 Plan by 3,300,000 shares and (ii) automatically terminate the 2018 Plan’s annual increase (or “evergreen”) provision after January 2022. The Amendment was approved by the Board on June 4, 2020 and the Company’s stockholders on June 4, 2020.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number of shares of common stock available for future grant under the 2018 Plan was 7,978,667 as of December 31, 2023, which does not include the shares added to the 2018 Plan reserve on January 1, 2024 as a result of the Plan Evergreen for the year ended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years ended December 31, 2023 and 2022, the Company granted options to purchase 123,501 and, 5,369,650 shares, respectively, of common stock to employees, nonemployees and members of the Board.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2018 Employee Stock Purchase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2018 Employee Stock Purchase Plan (the “ESPP”) was adopted by the Board on June 1, 2018 and approved by stockholders on June 7, 2018 and became effective upon the effectiveness of the Company’s Registration Statement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ESPP is intended to qualify as an “employee stock purchase plan” within the meaning of Section 423(b) of the Code. The ESPP initially reserves and authorizes the issuance of up to a total of 223,200 shares of common stock to participating employees.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The ESPP provides that the number of shares reserved and available for issuance will automatically increase each January 1, beginning</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With respect to the January 1, 2024 ESPP Evergreen, the Company’s Compensation Committee opted to allocate zero additional shares to the ESPP share reserve. The number of shares reserved under the ESPP is subject to adjustment in the event of a stock split, stock dividend or other change in the Company’s capitalization.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years ended December 31, 2023 and 2022, the Company issued 134,439 and 120,947 shares, respectively of common stock. The total number of shares of common stock available for future grant was 1,771,748 as of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2019 Inducement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initially reserved 1,800,000 shares of its common stock for the issuance of awards under the 2019 Plan.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number of shares of common stock available for future grant under the 2019 Plan was 1,407,211 as of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2020 Inducement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2020 Inducement Plan (the “2020 Plan”) was adopted by the Board on December 9, 2020. The purpose of the 2020 Plan is to allow the Company to grant equity awards to new employees as inducements material to such new employee’s acceptance of employment with the Company. The Company intends that the shares underlying the 2020 Plan be reserved for persons to whom the Company may issue securities without stockholder approval as an inducement pursuant to Rule 5635(c)(4) of the Nasdaq marketplace rules.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initially reserved 1,700,000 shares of its common stock for the issuance of awards under the 2020 Plan.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number of shares of common stock available for future grant under the 2020 Plan was 1,700,000 as of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Stock Option Valuation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assumptions that the Company used to determine the grant-date fair value of stock options granted to employees and members of the Board were as follows, presented on a weighted-average basis: </w:t>
      </w:r>
    </w:p>
    <w:p>
      <w:pPr>
        <w:pStyle w:val="TextBody"/>
        <w:bidi w:val="0"/>
        <w:spacing w:before="0" w:after="0"/>
        <w:jc w:val="left"/>
        <w:rPr>
          <w:shd w:fill="FFFFFF" w:val="clear"/>
        </w:rPr>
      </w:pPr>
      <w:r>
        <w:rPr>
          <w:shd w:fill="FFFFFF" w:val="clear"/>
        </w:rPr>
        <w:t> </w:t>
      </w:r>
    </w:p>
    <w:tbl>
      <w:tblPr>
        <w:tblW w:w="5353" w:type="dxa"/>
        <w:jc w:val="left"/>
        <w:tblInd w:w="0" w:type="dxa"/>
        <w:tblLayout w:type="fixed"/>
        <w:tblCellMar>
          <w:top w:w="0" w:type="dxa"/>
          <w:left w:w="0" w:type="dxa"/>
          <w:bottom w:w="0" w:type="dxa"/>
          <w:right w:w="0" w:type="dxa"/>
        </w:tblCellMar>
      </w:tblPr>
      <w:tblGrid>
        <w:gridCol w:w="2285"/>
        <w:gridCol w:w="60"/>
        <w:gridCol w:w="103"/>
        <w:gridCol w:w="966"/>
        <w:gridCol w:w="474"/>
        <w:gridCol w:w="103"/>
        <w:gridCol w:w="103"/>
        <w:gridCol w:w="969"/>
        <w:gridCol w:w="29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47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option life (years)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6.00</w:t>
            </w:r>
          </w:p>
        </w:tc>
        <w:tc>
          <w:tcPr>
            <w:tcW w:w="47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5.98</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3.82</w:t>
            </w:r>
          </w:p>
        </w:tc>
        <w:tc>
          <w:tcPr>
            <w:tcW w:w="47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2.47</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83.36</w:t>
            </w:r>
          </w:p>
        </w:tc>
        <w:tc>
          <w:tcPr>
            <w:tcW w:w="47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80.43</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— </w:t>
            </w:r>
          </w:p>
        </w:tc>
        <w:tc>
          <w:tcPr>
            <w:tcW w:w="47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Company’s stock option activity for the year ended December 31, 2023: </w:t>
      </w:r>
    </w:p>
    <w:p>
      <w:pPr>
        <w:pStyle w:val="TextBody"/>
        <w:bidi w:val="0"/>
        <w:spacing w:before="0" w:after="0"/>
        <w:jc w:val="left"/>
        <w:rPr>
          <w:shd w:fill="FFFFFF" w:val="clear"/>
        </w:rPr>
      </w:pPr>
      <w:r>
        <w:rPr>
          <w:shd w:fill="FFFFFF" w:val="clear"/>
        </w:rPr>
        <w:t> </w:t>
      </w:r>
    </w:p>
    <w:tbl>
      <w:tblPr>
        <w:tblW w:w="8579" w:type="dxa"/>
        <w:jc w:val="left"/>
        <w:tblInd w:w="0" w:type="dxa"/>
        <w:tblLayout w:type="fixed"/>
        <w:tblCellMar>
          <w:top w:w="0" w:type="dxa"/>
          <w:left w:w="0" w:type="dxa"/>
          <w:bottom w:w="0" w:type="dxa"/>
          <w:right w:w="0" w:type="dxa"/>
        </w:tblCellMar>
      </w:tblPr>
      <w:tblGrid>
        <w:gridCol w:w="3080"/>
        <w:gridCol w:w="120"/>
        <w:gridCol w:w="60"/>
        <w:gridCol w:w="1069"/>
        <w:gridCol w:w="155"/>
        <w:gridCol w:w="120"/>
        <w:gridCol w:w="258"/>
        <w:gridCol w:w="812"/>
        <w:gridCol w:w="60"/>
        <w:gridCol w:w="120"/>
        <w:gridCol w:w="168"/>
        <w:gridCol w:w="1232"/>
        <w:gridCol w:w="60"/>
        <w:gridCol w:w="120"/>
        <w:gridCol w:w="288"/>
        <w:gridCol w:w="782"/>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br/>
              <w:t>Intrinsic</w:t>
              <w:br/>
              <w:t>Value</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9,423,271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7.26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8.14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123,501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(297,604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Cancelled or 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(4,106,896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7.44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5,142,272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7.33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6.24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663</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Exercisable as of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3,670,053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8.84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5.44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w:t>
            </w:r>
          </w:p>
        </w:tc>
        <w:tc>
          <w:tcPr>
            <w:tcW w:w="782" w:type="dxa"/>
            <w:tcBorders/>
            <w:vAlign w:val="center"/>
          </w:tcPr>
          <w:p>
            <w:pPr>
              <w:pStyle w:val="TableContents"/>
              <w:bidi w:val="0"/>
              <w:spacing w:before="0" w:after="283"/>
              <w:jc w:val="right"/>
              <w:rPr/>
            </w:pPr>
            <w:r>
              <w:rPr/>
              <w:t>376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aggregate intrinsic value of options exercised during the years ended December 31, 2023 and 2022 was $123 and $50,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weighted-average grant-date fair value of the Company’s stock options granted during the years ended December 31, 2023 and 2022 was $0.79 and $0.99, respectively.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Restricted Common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The Company has granted restricted common stock (or restricted stock awards) with time-based vesting conditions to certain employees of the Company.</w:t>
      </w:r>
    </w:p>
    <w:p>
      <w:pPr>
        <w:pStyle w:val="TextBody"/>
        <w:bidi w:val="0"/>
        <w:spacing w:before="120" w:after="0"/>
        <w:jc w:val="left"/>
        <w:rPr>
          <w:caps w:val="false"/>
          <w:smallCaps w:val="false"/>
          <w:strike w:val="false"/>
          <w:dstrike w:val="false"/>
          <w:spacing w:val="0"/>
          <w:u w:val="none"/>
          <w:effect w:val="none"/>
          <w:shd w:fill="FFFFFF" w:val="clear"/>
        </w:rPr>
      </w:pPr>
      <w:r>
        <w:rPr>
          <w:caps w:val="false"/>
          <w:smallCaps w:val="false"/>
          <w:strike w:val="false"/>
          <w:dstrike w:val="false"/>
          <w:spacing w:val="0"/>
          <w:u w:val="none"/>
          <w:effect w:val="none"/>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purchase price of the restricted stock awards are determined by the Board. Unvested shares of restricted stock awards may not be sold or transferred by the holder. These restrictions lapse according to the time- based vesting conditions of each award. The Company has the option to repurchase the restricted stock awards at the original purchase price if the grantee terminates its working relationship with the Company prior to the vesting date. There were no unvested restricted stock awards as of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Restricted Stock Units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Restricted stock units represent an unsecured promise to grant at no cost a set number of shares of common stock upon vesting. With respect to restricted stock units, recipients are not entitled to cash dividends and have no voting rights during the vesting period.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Company’s restricted stock award and restricted stock unit activity for the year ended December 31, 2023: </w:t>
      </w:r>
    </w:p>
    <w:p>
      <w:pPr>
        <w:pStyle w:val="TextBody"/>
        <w:bidi w:val="0"/>
        <w:spacing w:before="0" w:after="0"/>
        <w:jc w:val="left"/>
        <w:rPr>
          <w:shd w:fill="FFFFFF" w:val="clear"/>
        </w:rPr>
      </w:pPr>
      <w:r>
        <w:rPr>
          <w:shd w:fill="FFFFFF" w:val="clear"/>
        </w:rPr>
        <w:t> </w:t>
      </w:r>
    </w:p>
    <w:tbl>
      <w:tblPr>
        <w:tblW w:w="6470" w:type="dxa"/>
        <w:jc w:val="left"/>
        <w:tblInd w:w="0" w:type="dxa"/>
        <w:tblLayout w:type="fixed"/>
        <w:tblCellMar>
          <w:top w:w="0" w:type="dxa"/>
          <w:left w:w="0" w:type="dxa"/>
          <w:bottom w:w="0" w:type="dxa"/>
          <w:right w:w="0" w:type="dxa"/>
        </w:tblCellMar>
      </w:tblPr>
      <w:tblGrid>
        <w:gridCol w:w="3710"/>
        <w:gridCol w:w="120"/>
        <w:gridCol w:w="60"/>
        <w:gridCol w:w="1055"/>
        <w:gridCol w:w="155"/>
        <w:gridCol w:w="120"/>
        <w:gridCol w:w="283"/>
        <w:gridCol w:w="892"/>
        <w:gridCol w:w="75"/>
      </w:tblGrid>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w:t>
              <w:br/>
              <w:t>of 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Grant Date</w:t>
              <w:br/>
              <w:t>Fair Value</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Issued and unvested as of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940,392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3.62</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1,548,117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1.65</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(305,502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4.74</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 cancelled or expired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(1,246,649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2.02</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Issued and unvested as of December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936,358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2.13</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total fair value of restricted stock awards and restricted stock units vested during the years ended December 31, 2023 and 2022 was $1,449 and $9, respectively.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Stock-Based Compensation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Stock-based compensation expense was allocated as follows: </w:t>
      </w:r>
    </w:p>
    <w:p>
      <w:pPr>
        <w:pStyle w:val="TextBody"/>
        <w:bidi w:val="0"/>
        <w:spacing w:before="0" w:after="0"/>
        <w:jc w:val="left"/>
        <w:rPr>
          <w:shd w:fill="FFFFFF" w:val="clear"/>
        </w:rPr>
      </w:pPr>
      <w:r>
        <w:rPr>
          <w:shd w:fill="FFFFFF" w:val="clear"/>
        </w:rPr>
        <w:t> </w:t>
      </w:r>
    </w:p>
    <w:tbl>
      <w:tblPr>
        <w:tblW w:w="6217" w:type="dxa"/>
        <w:jc w:val="left"/>
        <w:tblInd w:w="0" w:type="dxa"/>
        <w:tblLayout w:type="fixed"/>
        <w:tblCellMar>
          <w:top w:w="0" w:type="dxa"/>
          <w:left w:w="0" w:type="dxa"/>
          <w:bottom w:w="0" w:type="dxa"/>
          <w:right w:w="0" w:type="dxa"/>
        </w:tblCellMar>
      </w:tblPr>
      <w:tblGrid>
        <w:gridCol w:w="3365"/>
        <w:gridCol w:w="60"/>
        <w:gridCol w:w="223"/>
        <w:gridCol w:w="895"/>
        <w:gridCol w:w="95"/>
        <w:gridCol w:w="191"/>
        <w:gridCol w:w="223"/>
        <w:gridCol w:w="1090"/>
        <w:gridCol w:w="75"/>
      </w:tblGrid>
      <w:tr>
        <w:trPr/>
        <w:tc>
          <w:tcPr>
            <w:tcW w:w="3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1,927</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2,785</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4,964</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8,737</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89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109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6,891</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11,522</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895"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109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total unrecognized compensation cost related to unvested stock-based awards was $4,221, which is expected to be recognized over a weighted-average period of 1.6 years.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10. 401(k) Savings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established a defined contribution savings plan under Section 401(k) of the Internal Revenue Code. Eligible employees may make pretax contributions to the 401(k) Plan up to statutory limits. At the election of the Board, the Company may elect to match employee contributions. Currently, the Company makes matching contributions at a rate of 50% of the first 8% of employee contributions. The Company recorded $388 and $599 of expenses related to its 401(k) match for the years ended December 31, 2023 and 2022,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11. Commitments and Contingencies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Lease Agreements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Refer to Note 6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Leases</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 xml:space="preserve">for discussion of the commitments associated with the Company’s lease portfolio.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Other Funding Commitments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enters into contracts in the normal course of business with contract research organizations and clinical sites for the conduct of clinical trials, professional consultants for expert advice and other vendors for clinical supply manufacturing or other services. These contracts are generally cancellable, with notice, at the Company’s option and do not have significant cancellation penalties.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Guarantees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from time to time, may be party to litigation arising in the ordinary course of business. The Company was not subject to any material legal proceedings during the years ended December 31, 2023 and 2022, and to the best of its knowledge, no material legal proceedings are currently pending or threatened.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Other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is also party to various agreements, principally relating to licensed technology, that require future payments relating to milestones not met as of December 31, 2023 and 2022, or royalties on future sales of specified products. No milestone or royalty payments under these agreements are expected to be payable in the immediate future. See Note 3 </w:t>
      </w:r>
    </w:p>
    <w:p>
      <w:pPr>
        <w:pStyle w:val="TextBody"/>
        <w:bidi w:val="0"/>
        <w:spacing w:before="120" w:after="0"/>
        <w:jc w:val="left"/>
        <w:rPr>
          <w:caps w:val="false"/>
          <w:smallCaps w:val="false"/>
          <w:spacing w:val="0"/>
          <w:shd w:fill="FFFFFF" w:val="clear"/>
        </w:rPr>
      </w:pPr>
      <w:r>
        <w:rPr>
          <w:caps w:val="false"/>
          <w:smallCaps w:val="false"/>
          <w:spacing w:val="0"/>
          <w:shd w:fill="FFFFFF" w:val="clear"/>
        </w:rPr>
        <w:t>“</w:t>
      </w:r>
      <w:r>
        <w:rPr>
          <w:rFonts w:ascii="Times New Roman" w:hAnsi="Times New Roman"/>
          <w:i/>
          <w:caps w:val="false"/>
          <w:smallCaps w:val="false"/>
          <w:spacing w:val="0"/>
          <w:sz w:val="20"/>
          <w:shd w:fill="FFFFFF" w:val="clear"/>
        </w:rPr>
        <w:t>Licenses Agreements”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discussion of these arrangements.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12. 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2023, the Company recorded $377 of current income tax expense as a result of the Asset Sale completed on June 9, 2023, and for the year ended December 31, 2022, the Company did not record a current income tax expense or (benefit) due to current and historical losses incurred by the Company. For the years ended December 31, 2023 and 2022 the Company did not record a deferred income tax expense or (benefit) due to current and historical losses incurred by the Company. The Company’s operations are predominantly based in the United States and the Company’s foreign subsidiaries generated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de minimis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losses for the years ended December 31, 2023 and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reconciliation of income tax expense (benefit) computed at the statutory federal income tax rate to the Company’s effective tax rate as reflected in the consolidated financial statements is as follows: </w:t>
      </w:r>
    </w:p>
    <w:p>
      <w:pPr>
        <w:pStyle w:val="TextBody"/>
        <w:bidi w:val="0"/>
        <w:spacing w:before="0" w:after="0"/>
        <w:jc w:val="left"/>
        <w:rPr>
          <w:shd w:fill="FFFFFF" w:val="clear"/>
        </w:rPr>
      </w:pPr>
      <w:r>
        <w:rPr>
          <w:shd w:fill="FFFFFF" w:val="clear"/>
        </w:rPr>
        <w:t> </w:t>
      </w:r>
    </w:p>
    <w:tbl>
      <w:tblPr>
        <w:tblW w:w="6657" w:type="dxa"/>
        <w:jc w:val="left"/>
        <w:tblInd w:w="0" w:type="dxa"/>
        <w:tblLayout w:type="fixed"/>
        <w:tblCellMar>
          <w:top w:w="0" w:type="dxa"/>
          <w:left w:w="0" w:type="dxa"/>
          <w:bottom w:w="0" w:type="dxa"/>
          <w:right w:w="0" w:type="dxa"/>
        </w:tblCellMar>
      </w:tblPr>
      <w:tblGrid>
        <w:gridCol w:w="3590"/>
        <w:gridCol w:w="60"/>
        <w:gridCol w:w="109"/>
        <w:gridCol w:w="942"/>
        <w:gridCol w:w="503"/>
        <w:gridCol w:w="109"/>
        <w:gridCol w:w="109"/>
        <w:gridCol w:w="945"/>
        <w:gridCol w:w="290"/>
      </w:tblGrid>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 income tax expense at statutory rate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21.0</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3.7</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5.2</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4.4</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(1.2</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rate differential</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(0.4</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(4.3</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0.8</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(48.2</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(25.8</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37.0</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rate changes</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(8.0</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true ups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(2.2</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to return</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bdr w:val="single" w:sz="2" w:space="1" w:color="000000"/>
              </w:rPr>
            </w:pPr>
            <w:r>
              <w:rPr>
                <w:bdr w:val="single" w:sz="2" w:space="1" w:color="000000"/>
              </w:rPr>
              <w:t> </w:t>
            </w:r>
          </w:p>
        </w:tc>
        <w:tc>
          <w:tcPr>
            <w:tcW w:w="942" w:type="dxa"/>
            <w:tcBorders/>
            <w:vAlign w:val="center"/>
          </w:tcPr>
          <w:p>
            <w:pPr>
              <w:pStyle w:val="TableContents"/>
              <w:bidi w:val="0"/>
              <w:spacing w:before="0" w:after="0"/>
              <w:jc w:val="left"/>
              <w:rPr>
                <w:bdr w:val="single" w:sz="2" w:space="1" w:color="000000"/>
              </w:rPr>
            </w:pPr>
            <w:r>
              <w:rPr>
                <w:bdr w:val="single" w:sz="2" w:space="1" w:color="000000"/>
              </w:rPr>
              <w:t>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bdr w:val="single" w:sz="2" w:space="1" w:color="000000"/>
              </w:rPr>
            </w:pPr>
            <w:r>
              <w:rPr>
                <w:bdr w:val="single" w:sz="2" w:space="1" w:color="000000"/>
              </w:rPr>
              <w:t> </w:t>
            </w:r>
          </w:p>
        </w:tc>
        <w:tc>
          <w:tcPr>
            <w:tcW w:w="945"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3.0</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bdr w:val="double" w:sz="6" w:space="1" w:color="000000"/>
              </w:rPr>
            </w:pPr>
            <w:r>
              <w:rPr>
                <w:bdr w:val="double" w:sz="6" w:space="1" w:color="000000"/>
              </w:rPr>
              <w:t> </w:t>
            </w:r>
          </w:p>
        </w:tc>
        <w:tc>
          <w:tcPr>
            <w:tcW w:w="942" w:type="dxa"/>
            <w:tcBorders/>
            <w:vAlign w:val="center"/>
          </w:tcPr>
          <w:p>
            <w:pPr>
              <w:pStyle w:val="TableContents"/>
              <w:bidi w:val="0"/>
              <w:spacing w:before="0" w:after="0"/>
              <w:jc w:val="left"/>
              <w:rPr>
                <w:bdr w:val="double" w:sz="6" w:space="1" w:color="000000"/>
              </w:rPr>
            </w:pPr>
            <w:r>
              <w:rPr>
                <w:bdr w:val="double" w:sz="6" w:space="1" w:color="000000"/>
              </w:rPr>
              <w:t>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bdr w:val="double" w:sz="6" w:space="1" w:color="000000"/>
              </w:rPr>
            </w:pPr>
            <w:r>
              <w:rPr>
                <w:bdr w:val="double" w:sz="6" w:space="1" w:color="000000"/>
              </w:rPr>
              <w:t> </w:t>
            </w:r>
          </w:p>
        </w:tc>
        <w:tc>
          <w:tcPr>
            <w:tcW w:w="945"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Deferred taxes are recognized for temporary differences between the basis of assets and liabilities for financial statement and income tax purposes. The significant components of the Company’s deferred tax assets and liabilities are comprised of the following: </w:t>
      </w:r>
    </w:p>
    <w:p>
      <w:pPr>
        <w:pStyle w:val="TextBody"/>
        <w:bidi w:val="0"/>
        <w:spacing w:before="0" w:after="0"/>
        <w:jc w:val="left"/>
        <w:rPr>
          <w:shd w:fill="FFFFFF" w:val="clear"/>
        </w:rPr>
      </w:pPr>
      <w:r>
        <w:rPr>
          <w:shd w:fill="FFFFFF" w:val="clear"/>
        </w:rPr>
        <w:t> </w:t>
      </w:r>
    </w:p>
    <w:tbl>
      <w:tblPr>
        <w:tblW w:w="7025" w:type="dxa"/>
        <w:jc w:val="left"/>
        <w:tblInd w:w="0" w:type="dxa"/>
        <w:tblLayout w:type="fixed"/>
        <w:tblCellMar>
          <w:top w:w="0" w:type="dxa"/>
          <w:left w:w="0" w:type="dxa"/>
          <w:bottom w:w="0" w:type="dxa"/>
          <w:right w:w="0" w:type="dxa"/>
        </w:tblCellMar>
      </w:tblPr>
      <w:tblGrid>
        <w:gridCol w:w="4430"/>
        <w:gridCol w:w="120"/>
        <w:gridCol w:w="140"/>
        <w:gridCol w:w="875"/>
        <w:gridCol w:w="155"/>
        <w:gridCol w:w="120"/>
        <w:gridCol w:w="140"/>
        <w:gridCol w:w="875"/>
        <w:gridCol w:w="170"/>
      </w:tblGrid>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foreign and state 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80,185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91,416</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8,471</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Capitalized start up and organizational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3,610</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Licensing agreements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3,929</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174 R&amp;D capitalization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25,045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16,307</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227</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Accruals and 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1,032</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118,776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125,015</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(118,658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(124,695</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320</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(102</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ROU Asset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(218</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(320</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evaluated the positive and negative evidence bearing upon the realizability of its deferred tax assets. As of December 31, 2023 and 2022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2023 and 2022. The valuation allowance decreased by $6,037 during the year ended December 31, 2023, due primarily to net operating income, and increased by $23,802 during the year ended December 31, 2022, due primarily to net operating losses generated.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Company had U.S. federal net operating loss carryforwards of $298,282 and $340,350, respectively, that may be available to offset future income tax liabilities. All of the U.S. federal tax operating losses can be carried forward indefinitely. As of December 31, 2023 and 2022, the Company also had U.S. state net operating loss carryforwards of $277,626 and $316,668, respectively, which may be available to offset future taxable income. These losses expire at various dates beginning in 2041.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Company had federal research and development tax credit carryforwards of $6,395 and $6,824, respectively. Included in the $6,395 of federal tax credit carryforwards are $2,162 of orphan drug credits. Through the year ended December 31, 2020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2023 and 2022, the Company had state research and development tax credit carryforwards of approximately $2,482 and $2,084, respectively, available to reduce future tax liabilities which expire at various dates beginning in 2035. For all years through December 31, 2023, the Company generated research credits but has not conducted a study to document the qualified activities. This study may result in an adjustment to the Company’s research and development credit carryforwards.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percentage points,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The Company performed an analysis to determine if an ownership change and subsequent limitation of its attributes had occurred.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 and may result in a limitation in future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files income tax returns in the United States, Australia and Canada, and in several states. The foreign, federal and state income tax returns are generally subject to tax examinations for the tax years ended December 31, 2020 through December 31, 2023. To the extent the Company has tax attribute carryforwards, the tax years in which the attribute was generated may still be adjusted upon examination by foreign tax authorities, the Internal Revenue Service, or state tax authorities to the extent utilized in a future period.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13. Net Income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the computation of the Company’s basic and diluted net income (loss) per share for the years ended December 31, 2023 and 2022 (in thousands, except share and per share amounts): </w:t>
      </w:r>
    </w:p>
    <w:p>
      <w:pPr>
        <w:pStyle w:val="TextBody"/>
        <w:bidi w:val="0"/>
        <w:spacing w:before="0" w:after="0"/>
        <w:jc w:val="left"/>
        <w:rPr>
          <w:shd w:fill="FFFFFF" w:val="clear"/>
        </w:rPr>
      </w:pPr>
      <w:r>
        <w:rPr>
          <w:shd w:fill="FFFFFF" w:val="clear"/>
        </w:rPr>
        <w:t> </w:t>
      </w:r>
    </w:p>
    <w:tbl>
      <w:tblPr>
        <w:tblW w:w="9072" w:type="dxa"/>
        <w:jc w:val="left"/>
        <w:tblInd w:w="0" w:type="dxa"/>
        <w:tblLayout w:type="fixed"/>
        <w:tblCellMar>
          <w:top w:w="0" w:type="dxa"/>
          <w:left w:w="0" w:type="dxa"/>
          <w:bottom w:w="0" w:type="dxa"/>
          <w:right w:w="0" w:type="dxa"/>
        </w:tblCellMar>
      </w:tblPr>
      <w:tblGrid>
        <w:gridCol w:w="6065"/>
        <w:gridCol w:w="120"/>
        <w:gridCol w:w="143"/>
        <w:gridCol w:w="1124"/>
        <w:gridCol w:w="61"/>
        <w:gridCol w:w="122"/>
        <w:gridCol w:w="143"/>
        <w:gridCol w:w="1124"/>
        <w:gridCol w:w="170"/>
      </w:tblGrid>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stockholders—basic and diluted</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right"/>
              <w:rPr/>
            </w:pPr>
            <w:r>
              <w:rPr/>
              <w:t>12,157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right"/>
              <w:rPr/>
            </w:pPr>
            <w:r>
              <w:rPr/>
              <w:t>(105,890</w:t>
            </w:r>
          </w:p>
        </w:tc>
        <w:tc>
          <w:tcPr>
            <w:tcW w:w="17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4" w:type="dxa"/>
            <w:tcBorders/>
            <w:vAlign w:val="center"/>
          </w:tcPr>
          <w:p>
            <w:pPr>
              <w:pStyle w:val="TableContents"/>
              <w:bidi w:val="0"/>
              <w:spacing w:before="0" w:after="0"/>
              <w:jc w:val="left"/>
              <w:rPr>
                <w:bdr w:val="double" w:sz="6" w:space="1" w:color="000000"/>
              </w:rPr>
            </w:pPr>
            <w:r>
              <w:rPr>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44,327,204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43,738,739</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to purchase common shares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119,677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stock units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95,010</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stock purchase plan</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26,027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1124" w:type="dxa"/>
            <w:tcBorders/>
            <w:vAlign w:val="center"/>
          </w:tcPr>
          <w:p>
            <w:pPr>
              <w:pStyle w:val="TableContents"/>
              <w:bidi w:val="0"/>
              <w:spacing w:before="0" w:after="0"/>
              <w:jc w:val="left"/>
              <w:rPr>
                <w:bdr w:val="single" w:sz="2" w:space="1" w:color="000000"/>
              </w:rPr>
            </w:pPr>
            <w:r>
              <w:rPr>
                <w:bdr w:val="single" w:sz="2"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11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outstanding—diluted</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44,567,918</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43,738,739</w:t>
            </w:r>
          </w:p>
        </w:tc>
        <w:tc>
          <w:tcPr>
            <w:tcW w:w="170" w:type="dxa"/>
            <w:tcBorders/>
            <w:shd w:fill="CCEEFF" w:val="clear"/>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4" w:type="dxa"/>
            <w:tcBorders/>
            <w:vAlign w:val="center"/>
          </w:tcPr>
          <w:p>
            <w:pPr>
              <w:pStyle w:val="TableContents"/>
              <w:bidi w:val="0"/>
              <w:spacing w:before="0" w:after="0"/>
              <w:jc w:val="left"/>
              <w:rPr>
                <w:bdr w:val="double" w:sz="6" w:space="1" w:color="000000"/>
              </w:rPr>
            </w:pPr>
            <w:r>
              <w:rPr>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stockholders—basic</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right"/>
              <w:rPr/>
            </w:pPr>
            <w:r>
              <w:rPr/>
              <w:t>0.27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right"/>
              <w:rPr/>
            </w:pPr>
            <w:r>
              <w:rPr/>
              <w:t>(2.42</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stockholders—diluted</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0.27</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(2.42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Diluted earnings per share includes the assumed exercise of dilutive options, the assumed issuance of unvested restricted stock units, and the assumed issuance of shares under the employee stock purchase plan using the treasury stock method unless the effect is anti-dilutive. The treasury stock method assumes that proceeds, including cash received from the exercise of employee stock options and the average unrecognized compensation expense for unvested share-based compensation awards, would be used to purchase the Company’s common stock at the average market price during the period.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for purposes of the diluted net income (loss) per share calculation, stock options, unvested restricted stock units are considered to be common stock equivalents but have been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excluded from the calculation of diluted net loss per share, as their effect would be anti-dilutive for all periods presented. Therefore, the weighted-average number of common shares outstanding used to calculate both basic and diluted net income (loss) per share attributable to common stockholders is the same.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potentially dilutive common stock equivalents, presented based on amounts outstanding at each period end, were excluded from the computation of diluted net income (loss) per share attributable to common stockholders for the periods indicated: </w:t>
      </w:r>
    </w:p>
    <w:p>
      <w:pPr>
        <w:pStyle w:val="TextBody"/>
        <w:bidi w:val="0"/>
        <w:spacing w:before="0" w:after="0"/>
        <w:jc w:val="left"/>
        <w:rPr>
          <w:shd w:fill="FFFFFF" w:val="clear"/>
        </w:rPr>
      </w:pPr>
      <w:r>
        <w:rPr>
          <w:shd w:fill="FFFFFF" w:val="clear"/>
        </w:rPr>
        <w:t> </w:t>
      </w:r>
    </w:p>
    <w:tbl>
      <w:tblPr>
        <w:tblW w:w="5798" w:type="dxa"/>
        <w:jc w:val="left"/>
        <w:tblInd w:w="0" w:type="dxa"/>
        <w:tblLayout w:type="fixed"/>
        <w:tblCellMar>
          <w:top w:w="0" w:type="dxa"/>
          <w:left w:w="0" w:type="dxa"/>
          <w:bottom w:w="0" w:type="dxa"/>
          <w:right w:w="0" w:type="dxa"/>
        </w:tblCellMar>
      </w:tblPr>
      <w:tblGrid>
        <w:gridCol w:w="2885"/>
        <w:gridCol w:w="120"/>
        <w:gridCol w:w="68"/>
        <w:gridCol w:w="1120"/>
        <w:gridCol w:w="68"/>
        <w:gridCol w:w="137"/>
        <w:gridCol w:w="68"/>
        <w:gridCol w:w="1257"/>
        <w:gridCol w:w="75"/>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3,765,482</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9,423,271</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pPr>
            <w:r>
              <w:rPr/>
              <w:t>662,103</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940,392</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2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anti-dilutive shares</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4,427,585</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10,363,663</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20" w:type="dxa"/>
            <w:tcBorders/>
            <w:vAlign w:val="center"/>
          </w:tcPr>
          <w:p>
            <w:pPr>
              <w:pStyle w:val="TableContents"/>
              <w:bidi w:val="0"/>
              <w:spacing w:before="0" w:after="0"/>
              <w:jc w:val="left"/>
              <w:rPr>
                <w:bdr w:val="double" w:sz="6" w:space="1" w:color="000000"/>
              </w:rPr>
            </w:pPr>
            <w:r>
              <w:rPr>
                <w:bdr w:val="double" w:sz="6"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25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14. Related Party Transactions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UHN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connection with the Company’s entry into a license agreement with UHN on January 27, 2016, the Company issued UHN 1,161,665 shares of its common stock. Upon the closing of the IPO in 2018, as UHN’s fully-diluted percentage ownership of the Company was reduced within a range of specified percentages, the Company was obligated to pay UHN an amount of $2,000, which was paid in July 2018. For the years ended December 31, 2023 and 2022, the Company recognized $130 and $200, respectively, of research and development expense related to the license agreements with UHN. Refer to Note 3 </w:t>
      </w:r>
    </w:p>
    <w:p>
      <w:pPr>
        <w:pStyle w:val="TextBody"/>
        <w:bidi w:val="0"/>
        <w:spacing w:before="120" w:after="0"/>
        <w:jc w:val="left"/>
        <w:rPr>
          <w:caps w:val="false"/>
          <w:smallCaps w:val="false"/>
          <w:spacing w:val="0"/>
          <w:shd w:fill="FFFFFF" w:val="clear"/>
        </w:rPr>
      </w:pPr>
      <w:r>
        <w:rPr>
          <w:caps w:val="false"/>
          <w:smallCaps w:val="false"/>
          <w:spacing w:val="0"/>
          <w:shd w:fill="FFFFFF" w:val="clear"/>
        </w:rPr>
        <w:t>“</w:t>
      </w:r>
      <w:r>
        <w:rPr>
          <w:rFonts w:ascii="Times New Roman" w:hAnsi="Times New Roman"/>
          <w:i/>
          <w:caps w:val="false"/>
          <w:smallCaps w:val="false"/>
          <w:spacing w:val="0"/>
          <w:sz w:val="20"/>
          <w:shd w:fill="FFFFFF" w:val="clear"/>
        </w:rPr>
        <w:t>License and Purchase Agreements”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additional information regarding the UHN license agreements.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Others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2023 and 2022, the Company recorded expenses of $934 and $3,200, respectively, related to a sublease to rent lab space, provided by an entity affiliated with a member of the board.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15. Restructuring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 Company recognized total restructuring expenses of $3,015 for the year ended December 31, 2023, recognized as $1,800 and $1,215 of research and development and general and administrative expense, respectively, in the consolidated statement of operations and comprehensive income (loss). These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employee termination benefits are related to affected employees, who were offered separation benefits, including severance payments. Approximately $479 of these expenses were related to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stock-based compensation expense and there are no remaining accrued payments at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workforce was reduced by 11 employees in the October 2023 Workforce Reduction effective as of October 31, 2023. Under the October 2023 Workforce Reduction, the Company recognized total restructuring expenses of $1,093 for the year ended December 31, 2023 recognized as research and development expense in the consolidated statement of operations and comprehensive income (loss). These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 termination benefits are related to affected employees, who were offered separation benefits, including severance payments. There are no remaining accrued payments at December 31, 2023.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Company’s workforce was reduced by 8 employees in the December 2023 Workforce Reduction effective as of December 31, 2023. Under the December 2023 Workforce Reduction, the Company recognized total restructuring expenses of $950 for the year ended December 31, 2023 recognized as $866 and $64 of research and development and general and administrative expense, respectively, in the consolidated statement of operations and comprehensive income (loss). The Company estimates an additional $86 of expense related to future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employee benefits. These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employee termination benefits are related to affected employees, who were offered separation benefits, including severance payments. As of December 31, 2023, the Company had $521 in accrued payments. The Company expects that payments of these costs will substantially be made through the end of the first quarter of 2024. </w:t>
      </w:r>
    </w:p>
    <w:p>
      <w:pPr>
        <w:pStyle w:val="TextBody"/>
        <w:bidi w:val="0"/>
        <w:spacing w:before="0" w:after="0"/>
        <w:jc w:val="left"/>
        <w:rPr>
          <w:shd w:fill="FFFFFF" w:val="clear"/>
        </w:rPr>
      </w:pPr>
      <w:r>
        <w:rPr>
          <w:shd w:fill="FFFFFF" w:val="clear"/>
        </w:rPr>
        <w:t> </w:t>
      </w:r>
    </w:p>
    <w:tbl>
      <w:tblPr>
        <w:tblW w:w="9660" w:type="dxa"/>
        <w:jc w:val="left"/>
        <w:tblInd w:w="0" w:type="dxa"/>
        <w:tblLayout w:type="fixed"/>
        <w:tblCellMar>
          <w:top w:w="0" w:type="dxa"/>
          <w:left w:w="0" w:type="dxa"/>
          <w:bottom w:w="0" w:type="dxa"/>
          <w:right w:w="0" w:type="dxa"/>
        </w:tblCellMar>
      </w:tblPr>
      <w:tblGrid>
        <w:gridCol w:w="7250"/>
        <w:gridCol w:w="120"/>
        <w:gridCol w:w="382"/>
        <w:gridCol w:w="1738"/>
        <w:gridCol w:w="170"/>
      </w:tblGrid>
      <w:tr>
        <w:trPr/>
        <w:tc>
          <w:tcPr>
            <w:tcW w:w="7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Employee Severance</w:t>
              <w:br/>
              <w:t>and Other Benefits</w:t>
            </w:r>
          </w:p>
        </w:tc>
        <w:tc>
          <w:tcPr>
            <w:tcW w:w="17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2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p>
        </w:tc>
        <w:tc>
          <w:tcPr>
            <w:tcW w:w="1738" w:type="dxa"/>
            <w:tcBorders/>
            <w:shd w:fill="CCEEFF" w:val="clear"/>
            <w:vAlign w:val="center"/>
          </w:tcPr>
          <w:p>
            <w:pPr>
              <w:pStyle w:val="TableContents"/>
              <w:bidi w:val="0"/>
              <w:spacing w:before="0" w:after="283"/>
              <w:jc w:val="right"/>
              <w:rPr/>
            </w:pPr>
            <w:r>
              <w:rPr/>
              <w:t>5,058</w:t>
            </w:r>
          </w:p>
        </w:tc>
        <w:tc>
          <w:tcPr>
            <w:tcW w:w="17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payments</w:t>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1738" w:type="dxa"/>
            <w:tcBorders/>
            <w:vAlign w:val="center"/>
          </w:tcPr>
          <w:p>
            <w:pPr>
              <w:pStyle w:val="TableContents"/>
              <w:bidi w:val="0"/>
              <w:spacing w:before="0" w:after="283"/>
              <w:jc w:val="right"/>
              <w:rPr/>
            </w:pPr>
            <w:r>
              <w:rPr/>
              <w:t>(4,058</w:t>
            </w:r>
          </w:p>
        </w:tc>
        <w:tc>
          <w:tcPr>
            <w:tcW w:w="17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2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738" w:type="dxa"/>
            <w:tcBorders/>
            <w:shd w:fill="CCEEFF" w:val="clear"/>
            <w:vAlign w:val="center"/>
          </w:tcPr>
          <w:p>
            <w:pPr>
              <w:pStyle w:val="TableContents"/>
              <w:bidi w:val="0"/>
              <w:spacing w:before="0" w:after="283"/>
              <w:jc w:val="right"/>
              <w:rPr/>
            </w:pPr>
            <w:r>
              <w:rPr/>
              <w:t>(479</w:t>
            </w:r>
          </w:p>
        </w:tc>
        <w:tc>
          <w:tcPr>
            <w:tcW w:w="17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jc w:val="left"/>
              <w:rPr>
                <w:bdr w:val="single" w:sz="2" w:space="1" w:color="000000"/>
              </w:rPr>
            </w:pPr>
            <w:r>
              <w:rPr>
                <w:bdr w:val="single" w:sz="2" w:space="1" w:color="000000"/>
              </w:rPr>
              <w:t> </w:t>
            </w:r>
          </w:p>
        </w:tc>
        <w:tc>
          <w:tcPr>
            <w:tcW w:w="173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Liability included in accrued expenses and other current liabilities at December 31, 2023</w:t>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w:t>
            </w:r>
          </w:p>
        </w:tc>
        <w:tc>
          <w:tcPr>
            <w:tcW w:w="1738" w:type="dxa"/>
            <w:tcBorders/>
            <w:vAlign w:val="center"/>
          </w:tcPr>
          <w:p>
            <w:pPr>
              <w:pStyle w:val="TableContents"/>
              <w:bidi w:val="0"/>
              <w:spacing w:before="0" w:after="283"/>
              <w:jc w:val="right"/>
              <w:rPr/>
            </w:pPr>
            <w:r>
              <w:rPr/>
              <w:t>521</w:t>
            </w:r>
          </w:p>
        </w:tc>
        <w:tc>
          <w:tcPr>
            <w:tcW w:w="17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jc w:val="left"/>
              <w:rPr>
                <w:bdr w:val="double" w:sz="6" w:space="1" w:color="000000"/>
              </w:rPr>
            </w:pPr>
            <w:r>
              <w:rPr>
                <w:bdr w:val="double" w:sz="6" w:space="1" w:color="000000"/>
              </w:rPr>
              <w:t> </w:t>
            </w:r>
          </w:p>
        </w:tc>
        <w:tc>
          <w:tcPr>
            <w:tcW w:w="173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16. Subsequent Events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30, 2024, following a comprehensive review of strategic alternatives, the Company entered into the Merger Agreement with Tectonic pursuant to which a wholly-owned subsidiary of the Company will merge with and into Tectonic, with Tectonic surviving as a wholly-owned subsidiary of the Company. The Merger was unanimously approved by the Company’s Board, and the Company’s Board resolved to recommend approval of the Merger Agreement to the Company’s stockholders.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closing of the Merger is subject to approval by the Company’s and Tectonic’s stockholders as well as other customary closing conditions, including the effectiveness of a registration statement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with the SEC in connection with the transaction and Nasdaq’s approval of the listing of the shares of the Company’s common stock to be issued in connection with the Merger. If the Company is unable to satisfy certain closing conditions or if other mutual closing conditions are not satisfied, Tectonic will not be obligated to complete the Merger. The Merger Agreement contains certain termination rights of each of the Company and Tectonic. Under certain circumstances detailed in the Merger Agreement, the Company could be required to pay Tectonic a termination fee of approximately $2,713 or Tectonic could be required to pay the Company a termination fee of approximately $4,900. In addition, in certain circumstances upon the termination of the Merger Agreement, the Company could be required to pay the costs and expenses of Tectonic in an amount not to exceed $650. If the Merger is completed, the business of Tectonic will continue as the business of the combined company. </w:t>
      </w:r>
    </w:p>
    <w:p>
      <w:pPr>
        <w:pStyle w:val="TextBody"/>
        <w:bidi w:val="0"/>
        <w:spacing w:before="0" w:after="0"/>
        <w:jc w:val="left"/>
        <w:rPr>
          <w:shd w:fill="FFFFFF" w:val="clear"/>
        </w:rPr>
      </w:pPr>
      <w:r>
        <w:rPr>
          <w:shd w:fill="FFFFFF" w:val="clear"/>
        </w:rPr>
        <w:t> </w:t>
      </w:r>
    </w:p>
    <w:p>
      <w:pPr>
        <w:pStyle w:val="TextBody"/>
        <w:bidi w:val="0"/>
        <w:jc w:val="center"/>
        <w:rPr>
          <w:rFonts w:ascii="Times New Roman" w:hAnsi="Times New Roman"/>
          <w:sz w:val="20"/>
          <w:shd w:fill="FFFFFF" w:val="clear"/>
        </w:rPr>
      </w:pPr>
      <w:r>
        <w:rPr>
          <w:rFonts w:ascii="Times New Roman" w:hAnsi="Times New Roman"/>
          <w:sz w:val="20"/>
          <w:shd w:fill="FFFFFF" w:val="clear"/>
        </w:rPr>
        <w:t>F-31</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92" w:name="fina770053_1"/>
      <w:bookmarkEnd w:id="192"/>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Board of Directors of Tectonic Therapeutic,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Tectonic Therapeutic, Inc. and subsidiaries (the “Company”) as of December 31, 2023 and 2022, the related consolidated statements of operations and other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the Company has experienced recurring losses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SAFE Liabilities — Refer to Notes 2, 3, and 13 to the financial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Critical Audit Matter Description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the Company entered into Simple Agreements for Future Equity (“SAFEs”) with certain existing investors. The SAFEs allow for redemption based upon certain triggering events that are outside of the control of the Company. As disclosed in Note 2 to the financial statements, the Company accounts for the SAFEs as liabilities at fair value on a recurring basis. Triggering events include an equity financing, public listing transaction, change of control or dissolution. On December 31, 2023, the probabilities of an equity financing, public listing transaction, and dissolution were estimated to be 10%, 87.5%, and 2.5%, respectively. The estimated time to redemption was five months for an equity financing or dissolution and four months for a public listing transaction. Changes in fair value are recognized in the Company’s statements of operations and other comprehensive loss. As of December 31, 2023, the Company has recorded SAFE liabilities of $30.5 million. </w:t>
      </w:r>
    </w:p>
    <w:p>
      <w:pPr>
        <w:pStyle w:val="TextBody"/>
        <w:bidi w:val="0"/>
        <w:spacing w:before="240" w:after="0"/>
        <w:jc w:val="left"/>
        <w:rPr>
          <w:rFonts w:ascii="Times New Roman" w:hAnsi="Times New Roman"/>
          <w:sz w:val="20"/>
        </w:rPr>
      </w:pPr>
      <w:r>
        <w:rPr>
          <w:rFonts w:ascii="Times New Roman" w:hAnsi="Times New Roman"/>
          <w:sz w:val="20"/>
        </w:rPr>
        <w:t xml:space="preserve">We identified the valuation of the SAFE liabilities as a critical audit matter due to the level of judgment required by management. This requires a high degree of auditor judgment, subjectivity, and an increased extent of effort in performing procedures to evaluate the reasonableness of management’s estimate, including the need to involve our fair value specialists. </w:t>
      </w:r>
    </w:p>
    <w:p>
      <w:pPr>
        <w:pStyle w:val="TextBody"/>
        <w:bidi w:val="0"/>
        <w:spacing w:before="360" w:after="0"/>
        <w:jc w:val="left"/>
        <w:rPr>
          <w:rFonts w:ascii="Times New Roman" w:hAnsi="Times New Roman"/>
          <w:i/>
          <w:sz w:val="20"/>
        </w:rPr>
      </w:pPr>
      <w:r>
        <w:rPr>
          <w:rFonts w:ascii="Times New Roman" w:hAnsi="Times New Roman"/>
          <w:i/>
          <w:sz w:val="20"/>
        </w:rPr>
        <w:t xml:space="preserve">How the Critical Audit Matter Was Addressed in the Audit </w:t>
      </w:r>
    </w:p>
    <w:p>
      <w:pPr>
        <w:pStyle w:val="TextBody"/>
        <w:bidi w:val="0"/>
        <w:spacing w:before="120" w:after="0"/>
        <w:jc w:val="left"/>
        <w:rPr>
          <w:rFonts w:ascii="Times New Roman" w:hAnsi="Times New Roman"/>
          <w:sz w:val="20"/>
        </w:rPr>
      </w:pPr>
      <w:r>
        <w:rPr>
          <w:rFonts w:ascii="Times New Roman" w:hAnsi="Times New Roman"/>
          <w:sz w:val="20"/>
        </w:rPr>
        <w:t xml:space="preserve">Our audit procedures related to the valuation of the SAFE liabilities included the following, among others: </w:t>
      </w:r>
    </w:p>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read and obtained an understanding of the key terms of the SAFE agreements, including the triggering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evaluated the reasonableness of the valuation assumptions, including triggering event probabilities and the estimated time to triggering events, by comparing the assumptions to known and knowable information at the valuation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the assistance of our fair value specialists, we evaluated the reasonableness of (i) the valuation methodology, and (ii) the discount rate, including testing the source information underlying the determination of the discount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April 12, 2024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3" w:name="fina770053_2"/>
      <w:bookmarkEnd w:id="193"/>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10"/>
        <w:gridCol w:w="120"/>
        <w:gridCol w:w="140"/>
        <w:gridCol w:w="755"/>
        <w:gridCol w:w="155"/>
        <w:gridCol w:w="60"/>
        <w:gridCol w:w="140"/>
        <w:gridCol w:w="755"/>
        <w:gridCol w:w="170"/>
      </w:tblGrid>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28,769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35,966</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1,076</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30,884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37,042</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equipment and improvements,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3,608</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right-of-use assets,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2,159</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right-of-use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3,787</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587</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39,399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47,209</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574</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8,141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5,814</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30,515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950</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liability -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499</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40,888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7,837</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 net of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2,992</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liability - net of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1,351</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43,408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12,236</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preferred stock (Series A-1, A-2, A-3 and A-4), $0.0001 par value; 6,825,483 shares authorized as of December 31, 2023 and 2022; 6,825,483 shares issued and outstanding as of December 31, 2023 and 2022; aggregate liquidation preference of $87,459 as of December 31, 2023 and 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80,627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80,627</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$0.0001 par value; 11,947,558 shares authorized as of December 31, 2023 and 2022; 2,634,246 and 2,525,771 shares issued and outstanding as of December 31, 2023 and 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2,127</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(90,604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(47,781</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(84,636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(45,654</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39,399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47,209</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4" w:name="fina770053_3"/>
      <w:bookmarkEnd w:id="194"/>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8705" w:type="dxa"/>
        <w:jc w:val="left"/>
        <w:tblInd w:w="0" w:type="dxa"/>
        <w:tblLayout w:type="fixed"/>
        <w:tblCellMar>
          <w:top w:w="0" w:type="dxa"/>
          <w:left w:w="0" w:type="dxa"/>
          <w:bottom w:w="0" w:type="dxa"/>
          <w:right w:w="0" w:type="dxa"/>
        </w:tblCellMar>
      </w:tblPr>
      <w:tblGrid>
        <w:gridCol w:w="5960"/>
        <w:gridCol w:w="120"/>
        <w:gridCol w:w="140"/>
        <w:gridCol w:w="980"/>
        <w:gridCol w:w="155"/>
        <w:gridCol w:w="60"/>
        <w:gridCol w:w="140"/>
        <w:gridCol w:w="980"/>
        <w:gridCol w:w="170"/>
      </w:tblGrid>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36,966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25,654</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7,176</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32,830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(32,830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643</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149</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(32,180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(32,180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(16.34</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2,373,674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1,969,418</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(42,834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(32,180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5" w:name="fina770053_4"/>
      <w:bookmarkEnd w:id="195"/>
      <w:r>
        <w:rPr>
          <w:rFonts w:ascii="Times New Roman" w:hAnsi="Times New Roman"/>
          <w:b/>
          <w:sz w:val="20"/>
        </w:rPr>
        <w:t xml:space="preserve">CONSOLIDATED STATEMENTS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12980" w:type="dxa"/>
        <w:jc w:val="left"/>
        <w:tblInd w:w="0" w:type="dxa"/>
        <w:tblLayout w:type="fixed"/>
        <w:tblCellMar>
          <w:top w:w="0" w:type="dxa"/>
          <w:left w:w="0" w:type="dxa"/>
          <w:bottom w:w="0" w:type="dxa"/>
          <w:right w:w="0" w:type="dxa"/>
        </w:tblCellMar>
      </w:tblPr>
      <w:tblGrid>
        <w:gridCol w:w="1265"/>
        <w:gridCol w:w="60"/>
        <w:gridCol w:w="60"/>
        <w:gridCol w:w="980"/>
        <w:gridCol w:w="60"/>
        <w:gridCol w:w="60"/>
        <w:gridCol w:w="160"/>
        <w:gridCol w:w="700"/>
        <w:gridCol w:w="60"/>
        <w:gridCol w:w="60"/>
        <w:gridCol w:w="30"/>
        <w:gridCol w:w="30"/>
        <w:gridCol w:w="60"/>
        <w:gridCol w:w="60"/>
        <w:gridCol w:w="60"/>
        <w:gridCol w:w="980"/>
        <w:gridCol w:w="155"/>
        <w:gridCol w:w="60"/>
        <w:gridCol w:w="301"/>
        <w:gridCol w:w="559"/>
        <w:gridCol w:w="60"/>
        <w:gridCol w:w="60"/>
        <w:gridCol w:w="313"/>
        <w:gridCol w:w="1252"/>
        <w:gridCol w:w="60"/>
        <w:gridCol w:w="60"/>
        <w:gridCol w:w="598"/>
        <w:gridCol w:w="1432"/>
        <w:gridCol w:w="155"/>
        <w:gridCol w:w="60"/>
        <w:gridCol w:w="214"/>
        <w:gridCol w:w="1156"/>
        <w:gridCol w:w="155"/>
        <w:gridCol w:w="60"/>
        <w:gridCol w:w="221"/>
        <w:gridCol w:w="1194"/>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6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Additional</w:t>
              <w:br/>
              <w:t>Paid-in 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3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Accumulated Other</w:t>
              <w:br/>
              <w:t>Comprehensive</w:t>
              <w:br/>
              <w:t>Loss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Accumulated</w:t>
              <w:b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Total</w:t>
              <w:br/>
              <w:t>Stockholders’</w:t>
              <w:br/>
              <w:t>Deficit</w:t>
            </w:r>
          </w:p>
        </w:tc>
        <w:tc>
          <w:tcPr>
            <w:tcW w:w="170" w:type="dxa"/>
            <w:vMerge w:val="restart"/>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56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203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6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Balances as of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3,941,829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42,610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2,297,901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(15,601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(14,960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Issuance of Series A preferred stock—net of issuance costs of $12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2,883,654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38,017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1,119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1,119</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227,486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363</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Repurchase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(32,180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(32,180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single" w:sz="2" w:space="1" w:color="000000"/>
              </w:pBdr>
              <w:bidi w:val="0"/>
              <w:spacing w:before="0" w:after="0"/>
              <w:jc w:val="left"/>
              <w:rPr/>
            </w:pPr>
            <w:r>
              <w:rPr/>
              <w:t> </w:t>
            </w:r>
          </w:p>
        </w:tc>
        <w:tc>
          <w:tcPr>
            <w:tcW w:w="7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pBdr>
                <w:top w:val="single" w:sz="2" w:space="1" w:color="000000"/>
              </w:pBdr>
              <w:bidi w:val="0"/>
              <w:spacing w:before="0" w:after="0"/>
              <w:jc w:val="left"/>
              <w:rPr/>
            </w:pPr>
            <w:r>
              <w:rPr/>
              <w:t> </w:t>
            </w:r>
          </w:p>
        </w:tc>
        <w:tc>
          <w:tcPr>
            <w:tcW w:w="5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pBdr>
                <w:top w:val="single" w:sz="2" w:space="1" w:color="000000"/>
              </w:pBdr>
              <w:bidi w:val="0"/>
              <w:spacing w:before="0" w:after="0"/>
              <w:jc w:val="left"/>
              <w:rPr/>
            </w:pPr>
            <w:r>
              <w:rPr/>
              <w:t> </w:t>
            </w:r>
          </w:p>
        </w:tc>
        <w:tc>
          <w:tcPr>
            <w:tcW w:w="12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pBdr>
                <w:top w:val="single" w:sz="2" w:space="1" w:color="000000"/>
              </w:pBdr>
              <w:bidi w:val="0"/>
              <w:spacing w:before="0" w:after="0"/>
              <w:jc w:val="left"/>
              <w:rPr/>
            </w:pPr>
            <w:r>
              <w:rPr/>
              <w:t> </w:t>
            </w:r>
          </w:p>
        </w:tc>
        <w:tc>
          <w:tcPr>
            <w:tcW w:w="14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15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6,825,483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80,627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2,525,771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2,127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(47,781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(45,654</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1,121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1,121</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Contribution from related party investors related to SAFEs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2,610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2,610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(42,823</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single" w:sz="2" w:space="1" w:color="000000"/>
              </w:pBdr>
              <w:bidi w:val="0"/>
              <w:spacing w:before="0" w:after="0"/>
              <w:jc w:val="left"/>
              <w:rPr/>
            </w:pPr>
            <w:r>
              <w:rPr/>
              <w:t> </w:t>
            </w:r>
          </w:p>
        </w:tc>
        <w:tc>
          <w:tcPr>
            <w:tcW w:w="7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pBdr>
                <w:top w:val="single" w:sz="2" w:space="1" w:color="000000"/>
              </w:pBdr>
              <w:bidi w:val="0"/>
              <w:spacing w:before="0" w:after="0"/>
              <w:jc w:val="left"/>
              <w:rPr/>
            </w:pPr>
            <w:r>
              <w:rPr/>
              <w:t> </w:t>
            </w:r>
          </w:p>
        </w:tc>
        <w:tc>
          <w:tcPr>
            <w:tcW w:w="5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pBdr>
                <w:top w:val="single" w:sz="2" w:space="1" w:color="000000"/>
              </w:pBdr>
              <w:bidi w:val="0"/>
              <w:spacing w:before="0" w:after="0"/>
              <w:jc w:val="left"/>
              <w:rPr/>
            </w:pPr>
            <w:r>
              <w:rPr/>
              <w:t> </w:t>
            </w:r>
          </w:p>
        </w:tc>
        <w:tc>
          <w:tcPr>
            <w:tcW w:w="12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pBdr>
                <w:top w:val="single" w:sz="2" w:space="1" w:color="000000"/>
              </w:pBdr>
              <w:bidi w:val="0"/>
              <w:spacing w:before="0" w:after="0"/>
              <w:jc w:val="left"/>
              <w:rPr/>
            </w:pPr>
            <w:r>
              <w:rPr/>
              <w:t> </w:t>
            </w:r>
          </w:p>
        </w:tc>
        <w:tc>
          <w:tcPr>
            <w:tcW w:w="14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15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6,825,483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80,627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2,634,246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5,979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(90,604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(84,636</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double" w:sz="6" w:space="1" w:color="000000"/>
              </w:pBdr>
              <w:bidi w:val="0"/>
              <w:spacing w:before="0" w:after="0"/>
              <w:jc w:val="left"/>
              <w:rPr/>
            </w:pPr>
            <w:r>
              <w:rPr/>
              <w:t> </w:t>
            </w:r>
          </w:p>
        </w:tc>
        <w:tc>
          <w:tcPr>
            <w:tcW w:w="7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pBdr>
                <w:top w:val="double" w:sz="6" w:space="1" w:color="000000"/>
              </w:pBdr>
              <w:bidi w:val="0"/>
              <w:spacing w:before="0" w:after="0"/>
              <w:jc w:val="left"/>
              <w:rPr/>
            </w:pPr>
            <w:r>
              <w:rPr/>
              <w:t> </w:t>
            </w:r>
          </w:p>
        </w:tc>
        <w:tc>
          <w:tcPr>
            <w:tcW w:w="55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pBdr>
                <w:top w:val="double" w:sz="6" w:space="1" w:color="000000"/>
              </w:pBdr>
              <w:bidi w:val="0"/>
              <w:spacing w:before="0" w:after="0"/>
              <w:jc w:val="left"/>
              <w:rPr/>
            </w:pPr>
            <w:r>
              <w:rPr/>
              <w:t> </w:t>
            </w:r>
          </w:p>
        </w:tc>
        <w:tc>
          <w:tcPr>
            <w:tcW w:w="125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pBdr>
                <w:top w:val="double" w:sz="6" w:space="1" w:color="000000"/>
              </w:pBdr>
              <w:bidi w:val="0"/>
              <w:spacing w:before="0" w:after="0"/>
              <w:jc w:val="left"/>
              <w:rPr/>
            </w:pPr>
            <w:r>
              <w:rPr/>
              <w:t> </w:t>
            </w:r>
          </w:p>
        </w:tc>
        <w:tc>
          <w:tcPr>
            <w:tcW w:w="143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15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double" w:sz="6" w:space="1" w:color="000000"/>
              </w:pBdr>
              <w:bidi w:val="0"/>
              <w:spacing w:before="0" w:after="0"/>
              <w:jc w:val="left"/>
              <w:rPr/>
            </w:pPr>
            <w:r>
              <w:rPr/>
              <w:t> </w:t>
            </w:r>
          </w:p>
        </w:tc>
        <w:tc>
          <w:tcPr>
            <w:tcW w:w="119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6" w:name="fina770053_5"/>
      <w:bookmarkEnd w:id="196"/>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8840" w:type="dxa"/>
        <w:jc w:val="left"/>
        <w:tblInd w:w="0" w:type="dxa"/>
        <w:tblLayout w:type="fixed"/>
        <w:tblCellMar>
          <w:top w:w="0" w:type="dxa"/>
          <w:left w:w="0" w:type="dxa"/>
          <w:bottom w:w="0" w:type="dxa"/>
          <w:right w:w="0" w:type="dxa"/>
        </w:tblCellMar>
      </w:tblPr>
      <w:tblGrid>
        <w:gridCol w:w="6545"/>
        <w:gridCol w:w="120"/>
        <w:gridCol w:w="140"/>
        <w:gridCol w:w="755"/>
        <w:gridCol w:w="155"/>
        <w:gridCol w:w="60"/>
        <w:gridCol w:w="140"/>
        <w:gridCol w:w="755"/>
        <w:gridCol w:w="170"/>
      </w:tblGrid>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(32,180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1,006</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1,119</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fixed asset disposal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862</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Non-cash issuance of common stock for the exchange of license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363</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(643</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(376</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(1,234</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4,509</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(1,105</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(27,637</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equipment and improvements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(2,088</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(2,088</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SAFEs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preferred stock - net of issuance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38,017</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 of common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finance lease obligations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(393</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33,747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37,628</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Effect of exchange rate changes on 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7,903</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36,553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28,650</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end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29,356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36,553</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Components of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28,769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35,966</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587</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29,356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36,553</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equipment through finance leases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1,340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7" w:name="fina770053_6"/>
      <w:bookmarkEnd w:id="197"/>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215"/>
        <w:gridCol w:w="5645"/>
      </w:tblGrid>
      <w:tr>
        <w:trPr/>
        <w:tc>
          <w:tcPr>
            <w:tcW w:w="215" w:type="dxa"/>
            <w:tcBorders/>
            <w:vAlign w:val="center"/>
          </w:tcPr>
          <w:p>
            <w:pPr>
              <w:pStyle w:val="TableContents"/>
              <w:bidi w:val="0"/>
              <w:spacing w:before="0" w:after="283"/>
              <w:jc w:val="left"/>
              <w:rPr>
                <w:b/>
              </w:rPr>
            </w:pPr>
            <w:r>
              <w:rPr>
                <w:b/>
              </w:rPr>
              <w:t>1.</w:t>
            </w:r>
          </w:p>
        </w:tc>
        <w:tc>
          <w:tcPr>
            <w:tcW w:w="56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BUSINESS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(“Company”) is a biotechnology company focused on the discovery and development of therapeutic proteins and antibodies that modulate the activity of G-protein coupled receptors (“GPCRs”). Leveraging its proprietary technology platform called GEODe™ (“GPCRs Engineered for Optimal Discovery”), the Company is focused on developing biologic medicines that overcome the existing challenges of GPCR-targeted drug discovery and harness the human body to modify the course of disease. The Company focuses on areas of significant unmet medical need, often where therapeutic options are poor or nonexistent, as these are areas where new medicines have the potential to improve patient quality of life. The Company was incorporated on June 5, 2019 under the laws of the State of Delaware and has its principal headquarters in Watertown, Massachusetts.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Company had an accumulated deficit of $90.6 million and has incurred losses and negative cash flows from operations since inception, including a net loss of $42.8 million for the year ended December 31, 2023. To date, the Company has financed its operations primarily through the issuance of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is seeking to complete a planned reverse merger with AVROBIO, Inc. (“AVROBIO”) (see Note 14). In the event the Company does not complete the reverse merger, the Company plans to seek additional funding through private equity financings, debt financings or other capital sources, including collaboration agreements, strategic alliances and licensing arrangements. The Company may not be able to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financing on acceptable terms, or at all. Although management continues to pursue these plans, there is no assurance that the Company will be successful in obtaining sufficient funding on terms acceptable to the Company to fund continuing operations, if at all. Management believes that the Company’s cash and cash equivalents of $28.8 million as of December 31, 2023 is not sufficient to maintain its current and planned operations for at least the next twelve months following the issuance date of these consolidated financial statements. Management has concluded that these conditions, in aggregate, raise 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fund future operations through private and potentially public equity financings, debt financings, collaboration agreements, strategic alliances and licensing arrangements. The availability of sufficient funding to alleviate the conditions that raise substantial doubt are not within management’s control and cannot be assessed as being probable of occurring. If the Company is unable to obtain adequate financing, management will evaluate alternatives, which may include a delay, reduction or elimination of research and development programs, product portfolio expansion or commercialization efforts, which could adversely affect future business prospects, and the ability to continue operations. </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215"/>
        <w:gridCol w:w="5060"/>
      </w:tblGrid>
      <w:tr>
        <w:trPr/>
        <w:tc>
          <w:tcPr>
            <w:tcW w:w="215" w:type="dxa"/>
            <w:tcBorders/>
            <w:vAlign w:val="center"/>
          </w:tcPr>
          <w:p>
            <w:pPr>
              <w:pStyle w:val="TableContents"/>
              <w:bidi w:val="0"/>
              <w:spacing w:before="0" w:after="283"/>
              <w:jc w:val="left"/>
              <w:rPr>
                <w:b/>
              </w:rPr>
            </w:pPr>
            <w:r>
              <w:rPr>
                <w:b/>
              </w:rPr>
              <w:t>2.</w:t>
            </w:r>
          </w:p>
        </w:tc>
        <w:tc>
          <w:tcPr>
            <w:tcW w:w="5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accounts of the Company and its subsidiaries. All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the fair value determination of the SAFEs and the preferred stock tranche liability settled in 2022. Management’s estimates are based on historical experience and various other assumptions that it believes are reasonable under the circumstances. Changes in estimates are recorded in the period in which they become known.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the Company’s wholly-owned foreign subsidiary in Australia is Australian Dollars. </w:t>
      </w:r>
    </w:p>
    <w:p>
      <w:pPr>
        <w:pStyle w:val="TextBody"/>
        <w:bidi w:val="0"/>
        <w:spacing w:before="120" w:after="0"/>
        <w:jc w:val="left"/>
        <w:rPr>
          <w:rFonts w:ascii="Times New Roman" w:hAnsi="Times New Roman"/>
          <w:sz w:val="20"/>
        </w:rPr>
      </w:pPr>
      <w:r>
        <w:rPr>
          <w:rFonts w:ascii="Times New Roman" w:hAnsi="Times New Roman"/>
          <w:sz w:val="20"/>
        </w:rPr>
        <w:t xml:space="preserve">Accounts and transactions denominated in currencies other than an entity’s functional currency are remeasured into the functional currency using the appropriate foreign exchange rate in accordance with FASB ASC Topic 830, </w:t>
      </w:r>
      <w:r>
        <w:rPr>
          <w:rFonts w:ascii="Times New Roman" w:hAnsi="Times New Roman"/>
          <w:i/>
          <w:sz w:val="20"/>
        </w:rPr>
        <w:t>Foreign Currency Matters.</w:t>
      </w:r>
      <w:r>
        <w:rPr>
          <w:rFonts w:ascii="Times New Roman" w:hAnsi="Times New Roman"/>
          <w:sz w:val="20"/>
        </w:rPr>
        <w:t xml:space="preserve"> All foreign currency transaction gains and losses arising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from transactions denominated in foreign currencies are recorded in the statements of operations and comprehensive loss as other income or expenses. The financial statements of the Australian subsidiary will be translated into the Company’s U.S. dollar reporting currency at each reporting date, and the translation adjustments will be recognized as an unrealized gain or loss within the cumulative translation adjustment.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considered the Company’s organizational structure and the information regularly reviewed and evaluated by the Company’s chief operating decision maker (“CODM”) when deciding how to allocate resources and assess performance. The Company has determined that its CODM is its Chief Executive Officer. The CODM reviews the financial information on a consolidated basis for purposes of evaluating financial performance and allocating resources. On the basis of this factor, the Company determined that it operates and manages its business as a single operating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three months or less when purchased to be cash equivalents. As of December 31, 2023, cash equivalents were comprised primarily of money market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all cash whose use is limited by contractual provisions as restricted cash. Restricted cash arises from the requirement for the Company to maintain cash of $0.6 million as collateral in connection with a letter of credit issued with the corporate headquarters and lab space lease agreement entered into on November 19, 2020 and may not access these funds until after the expiration of the initial lease term on December 31, 2025. The Company has classified the certificate of deposits collateralizing the letter of credits issued as a security deposit as restricted cash in the noncurrent asset section of the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 of direct legal, accounting and other fees and costs directly attributable to the Company’s proposed Merger (see Note 14). The Company capitalized deferred offering costs incurred prior to the close of the Merger which are included in deferred offering costs within the consolidated balance sheet as of December 31, 2023. The deferred offering costs were $0.7 million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and Off-Balance Sheet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expose the Company to concentrations of credit risk consist primarily of cash and cash equivalents. Periodically, the Company maintains deposits in accredited financial institutions in excess of governmental insured limits. The Company deposits its cash and cash equivalents in financial institutions that it believes have a high credit quality and have not experienced any losses on such accounts and does not believe it is exposed to any unusual credit risk beyond the normal credit risk associated with commercial banking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Equipment and Improvements </w:t>
      </w:r>
    </w:p>
    <w:p>
      <w:pPr>
        <w:pStyle w:val="TextBody"/>
        <w:bidi w:val="0"/>
        <w:spacing w:before="120" w:after="0"/>
        <w:jc w:val="left"/>
        <w:rPr>
          <w:rFonts w:ascii="Times New Roman" w:hAnsi="Times New Roman"/>
          <w:sz w:val="20"/>
        </w:rPr>
      </w:pPr>
      <w:r>
        <w:rPr>
          <w:rFonts w:ascii="Times New Roman" w:hAnsi="Times New Roman"/>
          <w:sz w:val="20"/>
        </w:rPr>
        <w:t xml:space="preserve">Property, equipment and improvements are stated at cost less accumulated depreciation. Depreciation is calculated using the straight-line method over the estimated useful life of each asset. Construction in process is capitalized and once the asset is operational, the Company will commence depreciation of the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Upon retirement or sale, the cost of assets disposed of and the related accumulated depreciation are removed from the accounts and any resulting gain or loss is recognized. Expenditures for major renewals and improvements that extend the useful life of the asset are capitalized as part of the asset. Expenditures for repairs and maintenance are expensed as incurred. </w:t>
      </w:r>
    </w:p>
    <w:p>
      <w:pPr>
        <w:pStyle w:val="TextBody"/>
        <w:bidi w:val="0"/>
        <w:spacing w:before="120" w:after="0"/>
        <w:jc w:val="left"/>
        <w:rPr>
          <w:rFonts w:ascii="Times New Roman" w:hAnsi="Times New Roman"/>
          <w:sz w:val="20"/>
        </w:rPr>
      </w:pPr>
      <w:r>
        <w:rPr>
          <w:rFonts w:ascii="Times New Roman" w:hAnsi="Times New Roman"/>
          <w:sz w:val="20"/>
        </w:rPr>
        <w:t xml:space="preserve">The estimated useful lives for property and equipment are as follows: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2960"/>
        <w:gridCol w:w="60"/>
        <w:gridCol w:w="3440"/>
      </w:tblGrid>
      <w:tr>
        <w:trPr/>
        <w:tc>
          <w:tcPr>
            <w:tcW w:w="2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0" w:type="dxa"/>
            <w:tcBorders>
              <w:bottom w:val="single" w:sz="8" w:space="0" w:color="000000"/>
            </w:tcBorders>
            <w:tcMar>
              <w:bottom w:w="28" w:type="dxa"/>
            </w:tcMar>
            <w:vAlign w:val="center"/>
          </w:tcPr>
          <w:p>
            <w:pPr>
              <w:pStyle w:val="TableContents"/>
              <w:bidi w:val="0"/>
              <w:spacing w:before="0" w:after="283"/>
              <w:jc w:val="center"/>
              <w:rPr>
                <w:b/>
              </w:rPr>
            </w:pPr>
            <w:r>
              <w:rPr>
                <w:b/>
              </w:rPr>
              <w:t>Estimated Useful Life</w:t>
            </w:r>
          </w:p>
        </w:tc>
      </w:tr>
      <w:tr>
        <w:trPr/>
        <w:tc>
          <w:tcPr>
            <w:tcW w:w="2960" w:type="dxa"/>
            <w:tcBorders/>
            <w:vAlign w:val="center"/>
          </w:tcPr>
          <w:p>
            <w:pPr>
              <w:pStyle w:val="TableContents"/>
              <w:bidi w:val="0"/>
              <w:spacing w:before="0" w:after="283"/>
              <w:jc w:val="left"/>
              <w:rPr/>
            </w:pPr>
            <w:r>
              <w:rPr/>
              <w:t>Laboratory equipment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t>5 years</w:t>
            </w:r>
          </w:p>
        </w:tc>
      </w:tr>
      <w:tr>
        <w:trPr/>
        <w:tc>
          <w:tcPr>
            <w:tcW w:w="2960" w:type="dxa"/>
            <w:tcBorders/>
            <w:vAlign w:val="center"/>
          </w:tcPr>
          <w:p>
            <w:pPr>
              <w:pStyle w:val="TableContents"/>
              <w:bidi w:val="0"/>
              <w:spacing w:before="0" w:after="283"/>
              <w:jc w:val="left"/>
              <w:rPr/>
            </w:pPr>
            <w:r>
              <w:rPr/>
              <w:t>Furniture and office equipment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t>5 years</w:t>
            </w:r>
          </w:p>
        </w:tc>
      </w:tr>
      <w:tr>
        <w:trPr/>
        <w:tc>
          <w:tcPr>
            <w:tcW w:w="2960" w:type="dxa"/>
            <w:tcBorders/>
            <w:vAlign w:val="center"/>
          </w:tcPr>
          <w:p>
            <w:pPr>
              <w:pStyle w:val="TableContents"/>
              <w:bidi w:val="0"/>
              <w:spacing w:before="0" w:after="283"/>
              <w:jc w:val="left"/>
              <w:rPr/>
            </w:pPr>
            <w:r>
              <w:rPr/>
              <w:t>Computer equipment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t>3 years</w:t>
            </w:r>
          </w:p>
        </w:tc>
      </w:tr>
      <w:tr>
        <w:trPr/>
        <w:tc>
          <w:tcPr>
            <w:tcW w:w="2960" w:type="dxa"/>
            <w:tcBorders/>
            <w:vAlign w:val="center"/>
          </w:tcPr>
          <w:p>
            <w:pPr>
              <w:pStyle w:val="TableContents"/>
              <w:bidi w:val="0"/>
              <w:spacing w:before="0" w:after="283"/>
              <w:jc w:val="left"/>
              <w:rPr/>
            </w:pPr>
            <w:r>
              <w:rPr/>
              <w:t>Leasehold improvements</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t>Shorter of the lease term or 10 years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long-lived assets, which consist primarily of property, equipment and improvements, for impairment whenever events or changes in circumstances indicate that the carrying amount of such assets may not be recoverable. The carrying amount of a long-lived asset is not recoverable if it exceeds the sum of the undiscounted cash flows expected to result from the use and eventual disposition of the asset. If the carrying amount of the asset is not recoverable, an impairment will be recognized and measured as the amount by which the carrying amount of the asset exceeds its fair value. No impairments were identified during the years ended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to sell an asset or paid to transfer a liability in an orderly transaction between market participants at the measurement date. Market participants are independent buyers or sellers in the principal (or most advantageous) market for the asset or liability. Fair value measurements are categorized into a three-tier hierarchy on the basis of the inputs to valuation techniques used to measure fair value. The hierarchy gives the highest priority to unadjusted quoted prices in active markets for identical assets or liabilities (Level 1) and the lowest priority to unobservable inputs (Level 3). </w:t>
      </w:r>
    </w:p>
    <w:p>
      <w:pPr>
        <w:pStyle w:val="TextBody"/>
        <w:bidi w:val="0"/>
        <w:spacing w:before="120" w:after="0"/>
        <w:jc w:val="left"/>
        <w:rPr>
          <w:rFonts w:ascii="Times New Roman" w:hAnsi="Times New Roman"/>
          <w:sz w:val="20"/>
        </w:rPr>
      </w:pPr>
      <w:r>
        <w:rPr>
          <w:rFonts w:ascii="Times New Roman" w:hAnsi="Times New Roman"/>
          <w:sz w:val="20"/>
        </w:rPr>
        <w:t xml:space="preserve">The three levels of the fair value hierarchy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1</w:t>
            </w:r>
            <w:r>
              <w:rPr>
                <w:rFonts w:ascii="Times New Roman" w:hAnsi="Times New Roman"/>
                <w:sz w:val="20"/>
              </w:rPr>
              <w:t xml:space="preserve">—Unadjusted quoted prices in active markets for identical, unrestricted assets or liabilities that are accessible at the measurement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2</w:t>
            </w:r>
            <w:r>
              <w:rPr>
                <w:rFonts w:ascii="Times New Roman" w:hAnsi="Times New Roman"/>
                <w:sz w:val="20"/>
              </w:rPr>
              <w:t xml:space="preserve">—Quoted prices for similar assets or liabilities in active markets, quoted prices for identical or similar asset or liabilities in markets that are not active or valuations with significant inputs other than quoted prices that are observable, either directly or indirectly; and,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3</w:t>
            </w:r>
            <w:r>
              <w:rPr>
                <w:rFonts w:ascii="Times New Roman" w:hAnsi="Times New Roman"/>
                <w:sz w:val="20"/>
              </w:rPr>
              <w:t xml:space="preserve">—Prices or valuations that require inputs that are both significant to the fair value measurement and unobservable.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instruments are categorized in their entirety in the same level of the fair value hierarchy as the lowest level input that is significant to the entire fair value 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Research and development expenses consist primarily of costs incurred for the development of the proprietary platform and product candidates and include (1) expenses incurred under agreements with third parties and contract research organizations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(“CROs”), (2) costs to acquire and develop supplies for research, (3) salaries and related costs, including stock-based compensation, (4) depreciation and other facility-related and overhead expenses, (5) licensing and license maintenance fees incurred under license option and license agreements where no alternative future use exists, and (6) costs related to compliance with regulatory requirements. The Company recognizes external research and development costs based on an evaluation of the progress to completion of specific tasks using information provided from the Company’s contracted service providers.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Prepaid and Accrued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Substantial portions of the Company’s research are performed by third-party laboratories, CROs and other vendors. These vendors generally bill monthly for services performed, or bill based upon milestone achievement. The Company accrues expenses based upon estimates of percentage of work completed and the contract milestones remaining. On occasion, the Company is obligated to make upfront payments upon execution of research and development agreements. Advance payments, including nonrefundable amounts, for goods or services that will be used or rendered for future research and development activities are capitalized as prepaid expenses until such goods are delivered or the related services are performed. The Company estimates the period over which such services will be performed based on the terms of the agreements as well as the level of effort to be expended in each period. Since inception, the Company has not experienced any material differences between the actual and estimated timing of performance or level of effort.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2022, the Company adopted ASC Topic 842, </w:t>
      </w:r>
      <w:r>
        <w:rPr>
          <w:rFonts w:ascii="Times New Roman" w:hAnsi="Times New Roman"/>
          <w:i/>
          <w:sz w:val="20"/>
        </w:rPr>
        <w:t>Leases</w:t>
      </w:r>
      <w:r>
        <w:rPr>
          <w:rFonts w:ascii="Times New Roman" w:hAnsi="Times New Roman"/>
          <w:sz w:val="20"/>
        </w:rPr>
        <w:t xml:space="preserve"> (“ASC 842”), and elected to apply the modified retrospective transition approach using the effective date as the initial date of application. ASC 842 requires that lessees recognize leases with a term greater than twelve months on the balance sheet. The Company’s existing capital leases will now be referred to as finance leases. The Company’s existing operating sublease arrangement in which it is the sublessor will remain off balance sheet and lease income will continue to be recognized on a straight-lined basis. ASC 842 provided a number of optional practical expedients in transition. The Company applied the package of three practical expedients to leases that commenced prior to the January 1, 2022. Use of these practical expedients allowed the Company not to reassess: (i) whether any expired or existing contracts were or contained leases; (ii) the lease classification for any expired or existing leases; and (iii) the treatment of initial direct costs for existing leases. </w:t>
      </w:r>
    </w:p>
    <w:p>
      <w:pPr>
        <w:pStyle w:val="TextBody"/>
        <w:bidi w:val="0"/>
        <w:spacing w:before="120" w:after="0"/>
        <w:jc w:val="left"/>
        <w:rPr>
          <w:rFonts w:ascii="Times New Roman" w:hAnsi="Times New Roman"/>
          <w:sz w:val="20"/>
        </w:rPr>
      </w:pPr>
      <w:r>
        <w:rPr>
          <w:rFonts w:ascii="Times New Roman" w:hAnsi="Times New Roman"/>
          <w:sz w:val="20"/>
        </w:rPr>
        <w:t xml:space="preserve">On January 1, 2022, the Company recorded operating lease liabilities and their corresponding right-of-use (“ROU”) assets based on the present value of lease payments over the remaining lease term. The Company used its incremental borrowing rate (“IBR”) on January 1, 2022, to calculate the present value of the Company’s leases. The IBR approximates the rate of interest the Company would have to pay to borrow on a collateralized basis over a similar term. The determination of the appropriate IBR was dependent on several factors, including the economic environment, the amount of the borrowing, the Company’s estimated credit rating and the lease term at the time of measurement. The Company’s unsecured credit rating was estimated via a synthetic credit rating model which included fundamental analysis. The Company’s unsecured credit rating was then adjusted upward using a notching technique to reflect collateralization. </w:t>
      </w:r>
    </w:p>
    <w:p>
      <w:pPr>
        <w:pStyle w:val="TextBody"/>
        <w:bidi w:val="0"/>
        <w:spacing w:before="120" w:after="0"/>
        <w:jc w:val="left"/>
        <w:rPr>
          <w:rFonts w:ascii="Times New Roman" w:hAnsi="Times New Roman"/>
          <w:sz w:val="20"/>
        </w:rPr>
      </w:pPr>
      <w:r>
        <w:rPr>
          <w:rFonts w:ascii="Times New Roman" w:hAnsi="Times New Roman"/>
          <w:sz w:val="20"/>
        </w:rPr>
        <w:t xml:space="preserve">For leases entered into after January 1, 2022, the Company applies the guidance in ASC 842, and determines whether an arrangement is or contains a lease at inception. A contract is or contains a lease if the contract conveys the right to control the use of an identified asset for a period of time in exchange for consideration. The Company classifies a lease at the lease commencement date, when control of the underlying asset is transferred from the lessor to the lessee, as an operating or finance lease and records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ROU asset and a lease liability on the consolidated balance sheet for any lease with a lease term greater than twelve months. The Company has elected the practical expedient to not recognize leases with a lease term of twelve months or less on the balance sheet (“short-term leases”) and will recognize lease payments for such short-term leases as an expense on a straight-line basis.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that contain both lease and non-lease components. Non-lease components may include items such as maintenance, utilities, or other operating costs. The Company has elected to combine the lease and associated non-lease components in its lease arrangements as a single lease component for all real estate and equipment leases. Variable lease costs, such as utilities or maintenance costs, are not included in the measurement of ROU assets and lease liabilities, but rather are expensed when the events determining the amount of variable lease consideration to be paid occurs. </w:t>
      </w:r>
    </w:p>
    <w:p>
      <w:pPr>
        <w:pStyle w:val="TextBody"/>
        <w:bidi w:val="0"/>
        <w:spacing w:before="120" w:after="0"/>
        <w:jc w:val="left"/>
        <w:rPr>
          <w:rFonts w:ascii="Times New Roman" w:hAnsi="Times New Roman"/>
          <w:sz w:val="20"/>
        </w:rPr>
      </w:pPr>
      <w:r>
        <w:rPr>
          <w:rFonts w:ascii="Times New Roman" w:hAnsi="Times New Roman"/>
          <w:sz w:val="20"/>
        </w:rPr>
        <w:t xml:space="preserve">For lease arrangements in which the Company is a lessee, finance and operating ROU assets and liabilities are recognized at the lease commencement date based on the present value of the lease payments over the lease term determined using the discount rate implicit in the lease if readily determinable. When the rate implicit in the lease is not readily determinable, the Company utilizes its IBR, which is determined on the basis of information that is available at the lease commencement date. ROU assets are further adjusted for items such as initial direct costs, prepaid rent, or lease incentives. Operating lease costs are expensed using the straight-line method as an operating expense over the lease term unless the operating lease ROU asset has been impaired.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between (i) a portion that is recorded as interest expense and (ii) a portion that reduces the finance lease liability associated with the lease.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SAFE instruments do not represent legal form debt (i.e., no creditor rights), but allow for redemption based upon certain triggering events that are outside of the control of the Company. The Company accounts for a SAFE as a liability at fair value on a recurring basis. Triggering events include an equity financing, public listing transaction, change of control or dissolution. Changes in the liability’s fair value are recognized in the Company’s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convertible preferred stock outside of stockholders’ deficit on the consolidated balance sheets as it is redeemable upon the occurrence of a Deemed Liquidation Event, as defined below, that is not strictly within the Company’s control. The issuance of convertible preferred stock is recorded at the issuance price less any amounts allocated to freestanding liabilities associated with the issuance and related allocable issuance costs. The carrying values of the convertible preferred stock have not been adjusted to their liquidation preferences because it is not considered probable that a Deemed Liquidation Event will occur and make such stock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and records the expense related to stock-based payment awards based on the fair value of those awards as determined on the date of grant. The Company recognizes stock-based compensation expense over the requisite service period of the individual grant, which is generally equal to the vesting period, using the straight-line method. For stock options with performance conditions, the Company records stock-based compensation expense when it is deemed probable that the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condition will be met. The Company uses the Black-Scholes-Merton (“BSM”) option-pricing model to determine the fair value of stock options. The BSM option-pricing model requires the use of assumptions to determine the fair value of the stock options. The fair value of the shares of common stock underlying stock options has historically been determined by the Board of Directors (“Board”), with input from management and contemporaneous third-party valuations, as there was no public market for the common stock. Given the absence of a public market for the Company’s common stock, and in accordance with the American Institute of Certified Public Accountants Practice Aid, Valuation of Privately Held Company Equity Securities Issued as Compensation, the Board exercised reasonable judgment and considered numerous objective and subjective factors to determine the best estimate of the fair value of the Company’s common stock at each stock option grant 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calculates the fair value of stock options granted by using the BSM option-pricing model with the following assumptions: </w:t>
      </w:r>
    </w:p>
    <w:p>
      <w:pPr>
        <w:pStyle w:val="TextBody"/>
        <w:bidi w:val="0"/>
        <w:spacing w:before="12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—The estimated volatility is determined by evaluating the average historical volatility of a peer group of companies for the period preceding the stock option grant for a term that is approximately equal to the stock options’ expected term. </w:t>
      </w:r>
    </w:p>
    <w:p>
      <w:pPr>
        <w:pStyle w:val="TextBody"/>
        <w:bidi w:val="0"/>
        <w:spacing w:before="12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—The expected life represents the period of time that the stock options are expected to be outstanding. Because the Company does not have substantial historical exercise behavior, it determines the expected life assumption using the simplified method, for employees and nonemployees, which is an average of the contractual term of the stock option and its vesting period. </w:t>
      </w:r>
    </w:p>
    <w:p>
      <w:pPr>
        <w:pStyle w:val="TextBody"/>
        <w:bidi w:val="0"/>
        <w:spacing w:before="12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—The risk-free interest rate is based on the implied yield currently available on U.S. Treasury zero-coupon issues with a term that is equal to the stock options’ expected term at the grant date. </w:t>
      </w:r>
    </w:p>
    <w:p>
      <w:pPr>
        <w:pStyle w:val="TextBody"/>
        <w:bidi w:val="0"/>
        <w:spacing w:before="120" w:after="0"/>
        <w:jc w:val="left"/>
        <w:rPr>
          <w:rFonts w:ascii="Times New Roman" w:hAnsi="Times New Roman"/>
          <w:sz w:val="20"/>
        </w:rPr>
      </w:pPr>
      <w:r>
        <w:rPr>
          <w:rFonts w:ascii="Times New Roman" w:hAnsi="Times New Roman"/>
          <w:i/>
          <w:sz w:val="20"/>
        </w:rPr>
        <w:t>Dividend Yield</w:t>
      </w:r>
      <w:r>
        <w:rPr>
          <w:rFonts w:ascii="Times New Roman" w:hAnsi="Times New Roman"/>
          <w:sz w:val="20"/>
        </w:rPr>
        <w:t xml:space="preserve">—The Company has not declared or paid dividends to date and does not anticipate declaring dividends for the foreseeable future. As such, the dividend yield is estimated to be zero. </w:t>
      </w:r>
    </w:p>
    <w:p>
      <w:pPr>
        <w:pStyle w:val="TextBody"/>
        <w:bidi w:val="0"/>
        <w:spacing w:before="120" w:after="0"/>
        <w:jc w:val="left"/>
        <w:rPr>
          <w:rFonts w:ascii="Times New Roman" w:hAnsi="Times New Roman"/>
          <w:sz w:val="20"/>
        </w:rPr>
      </w:pPr>
      <w:r>
        <w:rPr>
          <w:rFonts w:ascii="Times New Roman" w:hAnsi="Times New Roman"/>
          <w:i/>
          <w:sz w:val="20"/>
        </w:rPr>
        <w:t>Forfeitures</w:t>
      </w:r>
      <w:r>
        <w:rPr>
          <w:rFonts w:ascii="Times New Roman" w:hAnsi="Times New Roman"/>
          <w:sz w:val="20"/>
        </w:rPr>
        <w:t xml:space="preserve">—The Company records forfeitures as they occur. </w:t>
      </w:r>
    </w:p>
    <w:p>
      <w:pPr>
        <w:pStyle w:val="TextBody"/>
        <w:bidi w:val="0"/>
        <w:spacing w:before="120" w:after="0"/>
        <w:jc w:val="left"/>
        <w:rPr>
          <w:rFonts w:ascii="Times New Roman" w:hAnsi="Times New Roman"/>
          <w:sz w:val="20"/>
        </w:rPr>
      </w:pPr>
      <w:r>
        <w:rPr>
          <w:rFonts w:ascii="Times New Roman" w:hAnsi="Times New Roman"/>
          <w:sz w:val="20"/>
        </w:rPr>
        <w:t xml:space="preserve">The purchase price of restricted common stock granted to founders, employees and consultants is the estimated fair value on the grant date and is subject to various vesting schedules. Unvested restricted common stock are subject to repurchase rights held by the Company at the original issuance price in the event the restricted common stockholders’ service to the Company is terminated either voluntarily or involuntarily. The associated liability is classified in accrued expenses and other current liabilities in the consolidated balance sheets. The balance of this liability as of December 31, 2023 and 2022 is immaterial. </w:t>
      </w:r>
    </w:p>
    <w:p>
      <w:pPr>
        <w:pStyle w:val="TextBody"/>
        <w:bidi w:val="0"/>
        <w:spacing w:before="120" w:after="0"/>
        <w:jc w:val="left"/>
        <w:rPr>
          <w:rFonts w:ascii="Times New Roman" w:hAnsi="Times New Roman"/>
          <w:sz w:val="20"/>
        </w:rPr>
      </w:pPr>
      <w:r>
        <w:rPr>
          <w:rFonts w:ascii="Times New Roman" w:hAnsi="Times New Roman"/>
          <w:sz w:val="20"/>
        </w:rPr>
        <w:t xml:space="preserve">All stock-based compensation expense is recorded in research and development expense or general and administrative expense in the consolidated statements of operations and comprehensive loss, on the basis of the respective employee and nonemployee’s role within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under ASC Topic 740, </w:t>
      </w:r>
      <w:r>
        <w:rPr>
          <w:rFonts w:ascii="Times New Roman" w:hAnsi="Times New Roman"/>
          <w:i/>
          <w:sz w:val="20"/>
        </w:rPr>
        <w:t xml:space="preserve">Income Taxes </w:t>
      </w:r>
      <w:r>
        <w:rPr>
          <w:rFonts w:ascii="Times New Roman" w:hAnsi="Times New Roman"/>
          <w:sz w:val="20"/>
        </w:rPr>
        <w:t xml:space="preserve">(“ASC 740”), which requires the recognition of deferred tax assets and liabilities for the expected future tax consequences of events that have been included in the financial statements. Under this method, the Company determined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Related parties are directly or indirectly related to the Company, through one or more intermediaries and are in control, controlled by, or under common control with the Company. Related parties also include principal owners of the Company, its management, members of the immediate families of principal owners of the Company and its management, and other parties with which the Company may transact with if one party controls or can significantly influence the management or operating policies of the other to an extent that one of the transacting parties might be prevented from fully pursuing its own separate interests. The Board reviews and approves transactions with directors, officers and holders of 5% or more of the Company’s voting securities and their affiliates or their family members. The material facts as to the related party’s relationship or interest in the transaction are disclosed to the Board prior to its consideration of such transaction, and the transaction is not considered approved by the Board unless a majority of the directors who are not interested in the transaction approve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Net Loss per Share</w:t>
      </w:r>
    </w:p>
    <w:p>
      <w:pPr>
        <w:pStyle w:val="TextBody"/>
        <w:bidi w:val="0"/>
        <w:spacing w:before="120" w:after="0"/>
        <w:jc w:val="left"/>
        <w:rPr>
          <w:rFonts w:ascii="Times New Roman" w:hAnsi="Times New Roman"/>
          <w:sz w:val="20"/>
        </w:rPr>
      </w:pPr>
      <w:r>
        <w:rPr>
          <w:rFonts w:ascii="Times New Roman" w:hAnsi="Times New Roman"/>
          <w:sz w:val="20"/>
        </w:rPr>
        <w:t>The Company applies the two-class method when computing earnings per share attributable to common stockholders as the Company has issued securities that meet the definition of participating securities. The two-class method determines earnings per share for each class of common and participating securities according to dividends declared or accumulated in the current period and participation rights in undistributed earnings. The Company considers its convertible preferred stock and SAFEs to be participating securities as, in the event a dividend is paid on common stock, the holders of convertible preferred stock and SAFEs would be entitled to receive dividends on a basis consistent with the common stockholders. There is no allocation required under the two-class method during periods of loss since the participating securities do not have a contractual obligation to share in the losses of the Company.</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attributable to common stockholders is computed by dividing the net loss attributable to common stockholders by the weighted-average number of common shares outstanding for the period, excluding potentially dilutive common shares. Diluted net loss per share attributable to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stockholders is computed by adjusting net loss attributable to common stockholders to reallocate earnings based on the potential impact of dilutive securities. Diluted net loss per share attributable to common stockholders is computed by dividing the diluted net loss attributable to common stockholders by the weighted-average number of common shares outstanding for the period, including potential dilutive common shares. For purposes of this calculation, the Company’s outstanding convertible preferred stock, stock options, unvested restricted common stock and the SAFEs are considered potential dilutive common shares. </w:t>
      </w:r>
    </w:p>
    <w:p>
      <w:pPr>
        <w:pStyle w:val="TextBody"/>
        <w:bidi w:val="0"/>
        <w:spacing w:before="120" w:after="0"/>
        <w:jc w:val="left"/>
        <w:rPr>
          <w:rFonts w:ascii="Times New Roman" w:hAnsi="Times New Roman"/>
          <w:sz w:val="20"/>
        </w:rPr>
      </w:pPr>
      <w:r>
        <w:rPr>
          <w:rFonts w:ascii="Times New Roman" w:hAnsi="Times New Roman"/>
          <w:sz w:val="20"/>
        </w:rPr>
        <w:t>The Company generated a net loss for each of the years presented. Accordingly, basic and diluted net loss per share attributable to common stockholders are the same because the inclusion of the potentially dilutive securities would be anti-dilutive.</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consolidated financial statements upon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ASU No. 2020-06, </w:t>
      </w:r>
      <w:r>
        <w:rPr>
          <w:rFonts w:ascii="Times New Roman" w:hAnsi="Times New Roman"/>
          <w:i/>
          <w:sz w:val="20"/>
        </w:rPr>
        <w:t>Debt—Debt with Conversion and Other Options (Subtopic</w:t>
      </w:r>
      <w:r>
        <w:rPr>
          <w:rFonts w:ascii="Times New Roman" w:hAnsi="Times New Roman"/>
          <w:sz w:val="20"/>
        </w:rPr>
        <w:t> </w:t>
      </w:r>
      <w:r>
        <w:rPr>
          <w:rFonts w:ascii="Times New Roman" w:hAnsi="Times New Roman"/>
          <w:i/>
          <w:sz w:val="20"/>
        </w:rPr>
        <w:t xml:space="preserve">470-20) and Derivatives and Hedging Contracts in an Entity’s Own Equity (Subtopic 815-40): Accounting for Convertible Instruments and Contracts in an Entity’s Own Equity </w:t>
      </w:r>
      <w:r>
        <w:rPr>
          <w:rFonts w:ascii="Times New Roman" w:hAnsi="Times New Roman"/>
          <w:sz w:val="20"/>
        </w:rPr>
        <w:t xml:space="preserve">(“ASU 2020-06”). ASU 2020-06 simplifies the accounting for convertible instruments by reducing the number of accounting models for convertible debt instruments and convertible preferred stock. Limiting the accounting models results in fewer embedded conversion features being separately recognized from the host contract as compared with current GAAP. Convertible instruments that continue to be subject to separation models are (i) those not carried at fair value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is in the process of evaluating the impact of the adoption of ASU 2020-06 will have on the consolidated financial statements and disclosures.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No. 2023-07, </w:t>
      </w:r>
      <w:r>
        <w:rPr>
          <w:rFonts w:ascii="Times New Roman" w:hAnsi="Times New Roman"/>
          <w:i/>
          <w:sz w:val="20"/>
        </w:rPr>
        <w:t>Segment Reporting</w:t>
      </w:r>
      <w:r>
        <w:rPr>
          <w:rFonts w:ascii="Times New Roman" w:hAnsi="Times New Roman"/>
          <w:sz w:val="20"/>
        </w:rPr>
        <w:t xml:space="preserve"> (Topic 280) (“ASU 2023-07”), which enhances the segment disclosure requirements for public entities on an annual and interim basis. Under ASU 2023-07, public entities will be required to disclose significant segment expenses that are regularly provided to the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December 2023, the FASB issued ASU No. 2023-09, </w:t>
      </w:r>
      <w:r>
        <w:rPr>
          <w:rFonts w:ascii="Times New Roman" w:hAnsi="Times New Roman"/>
          <w:i/>
          <w:sz w:val="20"/>
        </w:rPr>
        <w:t>Income Taxes</w:t>
      </w:r>
      <w:r>
        <w:rPr>
          <w:rFonts w:ascii="Times New Roman" w:hAnsi="Times New Roman"/>
          <w:sz w:val="20"/>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consolidated financial statements. </w:t>
      </w:r>
    </w:p>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215"/>
        <w:gridCol w:w="2960"/>
      </w:tblGrid>
      <w:tr>
        <w:trPr/>
        <w:tc>
          <w:tcPr>
            <w:tcW w:w="215" w:type="dxa"/>
            <w:tcBorders/>
            <w:vAlign w:val="center"/>
          </w:tcPr>
          <w:p>
            <w:pPr>
              <w:pStyle w:val="TableContents"/>
              <w:bidi w:val="0"/>
              <w:spacing w:before="0" w:after="283"/>
              <w:jc w:val="left"/>
              <w:rPr>
                <w:b/>
              </w:rPr>
            </w:pPr>
            <w:r>
              <w:rPr>
                <w:b/>
              </w:rPr>
              <w:t>3.</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financial assets and liabilities measured at fair value on a recurring basis and indicate the level of the fair value hierarchy utilized to determine such fair values (in thousands):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1715"/>
        <w:gridCol w:w="120"/>
        <w:gridCol w:w="140"/>
        <w:gridCol w:w="740"/>
        <w:gridCol w:w="60"/>
        <w:gridCol w:w="120"/>
        <w:gridCol w:w="264"/>
        <w:gridCol w:w="491"/>
        <w:gridCol w:w="60"/>
        <w:gridCol w:w="120"/>
        <w:gridCol w:w="140"/>
        <w:gridCol w:w="740"/>
        <w:gridCol w:w="60"/>
        <w:gridCol w:w="120"/>
        <w:gridCol w:w="140"/>
        <w:gridCol w:w="74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27,278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27,278</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r>
              <w:rPr/>
              <w:t>27,278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r>
              <w:rPr/>
              <w:t>27,278</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30,515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30,515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30,515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30,515</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4130" w:type="dxa"/>
            <w:gridSpan w:val="16"/>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33,640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33,640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33,640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33,640</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Company’s cash equivalents, which were invested in money market funds, were valued based on Level 1 inputs.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through December 2023, the Company entered into multiple SAFE agreements with certain existing investors and received $34.1 million (see Note 13). The SAFE liabilities are included within the Level 3 fair value hierarchy. The SAFE liabilities were valued using a probability weighted scenario analysis and discount rates derived by application of the build-up method to reflect the cost of equity. The valuation model requires a variety of inputs, including the probability of occurrence of events that would trigger conversion or redemption of the SAFEs, the expected timing of such events, and a discount rate. </w:t>
      </w:r>
    </w:p>
    <w:p>
      <w:pPr>
        <w:pStyle w:val="TextBody"/>
        <w:bidi w:val="0"/>
        <w:spacing w:before="120" w:after="0"/>
        <w:jc w:val="left"/>
        <w:rPr>
          <w:rFonts w:ascii="Times New Roman" w:hAnsi="Times New Roman"/>
          <w:sz w:val="20"/>
        </w:rPr>
      </w:pPr>
      <w:r>
        <w:rPr>
          <w:rFonts w:ascii="Times New Roman" w:hAnsi="Times New Roman"/>
          <w:sz w:val="20"/>
        </w:rPr>
        <w:t xml:space="preserve">The valuation of the SAFE liabilities as of December 31, 2023, was determined based on a probability-weighted scenario analysis that assumed the probabilities of the occurrence of an equity financing, public listing transaction and dissolution to be 10.0%, 87.5% and 2.5% respectively. The estimated time to redemption used was five months for an equity financing and dissolution and four months for a public listing transaction. The valuation used a discount rate of 30.2% to approximate the cost of equity, which was derived from application of a build-up method that incorporated the risk-free rate at the valuation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adjustments to reflect market risk, a small stock premium, and a selected company-specific risk premium. The valuation of the SAFE liabilities at the October issuance date was determined using the same methodology; however, the discount rate was 30.9% due the higher risk-free rate at the valuation date. In October 2023, the probabilities of the occurrence of an equity financing, public listing transaction and dissolution used were 87.5%, 10.0%, and 2.5%, respectively. The estimated time to redemption used was 1.5 months for an equity financing and 5.5 months for a public listing transaction and dissolution.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Preferred Stock Tranche Liability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preferred stock tranche liability was based on significant inputs not observable in the market and is a Level 3 measurement within the fair value hierarchy. The valuations were made using Black-Scholes-Merton pricing model with inputs based on certain subjective assumptions, including (a) estimated conversion dates, (b) expected stock price volatility, (c) a risk-free interest rates and (d) implied debt yields.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preferred stock tranche liability was determined at the issuance of the Preferred Stock, as defined below, in 2021 and re-measured at each balance sheet date until its settlement in September 2022. Accordingly, there was no outstanding preferred stock tranche liability as of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activity for the preferred stock tranche liability and the SAFE liabilities that were measured at fair value using significant unobservable Level 3 inputs during the years ended December 31, 2023 and 2022 (in thousands): </w:t>
      </w:r>
    </w:p>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2735"/>
        <w:gridCol w:w="120"/>
        <w:gridCol w:w="424"/>
        <w:gridCol w:w="1381"/>
        <w:gridCol w:w="155"/>
        <w:gridCol w:w="120"/>
        <w:gridCol w:w="290"/>
        <w:gridCol w:w="1410"/>
        <w:gridCol w:w="170"/>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Preferred Stock</w:t>
              <w:br/>
              <w:t>Tranche Liability</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SAFE Liabilities</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January 1, 2022</w:t>
            </w:r>
          </w:p>
        </w:tc>
        <w:tc>
          <w:tcPr>
            <w:tcW w:w="12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4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(643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pBdr>
                <w:top w:val="single" w:sz="2" w:space="1" w:color="000000"/>
              </w:pBdr>
              <w:bidi w:val="0"/>
              <w:spacing w:before="0" w:after="0"/>
              <w:jc w:val="left"/>
              <w:rPr/>
            </w:pPr>
            <w:r>
              <w:rPr/>
              <w:t> </w:t>
            </w:r>
          </w:p>
        </w:tc>
        <w:tc>
          <w:tcPr>
            <w:tcW w:w="138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pBdr>
                <w:top w:val="single" w:sz="2" w:space="1" w:color="000000"/>
              </w:pBdr>
              <w:bidi w:val="0"/>
              <w:spacing w:before="0" w:after="0"/>
              <w:jc w:val="left"/>
              <w:rPr/>
            </w:pPr>
            <w:r>
              <w:rPr/>
              <w:t> </w:t>
            </w:r>
          </w:p>
        </w:tc>
        <w:tc>
          <w:tcPr>
            <w:tcW w:w="141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Initial fair value recognition</w:t>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31,515</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w:t>
            </w:r>
          </w:p>
        </w:tc>
        <w:tc>
          <w:tcPr>
            <w:tcW w:w="12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255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(1,255</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pBdr>
                <w:top w:val="single" w:sz="2" w:space="1" w:color="000000"/>
              </w:pBdr>
              <w:bidi w:val="0"/>
              <w:spacing w:before="0" w:after="0"/>
              <w:jc w:val="left"/>
              <w:rPr/>
            </w:pPr>
            <w:r>
              <w:rPr/>
              <w:t> </w:t>
            </w:r>
          </w:p>
        </w:tc>
        <w:tc>
          <w:tcPr>
            <w:tcW w:w="138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pBdr>
                <w:top w:val="single" w:sz="2" w:space="1" w:color="000000"/>
              </w:pBdr>
              <w:bidi w:val="0"/>
              <w:spacing w:before="0" w:after="0"/>
              <w:jc w:val="left"/>
              <w:rPr/>
            </w:pPr>
            <w:r>
              <w:rPr/>
              <w:t> </w:t>
            </w:r>
          </w:p>
        </w:tc>
        <w:tc>
          <w:tcPr>
            <w:tcW w:w="141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410" w:type="dxa"/>
            <w:tcBorders/>
            <w:shd w:fill="CCEEFF" w:val="clear"/>
            <w:vAlign w:val="center"/>
          </w:tcPr>
          <w:p>
            <w:pPr>
              <w:pStyle w:val="TableContents"/>
              <w:bidi w:val="0"/>
              <w:spacing w:before="0" w:after="283"/>
              <w:jc w:val="right"/>
              <w:rPr/>
            </w:pPr>
            <w:r>
              <w:rPr/>
              <w:t>30,515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pBdr>
                <w:top w:val="double" w:sz="6" w:space="1" w:color="000000"/>
              </w:pBdr>
              <w:bidi w:val="0"/>
              <w:spacing w:before="0" w:after="0"/>
              <w:jc w:val="left"/>
              <w:rPr/>
            </w:pPr>
            <w:r>
              <w:rPr/>
              <w:t> </w:t>
            </w:r>
          </w:p>
        </w:tc>
        <w:tc>
          <w:tcPr>
            <w:tcW w:w="138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pBdr>
                <w:top w:val="double" w:sz="6" w:space="1" w:color="000000"/>
              </w:pBdr>
              <w:bidi w:val="0"/>
              <w:spacing w:before="0" w:after="0"/>
              <w:jc w:val="left"/>
              <w:rPr/>
            </w:pPr>
            <w:r>
              <w:rPr/>
              <w:t> </w:t>
            </w:r>
          </w:p>
        </w:tc>
        <w:tc>
          <w:tcPr>
            <w:tcW w:w="141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the Level 1, Level 2 or Level 3 categories during the years ended December 31, 2023 and 2022. </w:t>
      </w:r>
    </w:p>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215"/>
        <w:gridCol w:w="5045"/>
      </w:tblGrid>
      <w:tr>
        <w:trPr/>
        <w:tc>
          <w:tcPr>
            <w:tcW w:w="215" w:type="dxa"/>
            <w:tcBorders/>
            <w:vAlign w:val="center"/>
          </w:tcPr>
          <w:p>
            <w:pPr>
              <w:pStyle w:val="TableContents"/>
              <w:bidi w:val="0"/>
              <w:spacing w:before="0" w:after="283"/>
              <w:jc w:val="left"/>
              <w:rPr>
                <w:b/>
              </w:rPr>
            </w:pPr>
            <w:r>
              <w:rPr>
                <w:b/>
              </w:rPr>
              <w:t>4.</w:t>
            </w:r>
          </w:p>
        </w:tc>
        <w:tc>
          <w:tcPr>
            <w:tcW w:w="50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EQUIPMENT AND IMPROVEMENTS,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equipment and improvements, net is comprised of the following (in thousands): </w:t>
      </w:r>
    </w:p>
    <w:p>
      <w:pPr>
        <w:pStyle w:val="TextBody"/>
        <w:bidi w:val="0"/>
        <w:spacing w:before="0" w:after="0"/>
        <w:jc w:val="left"/>
        <w:rPr/>
      </w:pPr>
      <w:r>
        <w:rPr/>
        <w:t> </w:t>
      </w:r>
    </w:p>
    <w:tbl>
      <w:tblPr>
        <w:tblW w:w="4640" w:type="dxa"/>
        <w:jc w:val="left"/>
        <w:tblInd w:w="0" w:type="dxa"/>
        <w:tblLayout w:type="fixed"/>
        <w:tblCellMar>
          <w:top w:w="0" w:type="dxa"/>
          <w:left w:w="0" w:type="dxa"/>
          <w:bottom w:w="0" w:type="dxa"/>
          <w:right w:w="0" w:type="dxa"/>
        </w:tblCellMar>
      </w:tblPr>
      <w:tblGrid>
        <w:gridCol w:w="2600"/>
        <w:gridCol w:w="120"/>
        <w:gridCol w:w="140"/>
        <w:gridCol w:w="635"/>
        <w:gridCol w:w="155"/>
        <w:gridCol w:w="120"/>
        <w:gridCol w:w="140"/>
        <w:gridCol w:w="560"/>
        <w:gridCol w:w="17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4,018</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office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244</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149</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49</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4,978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4,485</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(877</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3,122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3,608</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Depreciation expense was $1.0 million and $0.6 million and was recorded as follows (in thousands): </w:t>
      </w:r>
    </w:p>
    <w:p>
      <w:pPr>
        <w:pStyle w:val="TextBody"/>
        <w:bidi w:val="0"/>
        <w:spacing w:before="0" w:after="0"/>
        <w:jc w:val="left"/>
        <w:rPr/>
      </w:pPr>
      <w:r>
        <w:rPr/>
        <w:t> </w:t>
      </w:r>
    </w:p>
    <w:tbl>
      <w:tblPr>
        <w:tblW w:w="3830" w:type="dxa"/>
        <w:jc w:val="left"/>
        <w:tblInd w:w="0" w:type="dxa"/>
        <w:tblLayout w:type="fixed"/>
        <w:tblCellMar>
          <w:top w:w="0" w:type="dxa"/>
          <w:left w:w="0" w:type="dxa"/>
          <w:bottom w:w="0" w:type="dxa"/>
          <w:right w:w="0" w:type="dxa"/>
        </w:tblCellMar>
      </w:tblPr>
      <w:tblGrid>
        <w:gridCol w:w="2225"/>
        <w:gridCol w:w="120"/>
        <w:gridCol w:w="161"/>
        <w:gridCol w:w="440"/>
        <w:gridCol w:w="68"/>
        <w:gridCol w:w="138"/>
        <w:gridCol w:w="161"/>
        <w:gridCol w:w="442"/>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17</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973</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635</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44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vAlign w:val="center"/>
          </w:tcPr>
          <w:p>
            <w:pPr>
              <w:pStyle w:val="TableContents"/>
              <w:bidi w:val="0"/>
              <w:spacing w:before="0" w:after="283"/>
              <w:jc w:val="center"/>
              <w:rPr/>
            </w:pPr>
            <w:r>
              <w:rPr/>
              <w:t>$ 990</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vAlign w:val="center"/>
          </w:tcPr>
          <w:p>
            <w:pPr>
              <w:pStyle w:val="TableContents"/>
              <w:bidi w:val="0"/>
              <w:spacing w:before="0" w:after="283"/>
              <w:jc w:val="center"/>
              <w:rPr/>
            </w:pPr>
            <w:r>
              <w:rPr/>
              <w:t>$ 647</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44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These amounts are exclusive of amortization related to finance lease and capital lease assets of $0.5 million and $0.3 million in 2023 and 2022, respectively. </w:t>
      </w:r>
    </w:p>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215"/>
        <w:gridCol w:w="5525"/>
      </w:tblGrid>
      <w:tr>
        <w:trPr/>
        <w:tc>
          <w:tcPr>
            <w:tcW w:w="215" w:type="dxa"/>
            <w:tcBorders/>
            <w:vAlign w:val="center"/>
          </w:tcPr>
          <w:p>
            <w:pPr>
              <w:pStyle w:val="TableContents"/>
              <w:bidi w:val="0"/>
              <w:spacing w:before="0" w:after="283"/>
              <w:jc w:val="left"/>
              <w:rPr>
                <w:b/>
              </w:rPr>
            </w:pPr>
            <w:r>
              <w:rPr>
                <w:b/>
              </w:rPr>
              <w:t>5.</w:t>
            </w:r>
          </w:p>
        </w:tc>
        <w:tc>
          <w:tcPr>
            <w:tcW w:w="55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is comprised of the following (in thousands): </w:t>
      </w:r>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5540"/>
        <w:gridCol w:w="120"/>
        <w:gridCol w:w="140"/>
        <w:gridCol w:w="620"/>
        <w:gridCol w:w="60"/>
        <w:gridCol w:w="120"/>
        <w:gridCol w:w="140"/>
        <w:gridCol w:w="620"/>
        <w:gridCol w:w="75"/>
      </w:tblGrid>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Employee compensation related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2,840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2,158</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office and laboratory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481</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contract research organization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2,298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1,345</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contract development and manufacturing organization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842</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1,798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489</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499</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$ 8,141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$ 5,814</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283"/>
              <w:jc w:val="left"/>
              <w:rPr>
                <w:b/>
              </w:rPr>
            </w:pPr>
            <w:r>
              <w:rPr>
                <w:b/>
              </w:rPr>
              <w:t>6.</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commitments under its operating and finance leases are described in Note 7.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University of Texas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executed a research agreement with the University of Texas, whereby the Company and the University of Texas are conducting joint research activities in accordance with an agreed upon research program. An upfront fee of $25,000 was paid upon execution of the agreement in 2020, with the remaining balance due in two payments of $37,500 each. The first payment was due upon the completion of the joint research activities and the second due upon the receipt of the final research report by the Company. The agreement was terminated on June 30, 2022.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2022, the Company did not pay any amounts to the University of Texas under this agreement because the joint research activities were not completed before the research agreement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the Company entered into an agreement with the President and Fellows of Harvard College (“Harvard”), for an option fee in the low five digits, whereby Harvard granted the Company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exclusive option to negotiate a worldwide, exclusive, royalty-bearing license under Harvard’s interest in the patent rights covering certain technology that was developed by Harvard. In October 2021, the Company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were expensed. </w:t>
      </w:r>
    </w:p>
    <w:p>
      <w:pPr>
        <w:pStyle w:val="TextBody"/>
        <w:bidi w:val="0"/>
        <w:spacing w:before="120" w:after="0"/>
        <w:jc w:val="left"/>
        <w:rPr>
          <w:rFonts w:ascii="Times New Roman" w:hAnsi="Times New Roman"/>
          <w:sz w:val="20"/>
        </w:rPr>
      </w:pPr>
      <w:r>
        <w:rPr>
          <w:rFonts w:ascii="Times New Roman" w:hAnsi="Times New Roman"/>
          <w:sz w:val="20"/>
        </w:rPr>
        <w:t xml:space="preserve">As consideration for the License Agreement, the Company agreed to pay Harvard a non-refundable license fee, consisting of a cash payment due in three equal annual installments, in total amounting to $170,000 and 227,486 shares of common stock. The installments became due on July 2, 2022 (“First Payment Due Date”) and the first and second anniversaries of the First Payment Due Date. The first payment of $56,666 was paid in July 2022. The common stock issued to Harvard had a fair value of $0.4 million. Both the cash payment and the issuance of shares were expensed to research and development during the year ended December 31, 2022. The second payment of $56,666 was made in July 2023.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There was less than $0.1 million due to Harvard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Alloy Therapeutics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the Company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the Company 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will be responsible to pay ATX commercial payments in the low seven digits per year during the first six years of commercial sales, amounting to an amount in the high eight digits in total commercial payments under the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the Company paid $0.1 million and zero to ATX,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Adimab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 2023, the Company entered into a discovery agreement with Adimab, LLC (“Adimab”), an antibody discovery company, whereby the Company and Adimab are collaborating on human antibody discovery in accordance with an agreed upon research program. The Company paid an upfront technology access fee totaling $20,000 upon execution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non-creditable, non-refundable fee of $0.5 million upon the exercise of an option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During the year ended December 31, 2023, the Company incurred $0.1 million of costs associated with the FTEs.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2023 and 2022, the Company did not have any liabilities or other commitments related to indemnification claims. </w:t>
      </w:r>
    </w:p>
    <w:p>
      <w:pPr>
        <w:pStyle w:val="TextBody"/>
        <w:bidi w:val="0"/>
        <w:spacing w:before="0" w:after="0"/>
        <w:jc w:val="left"/>
        <w:rPr/>
      </w:pPr>
      <w:r>
        <w:rPr/>
        <w:t> </w:t>
      </w:r>
    </w:p>
    <w:tbl>
      <w:tblPr>
        <w:tblW w:w="1045" w:type="dxa"/>
        <w:jc w:val="left"/>
        <w:tblInd w:w="0" w:type="dxa"/>
        <w:tblLayout w:type="fixed"/>
        <w:tblCellMar>
          <w:top w:w="0" w:type="dxa"/>
          <w:left w:w="0" w:type="dxa"/>
          <w:bottom w:w="0" w:type="dxa"/>
          <w:right w:w="0" w:type="dxa"/>
        </w:tblCellMar>
      </w:tblPr>
      <w:tblGrid>
        <w:gridCol w:w="215"/>
        <w:gridCol w:w="830"/>
      </w:tblGrid>
      <w:tr>
        <w:trPr/>
        <w:tc>
          <w:tcPr>
            <w:tcW w:w="215" w:type="dxa"/>
            <w:tcBorders/>
            <w:vAlign w:val="center"/>
          </w:tcPr>
          <w:p>
            <w:pPr>
              <w:pStyle w:val="TableContents"/>
              <w:bidi w:val="0"/>
              <w:spacing w:before="0" w:after="283"/>
              <w:jc w:val="left"/>
              <w:rPr>
                <w:b/>
              </w:rPr>
            </w:pPr>
            <w:r>
              <w:rPr>
                <w:b/>
              </w:rPr>
              <w:t>7.</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operating leases for office and laboratory facilities and financing leases for laboratory equipment used in research and development activities. The remaining lease terms for its leases range from two years to four years. These 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the Company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contains a five-year renewal option exercisable by the Company which is not included in the measurement of the lease. </w:t>
      </w:r>
    </w:p>
    <w:p>
      <w:pPr>
        <w:pStyle w:val="TextBody"/>
        <w:bidi w:val="0"/>
        <w:spacing w:before="120" w:after="0"/>
        <w:jc w:val="left"/>
        <w:rPr>
          <w:rFonts w:ascii="Times New Roman" w:hAnsi="Times New Roman"/>
          <w:sz w:val="20"/>
        </w:rPr>
      </w:pPr>
      <w:r>
        <w:rPr>
          <w:rFonts w:ascii="Times New Roman" w:hAnsi="Times New Roman"/>
          <w:sz w:val="20"/>
        </w:rPr>
        <w:t xml:space="preserve">In April 2021, the Company entered into an agreement to sublease a portion of its facility lease to a related party (see Note 13) in exchange for $28,333 per month. The sublease agreement was an operating lease with a term of 18 months and was set to expire on September 30, 2022. In July 2022, the Company granted the sublessee permission to terminate the agreement on July 31, 2022. An immaterial adjustment to straight-line rental income and accrued rent receivable was recorded as part of the early termination. The proceeds from the sublease agreement are recorded as an offset to facilities costs in the periods in which they are earned. </w:t>
      </w:r>
    </w:p>
    <w:p>
      <w:pPr>
        <w:pStyle w:val="TextBody"/>
        <w:bidi w:val="0"/>
        <w:spacing w:before="120" w:after="0"/>
        <w:jc w:val="left"/>
        <w:rPr>
          <w:rFonts w:ascii="Times New Roman" w:hAnsi="Times New Roman"/>
          <w:sz w:val="20"/>
        </w:rPr>
      </w:pPr>
      <w:r>
        <w:rPr>
          <w:rFonts w:ascii="Times New Roman" w:hAnsi="Times New Roman"/>
          <w:sz w:val="20"/>
        </w:rPr>
        <w:t xml:space="preserve">During 2022, the Company entered into four additional finance leases that resulted in an increase of $1.3 million in ROU assets, inclusive of lease payments made prior to commencement, and $1.3 million in related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about lease costs for the years ended December 31, 2023 and 2022 (in thousands): </w:t>
      </w:r>
    </w:p>
    <w:p>
      <w:pPr>
        <w:pStyle w:val="TextBody"/>
        <w:bidi w:val="0"/>
        <w:spacing w:before="0" w:after="0"/>
        <w:jc w:val="left"/>
        <w:rPr/>
      </w:pPr>
      <w:r>
        <w:rPr/>
        <w:t> </w:t>
      </w:r>
    </w:p>
    <w:tbl>
      <w:tblPr>
        <w:tblW w:w="4275" w:type="dxa"/>
        <w:jc w:val="left"/>
        <w:tblInd w:w="0" w:type="dxa"/>
        <w:tblLayout w:type="fixed"/>
        <w:tblCellMar>
          <w:top w:w="0" w:type="dxa"/>
          <w:left w:w="0" w:type="dxa"/>
          <w:bottom w:w="0" w:type="dxa"/>
          <w:right w:w="0" w:type="dxa"/>
        </w:tblCellMar>
      </w:tblPr>
      <w:tblGrid>
        <w:gridCol w:w="2285"/>
        <w:gridCol w:w="120"/>
        <w:gridCol w:w="140"/>
        <w:gridCol w:w="620"/>
        <w:gridCol w:w="60"/>
        <w:gridCol w:w="120"/>
        <w:gridCol w:w="140"/>
        <w:gridCol w:w="620"/>
        <w:gridCol w:w="170"/>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7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Finance lease cost</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ROU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359</w:t>
            </w:r>
          </w:p>
        </w:tc>
        <w:tc>
          <w:tcPr>
            <w:tcW w:w="17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151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106</w:t>
            </w:r>
          </w:p>
        </w:tc>
        <w:tc>
          <w:tcPr>
            <w:tcW w:w="17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1,404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1,404</w:t>
            </w:r>
          </w:p>
        </w:tc>
        <w:tc>
          <w:tcPr>
            <w:tcW w:w="17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389</w:t>
            </w:r>
          </w:p>
        </w:tc>
        <w:tc>
          <w:tcPr>
            <w:tcW w:w="17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786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907</w:t>
            </w:r>
          </w:p>
        </w:tc>
        <w:tc>
          <w:tcPr>
            <w:tcW w:w="17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(253</w:t>
            </w:r>
          </w:p>
        </w:tc>
        <w:tc>
          <w:tcPr>
            <w:tcW w:w="17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3,578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2,912</w:t>
            </w:r>
          </w:p>
        </w:tc>
        <w:tc>
          <w:tcPr>
            <w:tcW w:w="17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information about the Company’s leases for the years ended December 31, 2023 and 2022 (in thousands): </w:t>
      </w:r>
    </w:p>
    <w:p>
      <w:pPr>
        <w:pStyle w:val="TextBody"/>
        <w:bidi w:val="0"/>
        <w:spacing w:before="0" w:after="0"/>
        <w:jc w:val="left"/>
        <w:rPr/>
      </w:pPr>
      <w:r>
        <w:rPr/>
        <w:t> </w:t>
      </w:r>
    </w:p>
    <w:tbl>
      <w:tblPr>
        <w:tblW w:w="7805" w:type="dxa"/>
        <w:jc w:val="left"/>
        <w:tblInd w:w="0" w:type="dxa"/>
        <w:tblLayout w:type="fixed"/>
        <w:tblCellMar>
          <w:top w:w="0" w:type="dxa"/>
          <w:left w:w="0" w:type="dxa"/>
          <w:bottom w:w="0" w:type="dxa"/>
          <w:right w:w="0" w:type="dxa"/>
        </w:tblCellMar>
      </w:tblPr>
      <w:tblGrid>
        <w:gridCol w:w="5720"/>
        <w:gridCol w:w="60"/>
        <w:gridCol w:w="140"/>
        <w:gridCol w:w="560"/>
        <w:gridCol w:w="275"/>
        <w:gridCol w:w="60"/>
        <w:gridCol w:w="140"/>
        <w:gridCol w:w="560"/>
        <w:gridCol w:w="290"/>
      </w:tblGrid>
      <w:tr>
        <w:trPr/>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29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19"/>
              </w:rPr>
            </w:pPr>
            <w:r>
              <w:rPr>
                <w:sz w:val="19"/>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 - financing cash flows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499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393</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 - operating cash flows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106</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 - operating cash flows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1,470</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ROU assets obtained in exchange for lease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1,340</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terms (in years)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4.19</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3.09</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9.49</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maturity of the Company’s finance and operating lease liabilities for the year ended December 31, 2023 (in thousands):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1895"/>
        <w:gridCol w:w="120"/>
        <w:gridCol w:w="288"/>
        <w:gridCol w:w="1277"/>
        <w:gridCol w:w="155"/>
        <w:gridCol w:w="120"/>
        <w:gridCol w:w="329"/>
        <w:gridCol w:w="1461"/>
        <w:gridCol w:w="170"/>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ended December 31,</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Finance Leases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Operating Leases</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583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 </w:t>
            </w:r>
            <w:r>
              <w:rPr/>
              <w:t>1,534</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552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1,580</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132</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pBdr>
                <w:top w:val="single" w:sz="2" w:space="1" w:color="000000"/>
              </w:pBdr>
              <w:bidi w:val="0"/>
              <w:spacing w:before="0" w:after="0"/>
              <w:jc w:val="left"/>
              <w:rPr/>
            </w:pPr>
            <w:r>
              <w:rPr/>
              <w:t> </w:t>
            </w:r>
          </w:p>
        </w:tc>
        <w:tc>
          <w:tcPr>
            <w:tcW w:w="127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pBdr>
                <w:top w:val="single" w:sz="2" w:space="1" w:color="000000"/>
              </w:pBdr>
              <w:bidi w:val="0"/>
              <w:spacing w:before="0" w:after="0"/>
              <w:jc w:val="left"/>
              <w:rPr/>
            </w:pPr>
            <w:r>
              <w:rPr/>
              <w:t> </w:t>
            </w:r>
          </w:p>
        </w:tc>
        <w:tc>
          <w:tcPr>
            <w:tcW w:w="146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1,542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3,246</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(254</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pBdr>
                <w:top w:val="single" w:sz="2" w:space="1" w:color="000000"/>
              </w:pBdr>
              <w:bidi w:val="0"/>
              <w:spacing w:before="0" w:after="0"/>
              <w:jc w:val="left"/>
              <w:rPr/>
            </w:pPr>
            <w:r>
              <w:rPr/>
              <w:t> </w:t>
            </w:r>
          </w:p>
        </w:tc>
        <w:tc>
          <w:tcPr>
            <w:tcW w:w="127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pBdr>
                <w:top w:val="single" w:sz="2" w:space="1" w:color="000000"/>
              </w:pBdr>
              <w:bidi w:val="0"/>
              <w:spacing w:before="0" w:after="0"/>
              <w:jc w:val="left"/>
              <w:rPr/>
            </w:pPr>
            <w:r>
              <w:rPr/>
              <w:t> </w:t>
            </w:r>
          </w:p>
        </w:tc>
        <w:tc>
          <w:tcPr>
            <w:tcW w:w="146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 </w:t>
            </w:r>
            <w:r>
              <w:rPr/>
              <w:t>1,351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2,992</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pBdr>
                <w:top w:val="double" w:sz="6" w:space="1" w:color="000000"/>
              </w:pBdr>
              <w:bidi w:val="0"/>
              <w:spacing w:before="0" w:after="0"/>
              <w:jc w:val="left"/>
              <w:rPr/>
            </w:pPr>
            <w:r>
              <w:rPr/>
              <w:t> </w:t>
            </w:r>
          </w:p>
        </w:tc>
        <w:tc>
          <w:tcPr>
            <w:tcW w:w="1277"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pBdr>
                <w:top w:val="double" w:sz="6" w:space="1" w:color="000000"/>
              </w:pBdr>
              <w:bidi w:val="0"/>
              <w:spacing w:before="0" w:after="0"/>
              <w:jc w:val="left"/>
              <w:rPr/>
            </w:pPr>
            <w:r>
              <w:rPr/>
              <w:t> </w:t>
            </w:r>
          </w:p>
        </w:tc>
        <w:tc>
          <w:tcPr>
            <w:tcW w:w="1461"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215"/>
        <w:gridCol w:w="3470"/>
      </w:tblGrid>
      <w:tr>
        <w:trPr/>
        <w:tc>
          <w:tcPr>
            <w:tcW w:w="215" w:type="dxa"/>
            <w:tcBorders/>
            <w:vAlign w:val="center"/>
          </w:tcPr>
          <w:p>
            <w:pPr>
              <w:pStyle w:val="TableContents"/>
              <w:bidi w:val="0"/>
              <w:spacing w:before="0" w:after="283"/>
              <w:jc w:val="left"/>
              <w:rPr>
                <w:b/>
              </w:rPr>
            </w:pPr>
            <w:r>
              <w:rPr>
                <w:b/>
              </w:rPr>
              <w:t>8.</w:t>
            </w:r>
          </w:p>
        </w:tc>
        <w:tc>
          <w:tcPr>
            <w:tcW w:w="3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issued Series A-1 convertible preferred stock (the “Series A-1 Preferred Stock”), Series A-2 convertible preferred stock (the “Series A-2 Preferred Stock”), Series A-3 convertible preferred stock (the “Series A-3 Preferred Stock”), and Series A-4 convertible preferred stock (the “Series A-4 Preferred Stock”); collectively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Preferred Stock consisted of the following (in thousands, expect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6"/>
        <w:gridCol w:w="120"/>
        <w:gridCol w:w="153"/>
        <w:gridCol w:w="814"/>
        <w:gridCol w:w="60"/>
        <w:gridCol w:w="120"/>
        <w:gridCol w:w="67"/>
        <w:gridCol w:w="1108"/>
        <w:gridCol w:w="60"/>
        <w:gridCol w:w="120"/>
        <w:gridCol w:w="99"/>
        <w:gridCol w:w="1631"/>
        <w:gridCol w:w="60"/>
        <w:gridCol w:w="120"/>
        <w:gridCol w:w="153"/>
        <w:gridCol w:w="812"/>
        <w:gridCol w:w="60"/>
        <w:gridCol w:w="120"/>
        <w:gridCol w:w="194"/>
        <w:gridCol w:w="1026"/>
        <w:gridCol w:w="60"/>
        <w:gridCol w:w="120"/>
        <w:gridCol w:w="92"/>
        <w:gridCol w:w="1503"/>
        <w:gridCol w:w="77"/>
      </w:tblGrid>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Preferred</w:t>
              <w:br/>
              <w:t>Stock</w:t>
              <w:br/>
              <w:t>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b/>
              </w:rPr>
              <w:t>Preferred</w:t>
            </w:r>
            <w:r>
              <w:rPr/>
              <w:br/>
            </w:r>
            <w:r>
              <w:rPr>
                <w:b/>
              </w:rPr>
              <w:t>Stock Issued</w:t>
              <w:br/>
              <w:t>and Outstanding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77" w:type="dxa"/>
            <w:tcBorders/>
            <w:vAlign w:val="center"/>
          </w:tcPr>
          <w:p>
            <w:pPr>
              <w:pStyle w:val="TableContents"/>
              <w:bidi w:val="0"/>
              <w:spacing w:before="0" w:after="283"/>
              <w:jc w:val="left"/>
              <w:rPr/>
            </w:pPr>
            <w:r>
              <w:rPr/>
              <w:t> </w:t>
            </w:r>
          </w:p>
        </w:tc>
      </w:tr>
      <w:tr>
        <w:trPr/>
        <w:tc>
          <w:tcPr>
            <w:tcW w:w="14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4,118,120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4,118,120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 </w:t>
            </w:r>
            <w:r>
              <w:rPr/>
              <w:t>45,016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 </w:t>
            </w:r>
            <w:r>
              <w:rPr/>
              <w:t>54,308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4,118,120</w:t>
            </w:r>
          </w:p>
        </w:tc>
        <w:tc>
          <w:tcPr>
            <w:tcW w:w="77" w:type="dxa"/>
            <w:tcBorders/>
            <w:shd w:fill="CCEEFF" w:val="clear"/>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1,649,188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1,649,188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21,654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21,749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1,649,188</w:t>
            </w:r>
          </w:p>
        </w:tc>
        <w:tc>
          <w:tcPr>
            <w:tcW w:w="77" w:type="dxa"/>
            <w:tcBorders/>
            <w:vAlign w:val="center"/>
          </w:tcPr>
          <w:p>
            <w:pPr>
              <w:pStyle w:val="TableContents"/>
              <w:bidi w:val="0"/>
              <w:spacing w:before="0" w:after="283"/>
              <w:jc w:val="left"/>
              <w:rPr/>
            </w:pPr>
            <w:r>
              <w:rPr/>
              <w:t> </w:t>
            </w:r>
          </w:p>
        </w:tc>
      </w:tr>
      <w:tr>
        <w:trPr/>
        <w:tc>
          <w:tcPr>
            <w:tcW w:w="14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A-3 Preferred Stock</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696,516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696,516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9,187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7,348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696,516</w:t>
            </w:r>
          </w:p>
        </w:tc>
        <w:tc>
          <w:tcPr>
            <w:tcW w:w="77" w:type="dxa"/>
            <w:tcBorders/>
            <w:shd w:fill="CCEEFF" w:val="clear"/>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A-4 Preferred Stock</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 </w:t>
            </w:r>
            <w:r>
              <w:rPr/>
              <w:t>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361,659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361,659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4,770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4,054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361,659</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10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single" w:sz="2" w:space="1" w:color="000000"/>
              </w:pBdr>
              <w:bidi w:val="0"/>
              <w:spacing w:before="0" w:after="0"/>
              <w:jc w:val="left"/>
              <w:rPr/>
            </w:pPr>
            <w:r>
              <w:rPr/>
              <w:t> </w:t>
            </w:r>
          </w:p>
        </w:tc>
        <w:tc>
          <w:tcPr>
            <w:tcW w:w="163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single" w:sz="2" w:space="1" w:color="000000"/>
              </w:pBdr>
              <w:bidi w:val="0"/>
              <w:spacing w:before="0" w:after="0"/>
              <w:jc w:val="left"/>
              <w:rPr/>
            </w:pPr>
            <w:r>
              <w:rPr/>
              <w:t> </w:t>
            </w:r>
          </w:p>
        </w:tc>
        <w:tc>
          <w:tcPr>
            <w:tcW w:w="8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single" w:sz="2" w:space="1" w:color="000000"/>
              </w:pBdr>
              <w:bidi w:val="0"/>
              <w:spacing w:before="0" w:after="0"/>
              <w:jc w:val="left"/>
              <w:rPr/>
            </w:pPr>
            <w:r>
              <w:rPr/>
              <w:t> </w:t>
            </w:r>
          </w:p>
        </w:tc>
        <w:tc>
          <w:tcPr>
            <w:tcW w:w="10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03"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6,825,483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center"/>
              <w:rPr/>
            </w:pPr>
            <w:r>
              <w:rPr/>
              <w:t>6,825,483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$ 80,627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$ 87,459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pPr>
            <w:r>
              <w:rPr/>
              <w:t>6,825,483</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110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double" w:sz="6" w:space="1" w:color="000000"/>
              </w:pBdr>
              <w:bidi w:val="0"/>
              <w:spacing w:before="0" w:after="0"/>
              <w:jc w:val="left"/>
              <w:rPr/>
            </w:pPr>
            <w:r>
              <w:rPr/>
              <w:t> </w:t>
            </w:r>
          </w:p>
        </w:tc>
        <w:tc>
          <w:tcPr>
            <w:tcW w:w="163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double" w:sz="6" w:space="1" w:color="000000"/>
              </w:pBdr>
              <w:bidi w:val="0"/>
              <w:spacing w:before="0" w:after="0"/>
              <w:jc w:val="left"/>
              <w:rPr/>
            </w:pPr>
            <w:r>
              <w:rPr/>
              <w:t> </w:t>
            </w:r>
          </w:p>
        </w:tc>
        <w:tc>
          <w:tcPr>
            <w:tcW w:w="8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double" w:sz="6" w:space="1" w:color="000000"/>
              </w:pBdr>
              <w:bidi w:val="0"/>
              <w:spacing w:before="0" w:after="0"/>
              <w:jc w:val="left"/>
              <w:rPr/>
            </w:pPr>
            <w:r>
              <w:rPr/>
              <w:t> </w:t>
            </w:r>
          </w:p>
        </w:tc>
        <w:tc>
          <w:tcPr>
            <w:tcW w:w="102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03"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6"/>
        <w:gridCol w:w="120"/>
        <w:gridCol w:w="153"/>
        <w:gridCol w:w="814"/>
        <w:gridCol w:w="60"/>
        <w:gridCol w:w="120"/>
        <w:gridCol w:w="67"/>
        <w:gridCol w:w="1108"/>
        <w:gridCol w:w="60"/>
        <w:gridCol w:w="120"/>
        <w:gridCol w:w="99"/>
        <w:gridCol w:w="1631"/>
        <w:gridCol w:w="60"/>
        <w:gridCol w:w="120"/>
        <w:gridCol w:w="153"/>
        <w:gridCol w:w="812"/>
        <w:gridCol w:w="60"/>
        <w:gridCol w:w="120"/>
        <w:gridCol w:w="194"/>
        <w:gridCol w:w="1026"/>
        <w:gridCol w:w="60"/>
        <w:gridCol w:w="120"/>
        <w:gridCol w:w="92"/>
        <w:gridCol w:w="1503"/>
        <w:gridCol w:w="77"/>
      </w:tblGrid>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Preferred</w:t>
              <w:br/>
              <w:t>Stock</w:t>
              <w:br/>
              <w:t>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b/>
              </w:rPr>
              <w:t>Preferred</w:t>
            </w:r>
            <w:r>
              <w:rPr/>
              <w:br/>
            </w:r>
            <w:r>
              <w:rPr>
                <w:b/>
              </w:rPr>
              <w:t>Stock Issued</w:t>
              <w:br/>
              <w:t>and Outstanding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77" w:type="dxa"/>
            <w:tcBorders/>
            <w:vAlign w:val="center"/>
          </w:tcPr>
          <w:p>
            <w:pPr>
              <w:pStyle w:val="TableContents"/>
              <w:bidi w:val="0"/>
              <w:spacing w:before="0" w:after="283"/>
              <w:jc w:val="left"/>
              <w:rPr/>
            </w:pPr>
            <w:r>
              <w:rPr/>
              <w:t> </w:t>
            </w:r>
          </w:p>
        </w:tc>
      </w:tr>
      <w:tr>
        <w:trPr/>
        <w:tc>
          <w:tcPr>
            <w:tcW w:w="14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4,118,120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4,118,120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 </w:t>
            </w:r>
            <w:r>
              <w:rPr/>
              <w:t>45,016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 </w:t>
            </w:r>
            <w:r>
              <w:rPr/>
              <w:t>54,308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4,118,120</w:t>
            </w:r>
          </w:p>
        </w:tc>
        <w:tc>
          <w:tcPr>
            <w:tcW w:w="77" w:type="dxa"/>
            <w:tcBorders/>
            <w:shd w:fill="CCEEFF" w:val="clear"/>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1,649,188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1,649,188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21,654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21,749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1,649,188</w:t>
            </w:r>
          </w:p>
        </w:tc>
        <w:tc>
          <w:tcPr>
            <w:tcW w:w="77" w:type="dxa"/>
            <w:tcBorders/>
            <w:vAlign w:val="center"/>
          </w:tcPr>
          <w:p>
            <w:pPr>
              <w:pStyle w:val="TableContents"/>
              <w:bidi w:val="0"/>
              <w:spacing w:before="0" w:after="283"/>
              <w:jc w:val="left"/>
              <w:rPr/>
            </w:pPr>
            <w:r>
              <w:rPr/>
              <w:t> </w:t>
            </w:r>
          </w:p>
        </w:tc>
      </w:tr>
      <w:tr>
        <w:trPr/>
        <w:tc>
          <w:tcPr>
            <w:tcW w:w="14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A-3 Preferred Stock</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696,516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696,516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9,187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7,348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696,516</w:t>
            </w:r>
          </w:p>
        </w:tc>
        <w:tc>
          <w:tcPr>
            <w:tcW w:w="77" w:type="dxa"/>
            <w:tcBorders/>
            <w:shd w:fill="CCEEFF" w:val="clear"/>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A-4 Preferred Stock</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 </w:t>
            </w:r>
            <w:r>
              <w:rPr/>
              <w:t>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361,659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361,659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4,770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4,054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361,659</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10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single" w:sz="2" w:space="1" w:color="000000"/>
              </w:pBdr>
              <w:bidi w:val="0"/>
              <w:spacing w:before="0" w:after="0"/>
              <w:jc w:val="left"/>
              <w:rPr/>
            </w:pPr>
            <w:r>
              <w:rPr/>
              <w:t> </w:t>
            </w:r>
          </w:p>
        </w:tc>
        <w:tc>
          <w:tcPr>
            <w:tcW w:w="163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single" w:sz="2" w:space="1" w:color="000000"/>
              </w:pBdr>
              <w:bidi w:val="0"/>
              <w:spacing w:before="0" w:after="0"/>
              <w:jc w:val="left"/>
              <w:rPr/>
            </w:pPr>
            <w:r>
              <w:rPr/>
              <w:t> </w:t>
            </w:r>
          </w:p>
        </w:tc>
        <w:tc>
          <w:tcPr>
            <w:tcW w:w="8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single" w:sz="2" w:space="1" w:color="000000"/>
              </w:pBdr>
              <w:bidi w:val="0"/>
              <w:spacing w:before="0" w:after="0"/>
              <w:jc w:val="left"/>
              <w:rPr/>
            </w:pPr>
            <w:r>
              <w:rPr/>
              <w:t> </w:t>
            </w:r>
          </w:p>
        </w:tc>
        <w:tc>
          <w:tcPr>
            <w:tcW w:w="10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03"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6,825,483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center"/>
              <w:rPr/>
            </w:pPr>
            <w:r>
              <w:rPr/>
              <w:t>6,825,483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$ 80,627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$ 87,459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pPr>
            <w:r>
              <w:rPr/>
              <w:t>6,825,483</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110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double" w:sz="6" w:space="1" w:color="000000"/>
              </w:pBdr>
              <w:bidi w:val="0"/>
              <w:spacing w:before="0" w:after="0"/>
              <w:jc w:val="left"/>
              <w:rPr/>
            </w:pPr>
            <w:r>
              <w:rPr/>
              <w:t> </w:t>
            </w:r>
          </w:p>
        </w:tc>
        <w:tc>
          <w:tcPr>
            <w:tcW w:w="163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double" w:sz="6" w:space="1" w:color="000000"/>
              </w:pBdr>
              <w:bidi w:val="0"/>
              <w:spacing w:before="0" w:after="0"/>
              <w:jc w:val="left"/>
              <w:rPr/>
            </w:pPr>
            <w:r>
              <w:rPr/>
              <w:t> </w:t>
            </w:r>
          </w:p>
        </w:tc>
        <w:tc>
          <w:tcPr>
            <w:tcW w:w="8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double" w:sz="6" w:space="1" w:color="000000"/>
              </w:pBdr>
              <w:bidi w:val="0"/>
              <w:spacing w:before="0" w:after="0"/>
              <w:jc w:val="left"/>
              <w:rPr/>
            </w:pPr>
            <w:r>
              <w:rPr/>
              <w:t> </w:t>
            </w:r>
          </w:p>
        </w:tc>
        <w:tc>
          <w:tcPr>
            <w:tcW w:w="102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03"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issuance of each series of the Preferred Stock, the Company assessed the embedded conversion and liquidation features of the issued Preferred Stock and determined that such features did not require the Company to separately account for these features. </w:t>
      </w:r>
    </w:p>
    <w:p>
      <w:pPr>
        <w:pStyle w:val="TextBody"/>
        <w:bidi w:val="0"/>
        <w:spacing w:before="120" w:after="0"/>
        <w:jc w:val="left"/>
        <w:rPr>
          <w:rFonts w:ascii="Times New Roman" w:hAnsi="Times New Roman"/>
          <w:sz w:val="20"/>
        </w:rPr>
      </w:pPr>
      <w:r>
        <w:rPr>
          <w:rFonts w:ascii="Times New Roman" w:hAnsi="Times New Roman"/>
          <w:sz w:val="20"/>
        </w:rPr>
        <w:t xml:space="preserve">On September 7, 2022, the Company issued 2,446,372 shares of Series A-1 Preferred Stock and 437,282 shares of Series A-2 Preferred Stock at a price of $13.1876 per share, for aggregate gross proceeds of $38.0 million and incurred $11,966 of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have the following rights and privileges: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Preferred Stock are entitled to receive noncumulative dividends if and when declared by the Board at a rate of 8% per annum. The Company may not declare, pay or set aside any dividends on shares of any other series of capital stock of the Company, other than dividends on common stock payable in common stock, unless the holders of the Preferred Stock first receive, or simultaneously receive, a dividend on each outstanding share of the Preferred Stock. No dividends were declared or paid during the year ended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involuntary liquidation, dissolution or winding up of the Company or Deemed Liquidation Event, holders of the Preferred Stock shall be paid out of the assets of the Company available for distribution an amount per share equal to the greater of (i) the applicable original issue price, plus any dividends declared but unpaid, or (ii) such amount per share as would have been payable had all shares of the Preferred Stock been converted into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the assets available for distribution to its stockholders are insufficient to pay the holders of shares of the Preferred Stock the full amount which they shall be entitled, the holders of shares of Preferred Stock shall share ratably in any distribution in proportion to the respective amounts which would otherwise be payable if all amounts payable were paid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On any matter presented to the stockholders of the Company for their actions or consideration at any meeting of the Company, each holder of outstanding shares of Series A-1, Series A-3 and Series A-4 (the “Voting Preferred Stock”) shall be entitled to the number of votes equal to the number of whole shares of common stock into which the shares of the Voting Preferred Stock are convertible. Holders of outstanding shares of Series A-2 Preferred Stock are not entitled to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is conditionally redeemable upon the occurrence of a Deemed Liquidation Event. A Deemed Liquidation Event is defined as (a) a merger or consolidation (an “event”) in which the Company is a constituent party (or a subsidiary of the Company is a constituent party and the Company issues shares of its capital stock pursuant to the event), except those in which the shares Company’s stock outstanding immediately before the event continue to represent, or are converted into or exchanged for shares of capital stock that represent, immediately following the event, at least a majority, by voting power, of the capital stock of (1) the surviving or resulting corporation; or (2) if the surviving or resulting corporation is a wholly owned subsidiary of another corporation immediately following such event, the parent corporation of the surviving or resulting corporation and (b) the sale or disposition of the Company or one or more subsidiaries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Mandatory Conversion </w:t>
      </w:r>
    </w:p>
    <w:p>
      <w:pPr>
        <w:pStyle w:val="TextBody"/>
        <w:bidi w:val="0"/>
        <w:spacing w:before="120" w:after="0"/>
        <w:jc w:val="left"/>
        <w:rPr>
          <w:rFonts w:ascii="Times New Roman" w:hAnsi="Times New Roman"/>
          <w:sz w:val="20"/>
        </w:rPr>
      </w:pPr>
      <w:r>
        <w:rPr>
          <w:rFonts w:ascii="Times New Roman" w:hAnsi="Times New Roman"/>
          <w:sz w:val="20"/>
        </w:rPr>
        <w:t xml:space="preserve">All outstanding shares of the Preferred Stock shall automatically convert into shares of common stock, at the conversion price upon either (a) the closing of the sale of shares of common stock to the public at a price of at least $39.56280 per share (subject to appropriate adjustment in the event of any stock dividend, stock split, combination or other similar recapitalization with respect to the common stock), in a firm-commitment underwritten initial public offering, resulting in at least $75.0 million of gross proceeds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or (b) the date and time, or the occurrence of an event, specified by vote or written consent of the holders of a majority of the voting preferred stock (the “Requisite Holders”). </w:t>
      </w:r>
    </w:p>
    <w:p>
      <w:pPr>
        <w:pStyle w:val="TextBody"/>
        <w:bidi w:val="0"/>
        <w:spacing w:before="120" w:after="0"/>
        <w:jc w:val="left"/>
        <w:rPr>
          <w:rFonts w:ascii="Times New Roman" w:hAnsi="Times New Roman"/>
          <w:sz w:val="20"/>
        </w:rPr>
      </w:pPr>
      <w:r>
        <w:rPr>
          <w:rFonts w:ascii="Times New Roman" w:hAnsi="Times New Roman"/>
          <w:sz w:val="20"/>
        </w:rPr>
        <w:t xml:space="preserve">Additionally, shares of Series A-1 Preferred Stock and A-2 Preferred Stock held by stockholders that did not exercise their tranche rights as part of the September 7, 2022 second tranche closing of the Preferred Stock financing were automatically converted into shares of common stock at the conversion price in effect immediately prior to this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Optional 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the Preferred Stock shall be convertible at any time and from time to time and without the payment of additional consideration by the holder into such number of fully paid and non-assessable shares of common stock as determined by dividing the original issue price by the conversion price. Each share of Series A-2 Preferred Stock shall be convertible into one share of Series A-1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conversion price for the Series A-1 Preferred Stock and the Series A-2 Preferred Stock initially is equal to $13.18760, and the initial conversion price for the Series A-3 Preferred Stock and the Series A-4 Preferred Stock is $10.55008 and $11.20946, respectively. The conversion price is subject to adjustment for any stock-splits, stock dividends, combinations or other similar recapitalizations and other adjustments as set forth in the Company’s ARCOI.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215"/>
        <w:gridCol w:w="1730"/>
      </w:tblGrid>
      <w:tr>
        <w:trPr/>
        <w:tc>
          <w:tcPr>
            <w:tcW w:w="215" w:type="dxa"/>
            <w:tcBorders/>
            <w:vAlign w:val="center"/>
          </w:tcPr>
          <w:p>
            <w:pPr>
              <w:pStyle w:val="TableContents"/>
              <w:bidi w:val="0"/>
              <w:spacing w:before="0" w:after="283"/>
              <w:jc w:val="left"/>
              <w:rPr>
                <w:b/>
              </w:rPr>
            </w:pPr>
            <w:r>
              <w:rPr>
                <w:b/>
              </w:rPr>
              <w:t>9.</w:t>
            </w:r>
          </w:p>
        </w:tc>
        <w:tc>
          <w:tcPr>
            <w:tcW w:w="1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Company’s ARCOI authorized the Company to issue up to 11,947,558 shares of $0.0001 par value common stock, of which, 2,634,246 shares were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Voting, dividend and liquidation rights of the holders of common stock are subject to and qualified by the rights, powers and preferences of the holders of the Preferred Stock. Holders of common stock are entitled to one vote for each share of common stock; however, the holders of the common stock shall not be entitled to vote on any amendment to the ARCOI that relates solely to the terms of one or more outstanding series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included in issued and outstanding common stock shares of restricted common stock granted by the Company. As of December 31, 2023, there were 2,634,246 common shares issued and outstanding, of which 2,598,752 relate to shares of unrestricted common stock.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335"/>
        <w:gridCol w:w="3095"/>
      </w:tblGrid>
      <w:tr>
        <w:trPr/>
        <w:tc>
          <w:tcPr>
            <w:tcW w:w="335" w:type="dxa"/>
            <w:tcBorders/>
            <w:vAlign w:val="center"/>
          </w:tcPr>
          <w:p>
            <w:pPr>
              <w:pStyle w:val="TableContents"/>
              <w:bidi w:val="0"/>
              <w:spacing w:before="0" w:after="283"/>
              <w:jc w:val="left"/>
              <w:rPr>
                <w:b/>
              </w:rPr>
            </w:pPr>
            <w:r>
              <w:rPr>
                <w:b/>
              </w:rPr>
              <w:t>10.</w:t>
            </w:r>
          </w:p>
        </w:tc>
        <w:tc>
          <w:tcPr>
            <w:tcW w:w="3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June 2019, the Company adopted the 2019 Equity Incentive Plan (the “2019 Plan”), which provides employees, consultants and advisors and non-employee members of the Board of Directors and its affiliates with the opportunity to receive grants of stock options, stock awards and equity awards. Since inception, the Company has only issued stock options. Under the 2019 Plan, the Company may grant equity awards that could require the issuance of up to 1,991,264 shares of the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For incentive stock options and non-statutory stock options, the option exercise price may not be less than 100% of the estimated fair value on the date of grant. Options granted typically vest over a four-year period but may be granted with different vesting terms. The options expire ten years from the grant date.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activity in the 2019 Plan for the year ended December 31, 2023 is as follows (in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75"/>
        <w:gridCol w:w="60"/>
        <w:gridCol w:w="62"/>
        <w:gridCol w:w="1026"/>
        <w:gridCol w:w="155"/>
        <w:gridCol w:w="60"/>
        <w:gridCol w:w="432"/>
        <w:gridCol w:w="1358"/>
        <w:gridCol w:w="60"/>
        <w:gridCol w:w="60"/>
        <w:gridCol w:w="303"/>
        <w:gridCol w:w="1622"/>
        <w:gridCol w:w="60"/>
        <w:gridCol w:w="60"/>
        <w:gridCol w:w="307"/>
        <w:gridCol w:w="1228"/>
        <w:gridCol w:w="77"/>
      </w:tblGrid>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 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77"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January 1, 2023</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1,556,819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420</w:t>
            </w:r>
          </w:p>
        </w:tc>
        <w:tc>
          <w:tcPr>
            <w:tcW w:w="77"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441,615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(108,475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172</w:t>
            </w:r>
          </w:p>
        </w:tc>
        <w:tc>
          <w:tcPr>
            <w:tcW w:w="77"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 and expired</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(14,027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pBdr>
                <w:top w:val="single" w:sz="2" w:space="1" w:color="000000"/>
              </w:pBdr>
              <w:bidi w:val="0"/>
              <w:spacing w:before="0" w:after="0"/>
              <w:jc w:val="left"/>
              <w:rPr/>
            </w:pPr>
            <w:r>
              <w:rPr/>
              <w:t> </w:t>
            </w:r>
          </w:p>
        </w:tc>
        <w:tc>
          <w:tcPr>
            <w:tcW w:w="102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1,875,932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2,276</w:t>
            </w:r>
          </w:p>
        </w:tc>
        <w:tc>
          <w:tcPr>
            <w:tcW w:w="77"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pBdr>
                <w:top w:val="double" w:sz="6" w:space="1" w:color="000000"/>
              </w:pBdr>
              <w:bidi w:val="0"/>
              <w:spacing w:before="0" w:after="0"/>
              <w:jc w:val="left"/>
              <w:rPr/>
            </w:pPr>
            <w:r>
              <w:rPr/>
              <w:t> </w:t>
            </w:r>
          </w:p>
        </w:tc>
        <w:tc>
          <w:tcPr>
            <w:tcW w:w="102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as of December 31, 2023</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972,054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1358" w:type="dxa"/>
            <w:tcBorders/>
            <w:vAlign w:val="center"/>
          </w:tcPr>
          <w:p>
            <w:pPr>
              <w:pStyle w:val="TableContents"/>
              <w:bidi w:val="0"/>
              <w:spacing w:before="0" w:after="283"/>
              <w:jc w:val="right"/>
              <w:rPr/>
            </w:pPr>
            <w:r>
              <w:rPr/>
              <w:t>1.30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1,525</w:t>
            </w:r>
          </w:p>
        </w:tc>
        <w:tc>
          <w:tcPr>
            <w:tcW w:w="77"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as of December 31, 2023</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1,875,932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2,276</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weighted-average grant-date fair value of options granted during the years ended December 31, 2023 and 2022 was $2.16 and $1.57 per share, respectively. The total intrinsic value of options exercised during the years ended December 31, 2023 and 2022 was $171,915 and $1,458, respectively. </w:t>
      </w:r>
    </w:p>
    <w:p>
      <w:pPr>
        <w:pStyle w:val="TextBody"/>
        <w:bidi w:val="0"/>
        <w:spacing w:before="120" w:after="0"/>
        <w:jc w:val="left"/>
        <w:rPr>
          <w:rFonts w:ascii="Times New Roman" w:hAnsi="Times New Roman"/>
          <w:sz w:val="20"/>
        </w:rPr>
      </w:pPr>
      <w:r>
        <w:rPr>
          <w:rFonts w:ascii="Times New Roman" w:hAnsi="Times New Roman"/>
          <w:sz w:val="20"/>
        </w:rPr>
        <w:t xml:space="preserve">Cash received from option exercises for the years ended December 31, 2023 and 2022 was $111,770 and $4,105,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fair values of the options granted were estimated based on the BSM option pricing model, using the following assumptions: </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3995"/>
        <w:gridCol w:w="120"/>
        <w:gridCol w:w="1595"/>
        <w:gridCol w:w="60"/>
        <w:gridCol w:w="1490"/>
      </w:tblGrid>
      <w:tr>
        <w:trPr/>
        <w:tc>
          <w:tcPr>
            <w:tcW w:w="3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r>
      <w:tr>
        <w:trPr/>
        <w:tc>
          <w:tcPr>
            <w:tcW w:w="3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3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per share of underlying common stock</w:t>
            </w:r>
          </w:p>
        </w:tc>
        <w:tc>
          <w:tcPr>
            <w:tcW w:w="12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$2.16</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$1.57</w:t>
            </w:r>
          </w:p>
        </w:tc>
      </w:tr>
      <w:tr>
        <w:trPr/>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12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6.01</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6.02</w:t>
            </w:r>
          </w:p>
        </w:tc>
      </w:tr>
      <w:tr>
        <w:trPr/>
        <w:tc>
          <w:tcPr>
            <w:tcW w:w="3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93.44 - 111.21%</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87.02 - 91.24%</w:t>
            </w:r>
          </w:p>
        </w:tc>
      </w:tr>
      <w:tr>
        <w:trPr/>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4.14%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3.01%</w:t>
            </w:r>
          </w:p>
        </w:tc>
      </w:tr>
      <w:tr>
        <w:trPr/>
        <w:tc>
          <w:tcPr>
            <w:tcW w:w="3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Common Stock </w:t>
      </w:r>
    </w:p>
    <w:p>
      <w:pPr>
        <w:pStyle w:val="TextBody"/>
        <w:bidi w:val="0"/>
        <w:spacing w:before="120" w:after="0"/>
        <w:jc w:val="left"/>
        <w:rPr>
          <w:rFonts w:ascii="Times New Roman" w:hAnsi="Times New Roman"/>
          <w:sz w:val="20"/>
        </w:rPr>
      </w:pPr>
      <w:r>
        <w:rPr>
          <w:rFonts w:ascii="Times New Roman" w:hAnsi="Times New Roman"/>
          <w:sz w:val="20"/>
        </w:rPr>
        <w:t xml:space="preserve">Since 2019, the Company 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December 31, 2023, there were 35,494 unvested restricted common stock, with a repurchase liability of less than $0.1 million, that is classified in accrued expenses and other current liabilities in the accompanying consolidated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restricted stock activity: </w:t>
      </w:r>
    </w:p>
    <w:p>
      <w:pPr>
        <w:pStyle w:val="TextBody"/>
        <w:bidi w:val="0"/>
        <w:spacing w:before="0" w:after="0"/>
        <w:jc w:val="left"/>
        <w:rPr/>
      </w:pPr>
      <w:r>
        <w:rPr/>
        <w:t> </w:t>
      </w:r>
    </w:p>
    <w:tbl>
      <w:tblPr>
        <w:tblW w:w="5355" w:type="dxa"/>
        <w:jc w:val="left"/>
        <w:tblInd w:w="0" w:type="dxa"/>
        <w:tblLayout w:type="fixed"/>
        <w:tblCellMar>
          <w:top w:w="0" w:type="dxa"/>
          <w:left w:w="0" w:type="dxa"/>
          <w:bottom w:w="0" w:type="dxa"/>
          <w:right w:w="0" w:type="dxa"/>
        </w:tblCellMar>
      </w:tblPr>
      <w:tblGrid>
        <w:gridCol w:w="3245"/>
        <w:gridCol w:w="60"/>
        <w:gridCol w:w="120"/>
        <w:gridCol w:w="1760"/>
        <w:gridCol w:w="170"/>
      </w:tblGrid>
      <w:tr>
        <w:trPr/>
        <w:tc>
          <w:tcPr>
            <w:tcW w:w="3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 as of</w:t>
              <w:br/>
              <w:t>January 1,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312,826</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(277,332</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pBdr>
                <w:top w:val="single" w:sz="2" w:space="1" w:color="000000"/>
              </w:pBdr>
              <w:bidi w:val="0"/>
              <w:spacing w:before="0" w:after="0"/>
              <w:jc w:val="left"/>
              <w:rPr/>
            </w:pPr>
            <w:r>
              <w:rPr/>
              <w:t> </w:t>
            </w:r>
          </w:p>
        </w:tc>
        <w:tc>
          <w:tcPr>
            <w:tcW w:w="17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 as of</w:t>
              <w:br/>
              <w:t>December 31,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35,494</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pBdr>
                <w:top w:val="double" w:sz="6" w:space="1" w:color="000000"/>
              </w:pBdr>
              <w:bidi w:val="0"/>
              <w:spacing w:before="0" w:after="0"/>
              <w:jc w:val="left"/>
              <w:rPr/>
            </w:pPr>
            <w:r>
              <w:rPr/>
              <w:t> </w:t>
            </w:r>
          </w:p>
        </w:tc>
        <w:tc>
          <w:tcPr>
            <w:tcW w:w="17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of unvested restricted common stock and restricted common stock vested and forfeited for the years ended December 31, 2023 and 2022 was immaterial.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stock-based compensation expense regarding its employees and nonemployees as follows (in thousands):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2225"/>
        <w:gridCol w:w="120"/>
        <w:gridCol w:w="140"/>
        <w:gridCol w:w="560"/>
        <w:gridCol w:w="60"/>
        <w:gridCol w:w="120"/>
        <w:gridCol w:w="140"/>
        <w:gridCol w:w="56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738</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1,119</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records compensation expense on a straight-line basis over the vesting period. As of December 31, 2023, total compensation cost not yet recognized related to unvested stock options was $2.4 million, which is expected to be recognized over a weighted-average period of 2.6 years. </w:t>
      </w:r>
    </w:p>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283"/>
              <w:jc w:val="left"/>
              <w:rPr>
                <w:b/>
              </w:rPr>
            </w:pPr>
            <w:r>
              <w:rPr>
                <w:b/>
              </w:rPr>
              <w:t>11.</w:t>
            </w:r>
          </w:p>
        </w:tc>
        <w:tc>
          <w:tcPr>
            <w:tcW w:w="1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tax expense consists of the following (in thousands): </w:t>
      </w:r>
    </w:p>
    <w:p>
      <w:pPr>
        <w:pStyle w:val="TextBody"/>
        <w:bidi w:val="0"/>
        <w:spacing w:before="0" w:after="0"/>
        <w:jc w:val="left"/>
        <w:rPr/>
      </w:pPr>
      <w:r>
        <w:rPr/>
        <w:t> </w:t>
      </w:r>
    </w:p>
    <w:tbl>
      <w:tblPr>
        <w:tblW w:w="5165" w:type="dxa"/>
        <w:jc w:val="left"/>
        <w:tblInd w:w="0" w:type="dxa"/>
        <w:tblLayout w:type="fixed"/>
        <w:tblCellMar>
          <w:top w:w="0" w:type="dxa"/>
          <w:left w:w="0" w:type="dxa"/>
          <w:bottom w:w="0" w:type="dxa"/>
          <w:right w:w="0" w:type="dxa"/>
        </w:tblCellMar>
      </w:tblPr>
      <w:tblGrid>
        <w:gridCol w:w="2930"/>
        <w:gridCol w:w="120"/>
        <w:gridCol w:w="140"/>
        <w:gridCol w:w="755"/>
        <w:gridCol w:w="155"/>
        <w:gridCol w:w="120"/>
        <w:gridCol w:w="140"/>
        <w:gridCol w:w="635"/>
        <w:gridCol w:w="17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expense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11,207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7,407</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2,189</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14,568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9,596</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change in 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(9,596</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income tax expense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the Company’s loss before income tax expense are compromised solely of domestic sources. The reconciliation of the federal statutory income tax rate to the Company’s effective income tax rate is as follows: </w:t>
      </w:r>
    </w:p>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3695"/>
        <w:gridCol w:w="120"/>
        <w:gridCol w:w="60"/>
        <w:gridCol w:w="515"/>
        <w:gridCol w:w="275"/>
        <w:gridCol w:w="60"/>
        <w:gridCol w:w="60"/>
        <w:gridCol w:w="515"/>
        <w:gridCol w:w="290"/>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5"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29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 statutory income tax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income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6.8</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rate differential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-0.3</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liability fair value adjustment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0.4</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2.5</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-34.0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-29.8</w:t>
            </w:r>
          </w:p>
        </w:tc>
        <w:tc>
          <w:tcPr>
            <w:tcW w:w="29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15"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15"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15"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15"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Significant components of the Company’s deferred tax assets and liabilities consist of the following (in thousands): </w:t>
      </w:r>
    </w:p>
    <w:p>
      <w:pPr>
        <w:pStyle w:val="TextBody"/>
        <w:bidi w:val="0"/>
        <w:spacing w:before="0" w:after="0"/>
        <w:jc w:val="left"/>
        <w:rPr/>
      </w:pPr>
      <w:r>
        <w:rPr/>
        <w:t> </w:t>
      </w:r>
    </w:p>
    <w:tbl>
      <w:tblPr>
        <w:tblW w:w="5015" w:type="dxa"/>
        <w:jc w:val="left"/>
        <w:tblInd w:w="0" w:type="dxa"/>
        <w:tblLayout w:type="fixed"/>
        <w:tblCellMar>
          <w:top w:w="0" w:type="dxa"/>
          <w:left w:w="0" w:type="dxa"/>
          <w:bottom w:w="0" w:type="dxa"/>
          <w:right w:w="0" w:type="dxa"/>
        </w:tblCellMar>
      </w:tblPr>
      <w:tblGrid>
        <w:gridCol w:w="2660"/>
        <w:gridCol w:w="120"/>
        <w:gridCol w:w="140"/>
        <w:gridCol w:w="755"/>
        <w:gridCol w:w="155"/>
        <w:gridCol w:w="120"/>
        <w:gridCol w:w="140"/>
        <w:gridCol w:w="755"/>
        <w:gridCol w:w="17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11,392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7,765</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1,579</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1,575</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R&amp;D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7,027</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Accruals &amp; 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859</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18,805</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(30,228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(15,658</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3,147</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(1,530</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 of use 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(1,617</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(3,147</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Future realization of the tax benefits of existing temporary differences and net operating loss (“NOL”) carryforwards ultimately depends on the existence of sufficient taxable income within the carryforward period. As of December 31, 2023 and 2022,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utilization of NOLs and tax credit carryforwards to offset future taxable income may be subject to an annual limitation as a result of ownership changes that have occurred previously or may occur in the future. Under Sections 382 and 383 of the Internal Revenue Code (“IRC”) of 1986, as amended, a corporation that undergoes an ownership change may be subject to limitations on its ability to utilize its pre-change NOLs and other tax attributes otherwise available to offset future taxable income and/or tax liability. An ownership change is defined as a cumulative change of 50% or more in the ownership positions of certain stockholders during a rolling three-year period. The Company has not completed a formal study to determine if any ownership changes within the meaning of the IRC Section 382 and 383 have occurred as of December 31, 2023 and 2022. An ownership change would restrict its ability to use its NOLs or tax credit carryforwards and could require the Company to pay federal or state income taxes earlier than would be required if such limitations were not in effect. </w:t>
      </w:r>
    </w:p>
    <w:p>
      <w:pPr>
        <w:pStyle w:val="TextBody"/>
        <w:bidi w:val="0"/>
        <w:spacing w:before="120" w:after="0"/>
        <w:jc w:val="left"/>
        <w:rPr>
          <w:rFonts w:ascii="Times New Roman" w:hAnsi="Times New Roman"/>
          <w:sz w:val="20"/>
        </w:rPr>
      </w:pPr>
      <w:r>
        <w:rPr>
          <w:rFonts w:ascii="Times New Roman" w:hAnsi="Times New Roman"/>
          <w:sz w:val="20"/>
        </w:rPr>
        <w:t xml:space="preserve">The Company’s valuation allowance increased for the year ended December 31, 2023 by $14.6 million due primarily to the generation of NOLs. As of December 31, 2023, the Company has NOL carryforwards for federal and state tax reporting purposes of $43.6 million and $35.3 million, respectively. NOL carryforwards generated after December 31, 2017 for federal tax reporting purposes of $43.6 million have an indefinite life. NOL carryforwards for state purposes of $35.3 million begin to expire in 2039. As of December 31, 2023, the Company also has federal and state research and development tax credits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$2.9 million and $1.9 million, which being to expire in 2039 and 2034, respectively. The Tax Cuts and Jobs Act resulted in significant changes to the treatment of research and developmental expenses under Section 174. For tax years beginning after December 31, 2021, taxpayers are required to capitalize and amortize all research and development expenses that are paid or incurred in connection with their trade or business. Specifically, costs for U.S. based research and development activities must be amortized over five years and costs for foreign research and development activities must be amortized over 15 years using a midyear convention. During the year ended December 31, 2023, the Company capitalized $36.2 million of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uncertain tax positions under ASC 740-10, which requires that realization of an uncertain income tax position be recognized. The benefit to be recorded is the amount most likely to be realized assuming a review by tax authorities having all relevant information and applying current conventions. The Company concluded that there are no uncertain tax positions in any of the periods presented. Accrued interest and penalties are included on the related tax liability line in the consolidated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Company files tax returns as prescribed by the tax laws of the jurisdictions in which it operates. In the normal course of business, the Company is subject to examination by federal and state jurisdictions, where applicable. The earliest tax years that remain subject to examination by jurisdiction is the year ended December 31, 2020 for both federal and state. However, to the extent the Company utilizes NOLs from years ending prior to 2020, the statute remains open to the extent of the NOLs or other credits are utilized. </w:t>
      </w:r>
    </w:p>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335"/>
        <w:gridCol w:w="2165"/>
      </w:tblGrid>
      <w:tr>
        <w:trPr/>
        <w:tc>
          <w:tcPr>
            <w:tcW w:w="335" w:type="dxa"/>
            <w:tcBorders/>
            <w:vAlign w:val="center"/>
          </w:tcPr>
          <w:p>
            <w:pPr>
              <w:pStyle w:val="TableContents"/>
              <w:bidi w:val="0"/>
              <w:spacing w:before="0" w:after="283"/>
              <w:jc w:val="left"/>
              <w:rPr>
                <w:b/>
              </w:rPr>
            </w:pPr>
            <w:r>
              <w:rPr>
                <w:b/>
              </w:rPr>
              <w:t>12.</w:t>
            </w:r>
          </w:p>
        </w:tc>
        <w:tc>
          <w:tcPr>
            <w:tcW w:w="21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was calculated as follows (in thousands, except share and per share amounts): </w:t>
      </w:r>
    </w:p>
    <w:p>
      <w:pPr>
        <w:pStyle w:val="TextBody"/>
        <w:bidi w:val="0"/>
        <w:spacing w:before="0" w:after="0"/>
        <w:jc w:val="left"/>
        <w:rPr/>
      </w:pPr>
      <w:r>
        <w:rPr/>
        <w:t> </w:t>
      </w:r>
    </w:p>
    <w:tbl>
      <w:tblPr>
        <w:tblW w:w="8765" w:type="dxa"/>
        <w:jc w:val="left"/>
        <w:tblInd w:w="0" w:type="dxa"/>
        <w:tblLayout w:type="fixed"/>
        <w:tblCellMar>
          <w:top w:w="0" w:type="dxa"/>
          <w:left w:w="0" w:type="dxa"/>
          <w:bottom w:w="0" w:type="dxa"/>
          <w:right w:w="0" w:type="dxa"/>
        </w:tblCellMar>
      </w:tblPr>
      <w:tblGrid>
        <w:gridCol w:w="5960"/>
        <w:gridCol w:w="120"/>
        <w:gridCol w:w="140"/>
        <w:gridCol w:w="980"/>
        <w:gridCol w:w="155"/>
        <w:gridCol w:w="120"/>
        <w:gridCol w:w="140"/>
        <w:gridCol w:w="980"/>
        <w:gridCol w:w="170"/>
      </w:tblGrid>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(32,180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2,373,674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1,969,418</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(16.34</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years ended December 31, 2023 and 2022, the Company excluded the following potential common shares from the computation of diluted net loss per share attributable to common stockholders for the period because including them would have had an anti-dilutive effect: </w:t>
      </w:r>
    </w:p>
    <w:p>
      <w:pPr>
        <w:pStyle w:val="TextBody"/>
        <w:bidi w:val="0"/>
        <w:spacing w:before="0" w:after="0"/>
        <w:jc w:val="left"/>
        <w:rPr/>
      </w:pPr>
      <w:r>
        <w:rPr/>
        <w:t> </w:t>
      </w:r>
    </w:p>
    <w:tbl>
      <w:tblPr>
        <w:tblW w:w="7455" w:type="dxa"/>
        <w:jc w:val="left"/>
        <w:tblInd w:w="0" w:type="dxa"/>
        <w:tblLayout w:type="fixed"/>
        <w:tblCellMar>
          <w:top w:w="0" w:type="dxa"/>
          <w:left w:w="0" w:type="dxa"/>
          <w:bottom w:w="0" w:type="dxa"/>
          <w:right w:w="0" w:type="dxa"/>
        </w:tblCellMar>
      </w:tblPr>
      <w:tblGrid>
        <w:gridCol w:w="4880"/>
        <w:gridCol w:w="120"/>
        <w:gridCol w:w="60"/>
        <w:gridCol w:w="1100"/>
        <w:gridCol w:w="60"/>
        <w:gridCol w:w="120"/>
        <w:gridCol w:w="60"/>
        <w:gridCol w:w="980"/>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preferred stock (as converted to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6,825,483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6,825,483</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to purchase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1,875,932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1,556,819</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312,826</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SAFEs (as converted to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2,842,954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11,579,863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8,695,128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335"/>
        <w:gridCol w:w="3290"/>
      </w:tblGrid>
      <w:tr>
        <w:trPr/>
        <w:tc>
          <w:tcPr>
            <w:tcW w:w="335" w:type="dxa"/>
            <w:tcBorders/>
            <w:vAlign w:val="center"/>
          </w:tcPr>
          <w:p>
            <w:pPr>
              <w:pStyle w:val="TableContents"/>
              <w:bidi w:val="0"/>
              <w:spacing w:before="0" w:after="283"/>
              <w:jc w:val="left"/>
              <w:rPr>
                <w:b/>
              </w:rPr>
            </w:pPr>
            <w:r>
              <w:rPr>
                <w:b/>
              </w:rPr>
              <w:t>13.</w:t>
            </w:r>
          </w:p>
        </w:tc>
        <w:tc>
          <w:tcPr>
            <w:tcW w:w="32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Scientific Advisory Board Member </w:t>
      </w:r>
    </w:p>
    <w:p>
      <w:pPr>
        <w:pStyle w:val="TextBody"/>
        <w:bidi w:val="0"/>
        <w:spacing w:before="120" w:after="0"/>
        <w:jc w:val="left"/>
        <w:rPr>
          <w:rFonts w:ascii="Times New Roman" w:hAnsi="Times New Roman"/>
          <w:sz w:val="20"/>
        </w:rPr>
      </w:pPr>
      <w:r>
        <w:rPr>
          <w:rFonts w:ascii="Times New Roman" w:hAnsi="Times New Roman"/>
          <w:sz w:val="20"/>
        </w:rPr>
        <w:t xml:space="preserve">One of the Company’s co-founders is a member of the Company’s Scientific Advisory Board (“SAB”) and meets the criteria of a related party. For each of the years ended December 31, 2023 and 2022, the Company paid the SAB member fees in the amount of $0.1 million for advisory services provided. There were no amounts due to or from this related party as of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Harvard College (“Harvard”) meets the criteria of a related party resulting from the Company’s co-founders’ employment as professors in the Harvard Department of Molecular Pharmacology. Additionally, both co-founders are members of the Board and one co-founder is a major shareholder in the Company. Core intellectual property utilized by the Company is licensed from Harvard in exchange for license fees, future milestones and royalties, and equity in the Company in the form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and 2022, the Company paid Harvard $0.2 and $0.1 million in cash considerations, respectively (see Note 6). Accounts payable to Harvard amounted to less than $0.1 million and zero as of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Sublease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 sublease agreement with a company controlled by the Company’s co-founders. The sublease agreement was terminated in July 2022. For the years ended December 31, 2023 and 2022, the Company received cash considerations and recorded sublease income in the amount of zero and $0.3 million, respectively (see Note 7). There were no amounts due to or from this related party as of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September 7, 2022, the Company issued 2,237,846 shares of Series A-1 Preferred Stock and 437,282 shares of Series A-2 Preferred Stock to related parties (see Note 8). These related parties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key members of management, members of the Board, and certain of the Chief Executive Officer’s family members.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Agreements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through December 2023, the Company entered into multiple SAFE agreements with certain existing investors and received $34.1 million representing the purchase amount. All investors are considered related parties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SAFE agreements have no maturity date, bear no interest, and will be redeemed by the Company upon the occurrence of a triggering event, including an equity financing, public listing transaction, change of control or dissolution. Equity financing is defined as a sale of the Company’s preferred stock at a fixed valuation. In the event of an equity financing, the SAFEs will automatically be redeemed through delivery of a variable number of shares of Company preferred stock equal to the SAFE purchase amount divided by the preferred stock per share issuance price in the equity financing. In the case of SAFE agreements issued in October 2023, a 10% discount will be applied to the per share issuance price in the equity financing in determining the number of shares of Company preferred stock issued to the investors upon redemption. </w:t>
      </w:r>
    </w:p>
    <w:p>
      <w:pPr>
        <w:pStyle w:val="TextBody"/>
        <w:bidi w:val="0"/>
        <w:spacing w:before="120" w:after="0"/>
        <w:jc w:val="left"/>
        <w:rPr>
          <w:rFonts w:ascii="Times New Roman" w:hAnsi="Times New Roman"/>
          <w:sz w:val="20"/>
        </w:rPr>
      </w:pPr>
      <w:r>
        <w:rPr>
          <w:rFonts w:ascii="Times New Roman" w:hAnsi="Times New Roman"/>
          <w:sz w:val="20"/>
        </w:rPr>
        <w:t xml:space="preserve">Public listing transaction is defined as a direct listing, initial public offering (“IPO”) of the Company’s common stock, a reverse merger or a SPAC transaction. In any of these instances, the SAFEs will automatically be redeemed through delivery of a variable number of shares of the Company’s common stock determined by dividing the SAFE purchase amount by the offering or conversion price in the respective transaction. In the event of a change in control transaction, the SAFE investors will be entitled to receive a portion of the transaction proceeds equal to the greater of the SAFE purchase amount, payable in cash or other consideration, or the amount payable on the number of shares of the Company’s common stock equal to the SAFE purchase amount divided by the change in control conversion price, as defined in the agreement. In a dissolution event, the investor will automatically be entitled to receive a portion of the dissolution purchase amount equal to the SAFE proceeds. </w:t>
      </w:r>
    </w:p>
    <w:p>
      <w:pPr>
        <w:pStyle w:val="TextBody"/>
        <w:bidi w:val="0"/>
        <w:spacing w:before="120" w:after="0"/>
        <w:jc w:val="left"/>
        <w:rPr>
          <w:rFonts w:ascii="Times New Roman" w:hAnsi="Times New Roman"/>
          <w:sz w:val="20"/>
        </w:rPr>
      </w:pPr>
      <w:r>
        <w:rPr>
          <w:rFonts w:ascii="Times New Roman" w:hAnsi="Times New Roman"/>
          <w:sz w:val="20"/>
        </w:rPr>
        <w:t xml:space="preserve">The SAFEs are not in the legal form of an outstanding share or debt and therefore were evaluated under ASC 480, </w:t>
      </w:r>
      <w:r>
        <w:rPr>
          <w:rFonts w:ascii="Times New Roman" w:hAnsi="Times New Roman"/>
          <w:i/>
          <w:sz w:val="20"/>
        </w:rPr>
        <w:t xml:space="preserve">Distinguishing Liabilities from Equity </w:t>
      </w:r>
      <w:r>
        <w:rPr>
          <w:rFonts w:ascii="Times New Roman" w:hAnsi="Times New Roman"/>
          <w:sz w:val="20"/>
        </w:rPr>
        <w:t xml:space="preserve">(“ASC 480”). Because the SAFEs allow for redemption based upon certain triggering events that are outside the Company’s control, the SAFEs were classified as liabilities pursuant to ASC 480 and initially measured at their fair value upon issuance. In addition, until redemption, the SAFEs are measured at fair value on a recurring basis with subsequent changes in fair value recoded in the Company’s statement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SAFEs issued in October 2023 were recognized at their fair value of $10.4 million on the issuance date. The issuance date fair value exceeded the proceeds received by approximately $0.3 million and this difference was recognized as loss at issuance in the consolidated statement of operations and comprehensive loss. The SAFEs issued in December 2023 were recognized at their fair value of approximately $21.4 million on the issuance date. The proceeds received exceeded the issuance date fair value by approximately $2.6 million and this difference was recognized as a capital contribution from the related party investors in additional paid-in capital in the consolidated statement of stockholders’ deficit. The subsequent measurement to the total SAFE liabilities fair value of $30.5 million is recorded in the consolidated statement of operations and comprehensive loss. </w:t>
      </w:r>
    </w:p>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335"/>
        <w:gridCol w:w="2210"/>
      </w:tblGrid>
      <w:tr>
        <w:trPr/>
        <w:tc>
          <w:tcPr>
            <w:tcW w:w="335" w:type="dxa"/>
            <w:tcBorders/>
            <w:vAlign w:val="center"/>
          </w:tcPr>
          <w:p>
            <w:pPr>
              <w:pStyle w:val="TableContents"/>
              <w:bidi w:val="0"/>
              <w:spacing w:before="0" w:after="283"/>
              <w:jc w:val="left"/>
              <w:rPr>
                <w:b/>
              </w:rPr>
            </w:pPr>
            <w:r>
              <w:rPr>
                <w:b/>
              </w:rPr>
              <w:t>14.</w:t>
            </w:r>
          </w:p>
        </w:tc>
        <w:tc>
          <w:tcPr>
            <w:tcW w:w="22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March 25, 2024, which is the date the consolidated financial statements were available to be issued and April 12, 2024, which is the date the consolidated financial statements were available to be re-issued, to ensure that these consolidated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statements include appropriate disclosure of events both recognized in the consolidated financial statements and events which occurred but were not recognized in the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Proposed Merger with AVROBIO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1, on January 30, 2024, the Company entered into an Agreement and Plan of Merger and Reorganization (the “Merger Agreement”) with AVROBIO, pursuant to which the subsidiaries of AVROBIO will merge with and into the Company, with the Company continuing as a wholly owned subsidiary of the surviving corporation of the merger (the “Merger”). The Merger is expected to be accounted for as a reverse recapitalization in accordance with GAAP, with AVROBIO treated as the acquired company for financial reporting purposes, and the Company treated as the accounting acquirer.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Merger Agreement, certain parties will enter into certain subscription agreements (the “Subscription Agreements”) with the Company to purchase, prior to the consummation of the merger, approximately 7,790,903 shares of the Company’s common stock for an aggregate purchase price of approximately $96.6 million. Shares of the Company’s common stock issued pursuant to the Subscription Agreements will be converted into shares of AVROBIO common stock at the closing of the merger based on an exchange ratio,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198" w:name="toc770053_201"/>
      <w:bookmarkEnd w:id="198"/>
      <w:r>
        <w:rPr>
          <w:rFonts w:ascii="Times New Roman" w:hAnsi="Times New Roman"/>
          <w:b/>
          <w:sz w:val="20"/>
        </w:rPr>
        <w:t xml:space="preserve">Annex A </w:t>
      </w:r>
    </w:p>
    <w:p>
      <w:pPr>
        <w:pStyle w:val="TextBody"/>
        <w:bidi w:val="0"/>
        <w:spacing w:before="0" w:after="0"/>
        <w:jc w:val="left"/>
        <w:rPr/>
      </w:pPr>
      <w:r>
        <w:rPr/>
        <w:t> </w:t>
      </w:r>
    </w:p>
    <w:p>
      <w:pPr>
        <w:pStyle w:val="TextBody"/>
        <w:bidi w:val="0"/>
        <w:spacing w:before="60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480" w:after="0"/>
        <w:jc w:val="center"/>
        <w:rPr>
          <w:rFonts w:ascii="Times New Roman" w:hAnsi="Times New Roman"/>
          <w:sz w:val="20"/>
        </w:rPr>
      </w:pPr>
      <w:r>
        <w:rPr>
          <w:rFonts w:ascii="Times New Roman" w:hAnsi="Times New Roman"/>
          <w:sz w:val="20"/>
        </w:rPr>
        <w:t xml:space="preserve">among: </w:t>
      </w:r>
    </w:p>
    <w:p>
      <w:pPr>
        <w:pStyle w:val="TextBody"/>
        <w:bidi w:val="0"/>
        <w:spacing w:before="480" w:after="0"/>
        <w:jc w:val="center"/>
        <w:rPr>
          <w:rFonts w:ascii="Times New Roman" w:hAnsi="Times New Roman"/>
          <w:sz w:val="20"/>
        </w:rPr>
      </w:pPr>
      <w:r>
        <w:rPr>
          <w:rFonts w:ascii="Times New Roman" w:hAnsi="Times New Roman"/>
          <w:b/>
          <w:sz w:val="20"/>
        </w:rPr>
        <w:t>AVROBIO, INC.</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b/>
          <w:sz w:val="20"/>
        </w:rPr>
        <w:t>ALPINE MERGER SUBSIDIARY, INC.</w:t>
      </w:r>
      <w:r>
        <w:rPr>
          <w:rFonts w:ascii="Times New Roman" w:hAnsi="Times New Roman"/>
          <w:sz w:val="20"/>
        </w:rPr>
        <w:t xml:space="preserve">; and </w:t>
      </w:r>
    </w:p>
    <w:p>
      <w:pPr>
        <w:pStyle w:val="TextBody"/>
        <w:bidi w:val="0"/>
        <w:spacing w:before="48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480" w:after="0"/>
        <w:jc w:val="center"/>
        <w:rPr>
          <w:rFonts w:ascii="Times New Roman" w:hAnsi="Times New Roman"/>
          <w:sz w:val="20"/>
        </w:rPr>
      </w:pPr>
      <w:r>
        <w:rPr>
          <w:rFonts w:ascii="Times New Roman" w:hAnsi="Times New Roman"/>
          <w:sz w:val="20"/>
        </w:rPr>
        <w:t xml:space="preserve">Dated as of January 30, 2024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6894" w:type="dxa"/>
        <w:jc w:val="left"/>
        <w:tblInd w:w="0" w:type="dxa"/>
        <w:tblLayout w:type="fixed"/>
        <w:tblCellMar>
          <w:top w:w="0" w:type="dxa"/>
          <w:left w:w="0" w:type="dxa"/>
          <w:bottom w:w="0" w:type="dxa"/>
          <w:right w:w="0" w:type="dxa"/>
        </w:tblCellMar>
      </w:tblPr>
      <w:tblGrid>
        <w:gridCol w:w="493"/>
        <w:gridCol w:w="130"/>
        <w:gridCol w:w="5501"/>
        <w:gridCol w:w="120"/>
        <w:gridCol w:w="60"/>
        <w:gridCol w:w="515"/>
        <w:gridCol w:w="75"/>
      </w:tblGrid>
      <w:tr>
        <w:trPr/>
        <w:tc>
          <w:tcPr>
            <w:tcW w:w="4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5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24" w:type="dxa"/>
            <w:gridSpan w:val="3"/>
            <w:tcBorders/>
            <w:vAlign w:val="center"/>
          </w:tcPr>
          <w:p>
            <w:pPr>
              <w:pStyle w:val="TableContents"/>
              <w:bidi w:val="0"/>
              <w:spacing w:before="0" w:after="283"/>
              <w:jc w:val="left"/>
              <w:rPr/>
            </w:pPr>
            <w:hyperlink w:anchor="annxa770053_1">
              <w:r>
                <w:rPr>
                  <w:rStyle w:val="InternetLink"/>
                  <w:b/>
                </w:rPr>
                <w:t xml:space="preserve">Section 1. Definitions and Interpretative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A-3</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1.1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
              <w:r>
                <w:rPr>
                  <w:rStyle w:val="InternetLink"/>
                </w:rPr>
                <w:t>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1.2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
              <w:r>
                <w:rPr>
                  <w:rStyle w:val="InternetLink"/>
                </w:rPr>
                <w:t>Other Definitional and Interpretative Provisions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6124"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124" w:type="dxa"/>
            <w:gridSpan w:val="3"/>
            <w:tcBorders/>
            <w:vAlign w:val="center"/>
          </w:tcPr>
          <w:p>
            <w:pPr>
              <w:pStyle w:val="TableContents"/>
              <w:bidi w:val="0"/>
              <w:spacing w:before="0" w:after="283"/>
              <w:jc w:val="left"/>
              <w:rPr/>
            </w:pPr>
            <w:hyperlink w:anchor="annxa770053_4">
              <w:r>
                <w:rPr>
                  <w:rStyle w:val="InternetLink"/>
                  <w:b/>
                </w:rPr>
                <w:t xml:space="preserve">Section 2. Description of Transaction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5">
              <w:r>
                <w:rPr>
                  <w:rStyle w:val="InternetLink"/>
                </w:rPr>
                <w:t>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6">
              <w:r>
                <w:rPr>
                  <w:rStyle w:val="InternetLink"/>
                </w:rPr>
                <w:t>Effects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2.3</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7">
              <w:r>
                <w:rPr>
                  <w:rStyle w:val="InternetLink"/>
                </w:rPr>
                <w:t>Closing; Effective Time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2.4</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8">
              <w:r>
                <w:rPr>
                  <w:rStyle w:val="InternetLink"/>
                </w:rPr>
                <w:t>Organizational Documents; Directors and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2.5</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9">
              <w:r>
                <w:rPr>
                  <w:rStyle w:val="InternetLink"/>
                </w:rPr>
                <w:t>Conversion of Company Equity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A-20</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2.6</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0">
              <w:r>
                <w:rPr>
                  <w:rStyle w:val="InternetLink"/>
                </w:rPr>
                <w:t>Contingent Value Right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2.7</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1">
              <w:r>
                <w:rPr>
                  <w:rStyle w:val="InternetLink"/>
                </w:rPr>
                <w:t>Closing of the Company’s Transfer Books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2.8</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2">
              <w:r>
                <w:rPr>
                  <w:rStyle w:val="InternetLink"/>
                </w:rPr>
                <w:t>Surrender of Company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2.9</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3">
              <w:r>
                <w:rPr>
                  <w:rStyle w:val="InternetLink"/>
                </w:rPr>
                <w:t>Calculation of Net Cash and Company Equity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A-23</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2.10</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4">
              <w:r>
                <w:rPr>
                  <w:rStyle w:val="InternetLink"/>
                </w:rPr>
                <w:t>Further Action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5">
              <w:r>
                <w:rPr>
                  <w:rStyle w:val="InternetLink"/>
                </w:rPr>
                <w:t>Intended Tax Treatment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6">
              <w:r>
                <w:rPr>
                  <w:rStyle w:val="InternetLink"/>
                </w:rPr>
                <w:t>Withholding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2.13</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7">
              <w:r>
                <w:rPr>
                  <w:rStyle w:val="InternetLink"/>
                </w:rPr>
                <w:t>Appraisal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6124"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124" w:type="dxa"/>
            <w:gridSpan w:val="3"/>
            <w:tcBorders/>
            <w:vAlign w:val="center"/>
          </w:tcPr>
          <w:p>
            <w:pPr>
              <w:pStyle w:val="TableContents"/>
              <w:bidi w:val="0"/>
              <w:spacing w:before="0" w:after="283"/>
              <w:jc w:val="left"/>
              <w:rPr/>
            </w:pPr>
            <w:hyperlink w:anchor="annxa770053_18">
              <w:r>
                <w:rPr>
                  <w:rStyle w:val="InternetLink"/>
                  <w:b/>
                </w:rPr>
                <w:t xml:space="preserve">Section 3. Representations and Warranties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A-25</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9">
              <w:r>
                <w:rPr>
                  <w:rStyle w:val="InternetLink"/>
                </w:rPr>
                <w:t>Due Organization; Subsidiaries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0">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3.3</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1">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3.4</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2">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3.5</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3">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3.6</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4">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3.7</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5">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A-28</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3.8</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6">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3.9</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7">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3.10</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8">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9">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0">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A-30</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3.13</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1">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A-32</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3.14</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2">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A-34</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3.15</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3">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A-35</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3.16</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4">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bidi w:val="0"/>
        <w:jc w:val="left"/>
        <w:rPr/>
      </w:pPr>
      <w:r>
        <w:rPr/>
      </w:r>
    </w:p>
    <w:tbl>
      <w:tblPr>
        <w:tblW w:w="7899" w:type="dxa"/>
        <w:jc w:val="left"/>
        <w:tblInd w:w="0" w:type="dxa"/>
        <w:tblLayout w:type="fixed"/>
        <w:tblCellMar>
          <w:top w:w="0" w:type="dxa"/>
          <w:left w:w="0" w:type="dxa"/>
          <w:bottom w:w="0" w:type="dxa"/>
          <w:right w:w="0" w:type="dxa"/>
        </w:tblCellMar>
      </w:tblPr>
      <w:tblGrid>
        <w:gridCol w:w="685"/>
        <w:gridCol w:w="180"/>
        <w:gridCol w:w="6264"/>
        <w:gridCol w:w="120"/>
        <w:gridCol w:w="60"/>
        <w:gridCol w:w="515"/>
        <w:gridCol w:w="75"/>
      </w:tblGrid>
      <w:tr>
        <w:trPr/>
        <w:tc>
          <w:tcPr>
            <w:tcW w:w="68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2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3.17</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5">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3.18</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6">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3.19</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7">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3.20</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8">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3.21</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9">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3.22</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0">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3.23</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1">
              <w:r>
                <w:rPr>
                  <w:rStyle w:val="InternetLink"/>
                </w:rPr>
                <w:t>Anti-Corruption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3.24</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2">
              <w:r>
                <w:rPr>
                  <w:rStyle w:val="InternetLink"/>
                </w:rPr>
                <w:t>Sanctions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3.25</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3">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129" w:type="dxa"/>
            <w:gridSpan w:val="3"/>
            <w:tcBorders/>
            <w:vAlign w:val="center"/>
          </w:tcPr>
          <w:p>
            <w:pPr>
              <w:pStyle w:val="TableContents"/>
              <w:bidi w:val="0"/>
              <w:spacing w:before="0" w:after="283"/>
              <w:jc w:val="left"/>
              <w:rPr/>
            </w:pPr>
            <w:hyperlink w:anchor="annxa770053_44">
              <w:r>
                <w:rPr>
                  <w:rStyle w:val="InternetLink"/>
                  <w:b/>
                </w:rPr>
                <w:t xml:space="preserve">Section 4. Representations and Warranties of Aspen and Merger Sub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A-41</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5">
              <w:r>
                <w:rPr>
                  <w:rStyle w:val="InternetLink"/>
                </w:rPr>
                <w:t>Due Organization; Subsidiaries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6">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4.3</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7">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4.4</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8">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4.5</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9">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4.6</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0">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A-44</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4.7</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1">
              <w:r>
                <w:rPr>
                  <w:rStyle w:val="InternetLink"/>
                </w:rPr>
                <w:t>SEC Filings;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A-45</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4.8</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2">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4.9</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3">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4.10</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4">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4.11</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5">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4.12</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6">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4.13</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7">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4.14</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8">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A-52</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4.15</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9">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4.16</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0">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4.17</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1">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A-55</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4.18</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2">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4.19</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3">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4.20</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4">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4.21</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5">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4.22</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6">
              <w:r>
                <w:rPr>
                  <w:rStyle w:val="InternetLink"/>
                </w:rPr>
                <w:t>Valid Issuance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4.23</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7">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4.24</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8">
              <w:r>
                <w:rPr>
                  <w:rStyle w:val="InternetLink"/>
                </w:rPr>
                <w:t>Anti-Corruption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4.25</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9">
              <w:r>
                <w:rPr>
                  <w:rStyle w:val="InternetLink"/>
                </w:rPr>
                <w:t>Sanctions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A-59</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4.26</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70">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bidi w:val="0"/>
        <w:jc w:val="left"/>
        <w:rPr/>
      </w:pPr>
      <w:r>
        <w:rPr/>
      </w:r>
    </w:p>
    <w:tbl>
      <w:tblPr>
        <w:tblW w:w="9398" w:type="dxa"/>
        <w:jc w:val="left"/>
        <w:tblInd w:w="0" w:type="dxa"/>
        <w:tblLayout w:type="fixed"/>
        <w:tblCellMar>
          <w:top w:w="0" w:type="dxa"/>
          <w:left w:w="0" w:type="dxa"/>
          <w:bottom w:w="0" w:type="dxa"/>
          <w:right w:w="0" w:type="dxa"/>
        </w:tblCellMar>
      </w:tblPr>
      <w:tblGrid>
        <w:gridCol w:w="521"/>
        <w:gridCol w:w="137"/>
        <w:gridCol w:w="7970"/>
        <w:gridCol w:w="120"/>
        <w:gridCol w:w="60"/>
        <w:gridCol w:w="515"/>
        <w:gridCol w:w="75"/>
      </w:tblGrid>
      <w:tr>
        <w:trPr/>
        <w:tc>
          <w:tcPr>
            <w:tcW w:w="5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pPr>
            <w:hyperlink w:anchor="annxa770053_71">
              <w:r>
                <w:rPr>
                  <w:rStyle w:val="InternetLink"/>
                  <w:b/>
                </w:rPr>
                <w:t xml:space="preserve">Section 5. Certain Covenants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A-59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2">
              <w:r>
                <w:rPr>
                  <w:rStyle w:val="InternetLink"/>
                </w:rPr>
                <w:t>Operation of Aspen’s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3">
              <w:r>
                <w:rPr>
                  <w:rStyle w:val="InternetLink"/>
                </w:rPr>
                <w:t>Operation of the Company’s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A-61</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4">
              <w:r>
                <w:rPr>
                  <w:rStyle w:val="InternetLink"/>
                </w:rPr>
                <w:t>Access and Investigation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A-63</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5">
              <w:r>
                <w:rPr>
                  <w:rStyle w:val="InternetLink"/>
                </w:rPr>
                <w:t>No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A-64</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5.5</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6">
              <w:r>
                <w:rPr>
                  <w:rStyle w:val="InternetLink"/>
                </w:rPr>
                <w:t>Notification of Certain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A-65</w:t>
            </w:r>
          </w:p>
        </w:tc>
        <w:tc>
          <w:tcPr>
            <w:tcW w:w="75" w:type="dxa"/>
            <w:tcBorders/>
            <w:vAlign w:val="center"/>
          </w:tcPr>
          <w:p>
            <w:pPr>
              <w:pStyle w:val="TableContents"/>
              <w:bidi w:val="0"/>
              <w:spacing w:before="0" w:after="283"/>
              <w:jc w:val="left"/>
              <w:rPr/>
            </w:pPr>
            <w:r>
              <w:rPr/>
              <w:t> </w:t>
            </w:r>
          </w:p>
        </w:tc>
      </w:tr>
      <w:tr>
        <w:trPr/>
        <w:tc>
          <w:tcPr>
            <w:tcW w:w="8628"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pPr>
            <w:hyperlink w:anchor="annxa770053_77">
              <w:r>
                <w:rPr>
                  <w:rStyle w:val="InternetLink"/>
                  <w:b/>
                </w:rPr>
                <w:t xml:space="preserve">Section 6. Additional Agreements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A-65</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8">
              <w:r>
                <w:rPr>
                  <w:rStyle w:val="InternetLink"/>
                </w:rPr>
                <w:t>Registration Statement, 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A-65</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9">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A-67</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0">
              <w:r>
                <w:rPr>
                  <w:rStyle w:val="InternetLink"/>
                </w:rPr>
                <w:t>Aspen Stockholder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1">
              <w:r>
                <w:rPr>
                  <w:rStyle w:val="InternetLink"/>
                </w:rPr>
                <w:t>Efforts; 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A-70</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6.5</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2">
              <w:r>
                <w:rPr>
                  <w:rStyle w:val="InternetLink"/>
                </w:rPr>
                <w:t>Company Options; Company Restricted Stock Units; Company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6.6</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3">
              <w:r>
                <w:rPr>
                  <w:rStyle w:val="InternetLink"/>
                </w:rPr>
                <w:t>Employee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6.7</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4">
              <w:r>
                <w:rPr>
                  <w:rStyle w:val="InternetLink"/>
                </w:rPr>
                <w:t>Aspen Equity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6.8</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5">
              <w:r>
                <w:rPr>
                  <w:rStyle w:val="InternetLink"/>
                </w:rPr>
                <w:t>Indemnification of 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6.9</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6">
              <w:r>
                <w:rPr>
                  <w:rStyle w:val="InternetLink"/>
                </w:rPr>
                <w:t>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6.10</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7">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8">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9">
              <w:r>
                <w:rPr>
                  <w:rStyle w:val="InternetLink"/>
                </w:rPr>
                <w:t>Legends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0">
              <w:r>
                <w:rPr>
                  <w:rStyle w:val="InternetLink"/>
                </w:rPr>
                <w:t>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1">
              <w:r>
                <w:rPr>
                  <w:rStyle w:val="InternetLink"/>
                </w:rPr>
                <w:t>Termination of Certain Agreements and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6.15</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2">
              <w:r>
                <w:rPr>
                  <w:rStyle w:val="InternetLink"/>
                </w:rPr>
                <w:t>Section 16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6.16</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3">
              <w:r>
                <w:rPr>
                  <w:rStyle w:val="InternetLink"/>
                </w:rPr>
                <w:t>Allocation Certificate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6.17</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4">
              <w:r>
                <w:rPr>
                  <w:rStyle w:val="InternetLink"/>
                </w:rPr>
                <w:t>Obligations of Merger Sub</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6.18</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5">
              <w:r>
                <w:rPr>
                  <w:rStyle w:val="InternetLink"/>
                </w:rPr>
                <w:t>Covenants Regarding Concurrent Investment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8628"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pPr>
            <w:hyperlink w:anchor="annxa770053_96">
              <w:r>
                <w:rPr>
                  <w:rStyle w:val="InternetLink"/>
                  <w:b/>
                </w:rPr>
                <w:t xml:space="preserve">Section 7. Conditions Precedent to Obligations of Each Party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7">
              <w:r>
                <w:rPr>
                  <w:rStyle w:val="InternetLink"/>
                </w:rPr>
                <w:t>Effectiveness of Registration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8">
              <w:r>
                <w:rPr>
                  <w:rStyle w:val="InternetLink"/>
                </w:rPr>
                <w:t>No Restraints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9">
              <w:r>
                <w:rPr>
                  <w:rStyle w:val="InternetLink"/>
                </w:rPr>
                <w:t>Stockholder 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0">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7.5</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1">
              <w:r>
                <w:rPr>
                  <w:rStyle w:val="InternetLink"/>
                </w:rPr>
                <w:t>Lock-Up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8628"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pPr>
            <w:hyperlink w:anchor="annxa770053_102">
              <w:r>
                <w:rPr>
                  <w:rStyle w:val="InternetLink"/>
                  <w:b/>
                </w:rPr>
                <w:t xml:space="preserve">Section 8. Additional Conditions Precedent to Obligations of Aspen and Merger Sub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A-79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8.1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3">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8.2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4">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8.3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5">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8.4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6">
              <w:r>
                <w:rPr>
                  <w:rStyle w:val="InternetLink"/>
                </w:rPr>
                <w:t>No Company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bidi w:val="0"/>
        <w:jc w:val="left"/>
        <w:rPr/>
      </w:pPr>
      <w:r>
        <w:rPr/>
      </w:r>
    </w:p>
    <w:tbl>
      <w:tblPr>
        <w:tblW w:w="9510" w:type="dxa"/>
        <w:jc w:val="left"/>
        <w:tblInd w:w="0" w:type="dxa"/>
        <w:tblLayout w:type="fixed"/>
        <w:tblCellMar>
          <w:top w:w="0" w:type="dxa"/>
          <w:left w:w="0" w:type="dxa"/>
          <w:bottom w:w="0" w:type="dxa"/>
          <w:right w:w="0" w:type="dxa"/>
        </w:tblCellMar>
      </w:tblPr>
      <w:tblGrid>
        <w:gridCol w:w="575"/>
        <w:gridCol w:w="120"/>
        <w:gridCol w:w="8045"/>
        <w:gridCol w:w="120"/>
        <w:gridCol w:w="60"/>
        <w:gridCol w:w="515"/>
        <w:gridCol w:w="75"/>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8.5</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07">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8.6</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08">
              <w:r>
                <w:rPr>
                  <w:rStyle w:val="InternetLink"/>
                </w:rPr>
                <w:t>Concurrent Investment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8.7</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09">
              <w:r>
                <w:rPr>
                  <w:rStyle w:val="InternetLink"/>
                </w:rPr>
                <w:t>FIRPTA Certificate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8740"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3"/>
            <w:tcBorders/>
            <w:vAlign w:val="center"/>
          </w:tcPr>
          <w:p>
            <w:pPr>
              <w:pStyle w:val="TableContents"/>
              <w:bidi w:val="0"/>
              <w:spacing w:before="0" w:after="283"/>
              <w:jc w:val="left"/>
              <w:rPr/>
            </w:pPr>
            <w:hyperlink w:anchor="annxa770053_110">
              <w:r>
                <w:rPr>
                  <w:rStyle w:val="InternetLink"/>
                  <w:b/>
                </w:rPr>
                <w:t xml:space="preserve">Section 9. Additional Conditions Precedent to Obligation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1">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2">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3">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9.4</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4">
              <w:r>
                <w:rPr>
                  <w:rStyle w:val="InternetLink"/>
                </w:rPr>
                <w:t>No Aspen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8740"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3"/>
            <w:tcBorders/>
            <w:vAlign w:val="center"/>
          </w:tcPr>
          <w:p>
            <w:pPr>
              <w:pStyle w:val="TableContents"/>
              <w:bidi w:val="0"/>
              <w:spacing w:before="0" w:after="283"/>
              <w:jc w:val="left"/>
              <w:rPr/>
            </w:pPr>
            <w:hyperlink w:anchor="annxa770053_115">
              <w:r>
                <w:rPr>
                  <w:rStyle w:val="InternetLink"/>
                  <w:b/>
                </w:rPr>
                <w:t>Section 10. 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A-81</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6">
              <w:r>
                <w:rPr>
                  <w:rStyle w:val="InternetLink"/>
                </w:rPr>
                <w:t>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7">
              <w:r>
                <w:rPr>
                  <w:rStyle w:val="InternetLink"/>
                </w:rPr>
                <w:t>Effect of 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8">
              <w:r>
                <w:rPr>
                  <w:rStyle w:val="InternetLink"/>
                </w:rPr>
                <w:t>Expenses; Termination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8740"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3"/>
            <w:tcBorders/>
            <w:vAlign w:val="center"/>
          </w:tcPr>
          <w:p>
            <w:pPr>
              <w:pStyle w:val="TableContents"/>
              <w:bidi w:val="0"/>
              <w:spacing w:before="0" w:after="283"/>
              <w:jc w:val="left"/>
              <w:rPr/>
            </w:pPr>
            <w:hyperlink w:anchor="annxa770053_119">
              <w:r>
                <w:rPr>
                  <w:rStyle w:val="InternetLink"/>
                  <w:b/>
                </w:rPr>
                <w:t xml:space="preserve">Section 11. Miscellaneous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A-84</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0">
              <w:r>
                <w:rPr>
                  <w:rStyle w:val="InternetLink"/>
                </w:rPr>
                <w:t>Non-Survival of Representations and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1">
              <w:r>
                <w:rPr>
                  <w:rStyle w:val="InternetLink"/>
                </w:rPr>
                <w:t>Amendment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2">
              <w:r>
                <w:rPr>
                  <w:rStyle w:val="InternetLink"/>
                </w:rPr>
                <w:t>Waiver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11.4</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3">
              <w:r>
                <w:rPr>
                  <w:rStyle w:val="InternetLink"/>
                </w:rPr>
                <w:t>Entire Agreement; Counterparts; Exchanges by Electronic Transmission or Facsimile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11.5</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4">
              <w:r>
                <w:rPr>
                  <w:rStyle w:val="InternetLink"/>
                </w:rPr>
                <w:t>Applicable Law; Jurisdiction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11.6</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5">
              <w:r>
                <w:rPr>
                  <w:rStyle w:val="InternetLink"/>
                </w:rPr>
                <w:t>Assignability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11.7</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6">
              <w:r>
                <w:rPr>
                  <w:rStyle w:val="InternetLink"/>
                </w:rPr>
                <w:t>Notices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11.8</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7">
              <w:r>
                <w:rPr>
                  <w:rStyle w:val="InternetLink"/>
                </w:rPr>
                <w:t>Cooperation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A-86</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11.9</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8">
              <w:r>
                <w:rPr>
                  <w:rStyle w:val="InternetLink"/>
                </w:rPr>
                <w:t>Severability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A-86</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11.10</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9">
              <w:r>
                <w:rPr>
                  <w:rStyle w:val="InternetLink"/>
                </w:rPr>
                <w:t>Other Remedies; Specific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A-86</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11.11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30">
              <w:r>
                <w:rPr>
                  <w:rStyle w:val="InternetLink"/>
                </w:rPr>
                <w:t>No Third-Party Beneficiaries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A-87</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1160"/>
        <w:gridCol w:w="120"/>
        <w:gridCol w:w="4910"/>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10"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A-1</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Aspen Stockholder Support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A-2</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Company Stockholder Support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B</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Lock-Up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C</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Subscription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D</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CVR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E</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FIRPTA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b/>
          <w:sz w:val="20"/>
          <w:u w:val="single"/>
        </w:rPr>
        <w:t>HIS</w:t>
      </w:r>
      <w:r>
        <w:rPr>
          <w:rFonts w:ascii="Times New Roman" w:hAnsi="Times New Roman"/>
          <w:b/>
          <w:sz w:val="20"/>
        </w:rPr>
        <w:t xml:space="preserve"> A</w:t>
      </w:r>
      <w:r>
        <w:rPr>
          <w:rFonts w:ascii="Times New Roman" w:hAnsi="Times New Roman"/>
          <w:b/>
          <w:sz w:val="20"/>
          <w:u w:val="single"/>
        </w:rPr>
        <w:t>GREEMENT</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EORGANIZATION</w:t>
      </w:r>
      <w:r>
        <w:rPr>
          <w:rFonts w:ascii="Times New Roman" w:hAnsi="Times New Roman"/>
          <w:b/>
          <w:sz w:val="20"/>
        </w:rPr>
        <w:t xml:space="preserve">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made and entered into as of January 30, 2024, by and among </w:t>
      </w:r>
      <w:r>
        <w:rPr>
          <w:rFonts w:ascii="Times New Roman" w:hAnsi="Times New Roman"/>
          <w:b/>
          <w:sz w:val="20"/>
        </w:rPr>
        <w:t>AVROBIO, Inc.</w:t>
      </w:r>
      <w:r>
        <w:rPr>
          <w:rFonts w:ascii="Times New Roman" w:hAnsi="Times New Roman"/>
          <w:sz w:val="20"/>
        </w:rPr>
        <w:t>, a Delaware corporation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A</w:t>
      </w:r>
      <w:r>
        <w:rPr>
          <w:rFonts w:ascii="Times New Roman" w:hAnsi="Times New Roman"/>
          <w:b/>
          <w:sz w:val="20"/>
          <w:u w:val="single"/>
        </w:rPr>
        <w:t>LPINE</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S</w:t>
      </w:r>
      <w:r>
        <w:rPr>
          <w:rFonts w:ascii="Times New Roman" w:hAnsi="Times New Roman"/>
          <w:b/>
          <w:sz w:val="20"/>
          <w:u w:val="single"/>
        </w:rPr>
        <w:t>UBSIDIARY</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Delaware corporation and wholly owned subsidiary of Aspen (“</w:t>
      </w:r>
      <w:r>
        <w:rPr>
          <w:rFonts w:ascii="Times New Roman" w:hAnsi="Times New Roman"/>
          <w:b/>
          <w:sz w:val="20"/>
        </w:rPr>
        <w:t>Merger Sub</w:t>
      </w:r>
      <w:r>
        <w:rPr>
          <w:rFonts w:ascii="Times New Roman" w:hAnsi="Times New Roman"/>
          <w:sz w:val="20"/>
        </w:rPr>
        <w:t xml:space="preserve">”), and </w:t>
      </w:r>
      <w:r>
        <w:rPr>
          <w:rFonts w:ascii="Times New Roman" w:hAnsi="Times New Roman"/>
          <w:b/>
          <w:sz w:val="20"/>
        </w:rPr>
        <w:t>T</w:t>
      </w:r>
      <w:r>
        <w:rPr>
          <w:rFonts w:ascii="Times New Roman" w:hAnsi="Times New Roman"/>
          <w:b/>
          <w:sz w:val="20"/>
          <w:u w:val="single"/>
        </w:rPr>
        <w:t>ECTONIC</w:t>
      </w:r>
      <w:r>
        <w:rPr>
          <w:rFonts w:ascii="Times New Roman" w:hAnsi="Times New Roman"/>
          <w:b/>
          <w:sz w:val="20"/>
        </w:rPr>
        <w:t xml:space="preserve"> T</w:t>
      </w:r>
      <w:r>
        <w:rPr>
          <w:rFonts w:ascii="Times New Roman" w:hAnsi="Times New Roman"/>
          <w:b/>
          <w:sz w:val="20"/>
          <w:u w:val="single"/>
        </w:rPr>
        <w:t>HERAPEUTIC</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Certain capitalized terms used in this Agreement are defined in </w:t>
      </w:r>
      <w:r>
        <w:rPr>
          <w:rFonts w:ascii="Times New Roman" w:hAnsi="Times New Roman"/>
          <w:sz w:val="20"/>
          <w:u w:val="single"/>
        </w:rPr>
        <w:t>Section 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R</w:t>
      </w:r>
      <w:r>
        <w:rPr>
          <w:rFonts w:ascii="Times New Roman" w:hAnsi="Times New Roman"/>
          <w:b/>
          <w:sz w:val="20"/>
          <w:u w:val="single"/>
        </w:rPr>
        <w:t>ECITALS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Aspen and the Company intend to effect a merger of Merger Sub with and into the Company (the “</w:t>
      </w:r>
      <w:r>
        <w:rPr>
          <w:rFonts w:ascii="Times New Roman" w:hAnsi="Times New Roman"/>
          <w:b/>
          <w:sz w:val="20"/>
        </w:rPr>
        <w:t>Merger</w:t>
      </w:r>
      <w:r>
        <w:rPr>
          <w:rFonts w:ascii="Times New Roman" w:hAnsi="Times New Roman"/>
          <w:sz w:val="20"/>
        </w:rPr>
        <w:t xml:space="preserve">”) in accordance with this Agreement and the DGCL. Upon consummation of the Merger, Merger Sub will cease to exist and the Company will become a wholly owned subsidiary of Aspen.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intend that, for U.S. federal (and applicable state and local) income Tax purposes, the Merger qualifies as a “reorganization” within the meaning of Section 368(a) of the Code and the Treasury Regulations, and that this Agreement be, and hereby is, adopted as a “plan of reorganization” for the purposes of Section 368 of the Code and Treasury Regulations Sections 1.368-2(g) and 1.368-3. </w:t>
      </w:r>
    </w:p>
    <w:p>
      <w:pPr>
        <w:pStyle w:val="TextBody"/>
        <w:bidi w:val="0"/>
        <w:spacing w:before="240" w:after="0"/>
        <w:jc w:val="left"/>
        <w:rPr>
          <w:rFonts w:ascii="Times New Roman" w:hAnsi="Times New Roman"/>
          <w:sz w:val="20"/>
        </w:rPr>
      </w:pPr>
      <w:r>
        <w:rPr>
          <w:rFonts w:ascii="Times New Roman" w:hAnsi="Times New Roman"/>
          <w:sz w:val="20"/>
        </w:rPr>
        <w:t>C. The Aspen Board has (i) determined that the Contemplated Transactions are fair to, advisable and in the best interests of Aspen and its stockholders, (ii) approved and declared advisable this Agreement and the Contemplated Transactions, including the issuance of shares of Aspen Common Stock to the stockholders of the Company pursuant to the terms of this Agreement, and (iii) determined to recommend, upon the terms and subject to the conditions set forth in this Agreement, that the stockholders of Aspen vote (A) to approve the issuance of shares of Aspen Common Stock to the stockholders of the Company pursuant to the terms of this Agreement, (B) to approve an amendment to the Aspen Charter to effect the Nasdaq Reverse Split and (C) to approve an amendment to the Aspen Charter to provide for the exculpation of officers (the matters in clauses (A) through (C), together with Aspen stockholder action to approve the Equity Plan Proposals when approved by the Aspen Board in accordance with the terms of the definition thereof, the “</w:t>
      </w:r>
      <w:r>
        <w:rPr>
          <w:rFonts w:ascii="Times New Roman" w:hAnsi="Times New Roman"/>
          <w:b/>
          <w:sz w:val="20"/>
        </w:rPr>
        <w:t>Aspen Stockholder Matters</w:t>
      </w:r>
      <w:r>
        <w:rPr>
          <w:rFonts w:ascii="Times New Roman" w:hAnsi="Times New Roman"/>
          <w:sz w:val="20"/>
        </w:rPr>
        <w:t>”, with the Aspen Stockholder Matters set forth in clauses (A) and (B) only being the “</w:t>
      </w:r>
      <w:r>
        <w:rPr>
          <w:rFonts w:ascii="Times New Roman" w:hAnsi="Times New Roman"/>
          <w:b/>
          <w:sz w:val="20"/>
        </w:rPr>
        <w:t>Specified Aspen Stockholder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Concurrently with the execution and delivery of this Agreement and as a condition and inducement to the Company’s willingness to enter into this Agreement, each of the officers, directors and stockholders set forth on </w:t>
      </w:r>
      <w:r>
        <w:rPr>
          <w:rFonts w:ascii="Times New Roman" w:hAnsi="Times New Roman"/>
          <w:sz w:val="20"/>
          <w:u w:val="single"/>
        </w:rPr>
        <w:t>Section A</w:t>
      </w:r>
      <w:r>
        <w:rPr>
          <w:rFonts w:ascii="Times New Roman" w:hAnsi="Times New Roman"/>
          <w:sz w:val="20"/>
        </w:rPr>
        <w:t xml:space="preserve"> of the Aspen Disclosure Schedule (solely in their capacity as stockholders of Aspen) are executing support agreements in favor of the Company in substantially the form attached hereto as Exhibit A-1 (the “</w:t>
      </w:r>
      <w:r>
        <w:rPr>
          <w:rFonts w:ascii="Times New Roman" w:hAnsi="Times New Roman"/>
          <w:b/>
          <w:sz w:val="20"/>
        </w:rPr>
        <w:t>Aspen Stockholder Support Agreement</w:t>
      </w:r>
      <w:r>
        <w:rPr>
          <w:rFonts w:ascii="Times New Roman" w:hAnsi="Times New Roman"/>
          <w:sz w:val="20"/>
        </w:rPr>
        <w:t xml:space="preserve">”), pursuant to which such Persons have, subject to the terms and conditions set forth therein, agreed to vote all of their shares of capital stock of Aspen (a) to approve the Aspen Stockholder Matters and (b) against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Concurrently with the execution and delivery of this Agreement and as a condition and inducement to Aspen’s willingness to enter into this Agreement, each of the Persons set forth on </w:t>
      </w:r>
      <w:r>
        <w:rPr>
          <w:rFonts w:ascii="Times New Roman" w:hAnsi="Times New Roman"/>
          <w:sz w:val="20"/>
          <w:u w:val="single"/>
        </w:rPr>
        <w:t>Section A</w:t>
      </w:r>
      <w:r>
        <w:rPr>
          <w:rFonts w:ascii="Times New Roman" w:hAnsi="Times New Roman"/>
          <w:sz w:val="20"/>
        </w:rPr>
        <w:t xml:space="preserve"> of the Company Disclosure Schedule, who collectively hold shares of Company Capital Stock sufficient to adopt and approve this Agreement and the Merger as required under the DGCL and the Organizational Documents of the Company and represent no less than 88% of the voting power of the Company, are executing (solely in their capacity as stockholders of the Company) support agreements in favor of Aspen in substantially the form attached hereto as </w:t>
      </w:r>
      <w:r>
        <w:rPr>
          <w:rFonts w:ascii="Times New Roman" w:hAnsi="Times New Roman"/>
          <w:sz w:val="20"/>
          <w:u w:val="single"/>
        </w:rPr>
        <w:t>Exhibit A-2</w:t>
      </w:r>
      <w:r>
        <w:rPr>
          <w:rFonts w:ascii="Times New Roman" w:hAnsi="Times New Roman"/>
          <w:sz w:val="20"/>
        </w:rPr>
        <w:t xml:space="preserve"> (each a “</w:t>
      </w:r>
      <w:r>
        <w:rPr>
          <w:rFonts w:ascii="Times New Roman" w:hAnsi="Times New Roman"/>
          <w:b/>
          <w:sz w:val="20"/>
        </w:rPr>
        <w:t>Company Stockholder Support Agreement</w:t>
      </w:r>
      <w:r>
        <w:rPr>
          <w:rFonts w:ascii="Times New Roman" w:hAnsi="Times New Roman"/>
          <w:sz w:val="20"/>
        </w:rPr>
        <w:t xml:space="preserve">”), pursuant to which such Persons have, subject to the terms and conditions set forth therein, agreed to vote all of their shares of Company Capital Stock (A) to adopt and approve the Merger Agreement, (B) to approve the Contemplated Transactions, (C) to approve an amendment to the Company’ certificate of incorporation to effect the Company Authorized Share Increase, (D) to the extent such Person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H. Concurrently with the execution and delivery of this Agreement and as a condition and inducement to Aspen’s and the Company’s willingness to enter into this Agreement, the Persons listed on </w:t>
      </w:r>
      <w:r>
        <w:rPr>
          <w:rFonts w:ascii="Times New Roman" w:hAnsi="Times New Roman"/>
          <w:sz w:val="20"/>
          <w:u w:val="single"/>
        </w:rPr>
        <w:t>Section B</w:t>
      </w:r>
      <w:r>
        <w:rPr>
          <w:rFonts w:ascii="Times New Roman" w:hAnsi="Times New Roman"/>
          <w:sz w:val="20"/>
        </w:rPr>
        <w:t xml:space="preserve"> of the Company Disclosure Schedule and Section B of the Aspen Disclosure Schedule are executing lock-up agreements in substantially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Lock-Up Agreement</w:t>
      </w:r>
      <w:r>
        <w:rPr>
          <w:rFonts w:ascii="Times New Roman" w:hAnsi="Times New Roman"/>
          <w:sz w:val="20"/>
        </w:rPr>
        <w:t>,” and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It is expected that within four (4) Business Days after the Registration Statement is declared effective under the Securities Act, the holders of shares of Company Capital Stock sufficient to adopt and approve this Agreement and the Merger as required under the DGCL and the Organizational Documents of the Company will execute and deliver an action by written consent adopting this Agreement, in form and substance reasonably acceptable to Aspen, in order to obtain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J. Prior to the date of this Agreement, certain investors (the “</w:t>
      </w:r>
      <w:r>
        <w:rPr>
          <w:rFonts w:ascii="Times New Roman" w:hAnsi="Times New Roman"/>
          <w:b/>
          <w:sz w:val="20"/>
        </w:rPr>
        <w:t>Company SAFE Concurrent Investors</w:t>
      </w:r>
      <w:r>
        <w:rPr>
          <w:rFonts w:ascii="Times New Roman" w:hAnsi="Times New Roman"/>
          <w:sz w:val="20"/>
        </w:rPr>
        <w:t>”) have entered into the Company SAFEs with the Company (the investments contemplated by such Company SAFEs, collectively, the “</w:t>
      </w:r>
      <w:r>
        <w:rPr>
          <w:rFonts w:ascii="Times New Roman" w:hAnsi="Times New Roman"/>
          <w:b/>
          <w:sz w:val="20"/>
        </w:rPr>
        <w:t>Company SAFE Concurrent Investment</w:t>
      </w:r>
      <w:r>
        <w:rPr>
          <w:rFonts w:ascii="Times New Roman" w:hAnsi="Times New Roman"/>
          <w:sz w:val="20"/>
        </w:rPr>
        <w:t>”), pursuant to which such Company SAFEs shall automatically convert into shares of Company Common Stock at the same price per share at which the Concurrent Investment Company Shares are sold pursuant to the Subscription Agreement (which shall be the Public Offering/Conversion Price as defined in the Company SAFEs), in connection with the Closing (such shares of Company Common Stock upon issuance to such Company SAFE Concurrent Investors, the (“</w:t>
      </w:r>
      <w:r>
        <w:rPr>
          <w:rFonts w:ascii="Times New Roman" w:hAnsi="Times New Roman"/>
          <w:b/>
          <w:sz w:val="20"/>
        </w:rPr>
        <w:t>Company SAFE Concurrent Investment Company Shares</w:t>
      </w:r>
      <w:r>
        <w:rPr>
          <w:rFonts w:ascii="Times New Roman" w:hAnsi="Times New Roman"/>
          <w:sz w:val="20"/>
        </w:rPr>
        <w:t>”). In addition, concurrently with the execution and delivery of this Agreement, certain investors (the “</w:t>
      </w:r>
      <w:r>
        <w:rPr>
          <w:rFonts w:ascii="Times New Roman" w:hAnsi="Times New Roman"/>
          <w:b/>
          <w:sz w:val="20"/>
        </w:rPr>
        <w:t>Subscription Agreement Concurrent Investors</w:t>
      </w:r>
      <w:r>
        <w:rPr>
          <w:rFonts w:ascii="Times New Roman" w:hAnsi="Times New Roman"/>
          <w:sz w:val="20"/>
        </w:rPr>
        <w:t>” and, together with the Company SAFE Concurrent Investors, the “</w:t>
      </w:r>
      <w:r>
        <w:rPr>
          <w:rFonts w:ascii="Times New Roman" w:hAnsi="Times New Roman"/>
          <w:b/>
          <w:sz w:val="20"/>
        </w:rPr>
        <w:t>Concurrent Investors</w:t>
      </w:r>
      <w:r>
        <w:rPr>
          <w:rFonts w:ascii="Times New Roman" w:hAnsi="Times New Roman"/>
          <w:sz w:val="20"/>
        </w:rPr>
        <w:t>”) have entered into a Subscription Agreement (the “</w:t>
      </w:r>
      <w:r>
        <w:rPr>
          <w:rFonts w:ascii="Times New Roman" w:hAnsi="Times New Roman"/>
          <w:b/>
          <w:sz w:val="20"/>
        </w:rPr>
        <w:t>Subscription Agreement</w:t>
      </w:r>
      <w:r>
        <w:rPr>
          <w:rFonts w:ascii="Times New Roman" w:hAnsi="Times New Roman"/>
          <w:sz w:val="20"/>
        </w:rPr>
        <w:t xml:space="preserve">”) in the form attached hereto as </w:t>
      </w:r>
      <w:r>
        <w:rPr>
          <w:rFonts w:ascii="Times New Roman" w:hAnsi="Times New Roman"/>
          <w:sz w:val="20"/>
          <w:u w:val="single"/>
        </w:rPr>
        <w:t>Exhibit C</w:t>
      </w:r>
      <w:r>
        <w:rPr>
          <w:rFonts w:ascii="Times New Roman" w:hAnsi="Times New Roman"/>
          <w:sz w:val="20"/>
        </w:rPr>
        <w:t xml:space="preserve"> among the Company and the Persons named therein, pursuant to which such Persons have agreed to purchase in the amounts set forth therein shares of Company Common Stock at the Specified Time (collectively, the “</w:t>
      </w:r>
      <w:r>
        <w:rPr>
          <w:rFonts w:ascii="Times New Roman" w:hAnsi="Times New Roman"/>
          <w:b/>
          <w:sz w:val="20"/>
        </w:rPr>
        <w:t>Subscription Agreement Concurrent Investment</w:t>
      </w:r>
      <w:r>
        <w:rPr>
          <w:rFonts w:ascii="Times New Roman" w:hAnsi="Times New Roman"/>
          <w:sz w:val="20"/>
        </w:rPr>
        <w:t>”). The Company SAFEs and the Subscription Agreement are collectively referred to herein as the “</w:t>
      </w:r>
      <w:r>
        <w:rPr>
          <w:rFonts w:ascii="Times New Roman" w:hAnsi="Times New Roman"/>
          <w:b/>
          <w:sz w:val="20"/>
        </w:rPr>
        <w:t>Concurrent Investment Agreements</w:t>
      </w:r>
      <w:r>
        <w:rPr>
          <w:rFonts w:ascii="Times New Roman" w:hAnsi="Times New Roman"/>
          <w:sz w:val="20"/>
        </w:rPr>
        <w:t>”. The Company SAFE Concurrent Investment and the Subscription Agreement Concurrent Investment are collectively referred to herein as the “</w:t>
      </w:r>
      <w:r>
        <w:rPr>
          <w:rFonts w:ascii="Times New Roman" w:hAnsi="Times New Roman"/>
          <w:b/>
          <w:sz w:val="20"/>
        </w:rPr>
        <w:t>Concurrent Investment</w:t>
      </w:r>
      <w:r>
        <w:rPr>
          <w:rFonts w:ascii="Times New Roman" w:hAnsi="Times New Roman"/>
          <w:sz w:val="20"/>
        </w:rPr>
        <w:t>”. The shares of Company Common Stock so issued to Company SAFE Concurrent Investors upon the automatic conversion of their Company SAFEs and to Subscription Agreement Concurrent Investors in accordance with the Subscription Agreement are referred to collectively herein as the “</w:t>
      </w:r>
      <w:r>
        <w:rPr>
          <w:rFonts w:ascii="Times New Roman" w:hAnsi="Times New Roman"/>
          <w:b/>
          <w:sz w:val="20"/>
        </w:rPr>
        <w:t>Concurrent Investment Company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GREEMENT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240" w:after="0"/>
        <w:jc w:val="left"/>
        <w:rPr>
          <w:rFonts w:ascii="Times New Roman" w:hAnsi="Times New Roman"/>
          <w:sz w:val="20"/>
        </w:rPr>
      </w:pPr>
      <w:bookmarkStart w:id="199" w:name="annxa770053_1"/>
      <w:bookmarkEnd w:id="199"/>
      <w:r>
        <w:rPr>
          <w:rFonts w:ascii="Times New Roman" w:hAnsi="Times New Roman"/>
          <w:sz w:val="20"/>
        </w:rPr>
        <w:t xml:space="preserve">Section 1. </w:t>
      </w:r>
      <w:r>
        <w:rPr>
          <w:rFonts w:ascii="Times New Roman" w:hAnsi="Times New Roman"/>
          <w:sz w:val="20"/>
          <w:u w:val="single"/>
        </w:rPr>
        <w:t>Definitions and Interpretative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0" w:name="annxa770053_2"/>
      <w:bookmarkEnd w:id="200"/>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this Agreement (including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no-hire provisions. Notwithstanding the foregoing, a Person who has previously entered into a confidentiality agreement with Aspen relating to a potential Acquisition Proposal on terms that are not materially less restrictive than the Confidentiality Agreement, in the aggregate, shall not be required to enter into a new or revised confidentiality agreement, and such existing confidentiality agreement shall be deemed to be an Acceptable Confidentiality Agreement. </w:t>
      </w:r>
    </w:p>
    <w:p>
      <w:pPr>
        <w:pStyle w:val="TextBody"/>
        <w:bidi w:val="0"/>
        <w:spacing w:before="240" w:after="0"/>
        <w:jc w:val="left"/>
        <w:rPr/>
      </w:pPr>
      <w:r>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Aspen, on the other hand, to the other Party) that could reasonably be expected to lead to an Acquisition Proposal.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Proposal</w:t>
      </w:r>
      <w:r>
        <w:rPr>
          <w:rFonts w:ascii="Times New Roman" w:hAnsi="Times New Roman"/>
          <w:sz w:val="20"/>
        </w:rPr>
        <w:t xml:space="preserve">” means, with respect to a Party, any offer or proposal, whether written or oral, contemplating or otherwise relating to any Acquisition Transaction with such Party.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xml:space="preserve">” means, with respect to a Party, any transaction or series of related transactions (other than the Contemplated Transactions and, with respect to Aspen, any Aspen Pre-Closing Transaction) involving: </w:t>
      </w:r>
    </w:p>
    <w:p>
      <w:pPr>
        <w:pStyle w:val="TextBody"/>
        <w:bidi w:val="0"/>
        <w:spacing w:before="240" w:after="0"/>
        <w:jc w:val="left"/>
        <w:rPr>
          <w:rFonts w:ascii="Times New Roman" w:hAnsi="Times New Roman"/>
          <w:sz w:val="20"/>
        </w:rPr>
      </w:pPr>
      <w:r>
        <w:rPr>
          <w:rFonts w:ascii="Times New Roman" w:hAnsi="Times New Roman"/>
          <w:sz w:val="20"/>
        </w:rPr>
        <w:t xml:space="preserve">(a) any merger, consolidation, amalgamation, share exchange, business combination, issuance of securities, acquisition of securities, reorganization, recapitalization, tender offer, exchange offer or other similar transaction: (i) in which such Party is a constituent Entity, (ii) in which a Person or “group” (as defined in the Exchange Act and the rules promulgated thereunder) of Persons directly or indirectly acquires beneficial or record ownership of securities representing 20% or more of the outstanding shares of Aspen Common Stock (in the case of Aspen) or Company Capital Stock (in the case of the Company) or (iii) in which such Party or any of its Subsidiaries issues securities representing 20% or more of the outstanding shares of Aspen Common Stock (in the case of Aspen) or Company Capital Stock (in the case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(b) any sale, lease, exchange, transfer, license, acquisition or disposition of any business or businesses or assets that constitute or account for 20% or more of the fair market value of the assets of such Party and its Subsidiaries, taken as a whole (as determined by such Party’s board of directors or a 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transactions, series of related transactions, agreement or discussion entered into or proposed to enter into by the Company for purposes of raising capital that is otherwise in accordance with the terms of this Agreement shall not be deemed an Acquisition Transaction.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first Person. As used in this definition, the term “control” (including, with correlative meanings, the terms “controlling,” “controlled by” and “under common control with”) means possession, directly or indirectly, of the power to direct or cause the direction of the management and policies of a Person, whether through the ownership of voting securities,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b/>
          <w:sz w:val="20"/>
        </w:rPr>
        <w:t>Anti-Corruption Laws</w:t>
      </w:r>
      <w:r>
        <w:rPr>
          <w:rFonts w:ascii="Times New Roman" w:hAnsi="Times New Roman"/>
          <w:sz w:val="20"/>
        </w:rPr>
        <w:t xml:space="preserve">” means (i) the Foreign Corrupt Practices Act of 1977, as amended, the Anti-Kickback Act of 1986 and all other applicable Laws of similar effect, and the related rules, regulations and published interpretations thereunder, (ii) all applicable anti-money laundering laws, and the related rules, regulations and published interpretations thereunder, and (iii) all applicable anti-terrorism financing laws, and the related rules, regulations and published interpretations thereunder. </w:t>
      </w:r>
    </w:p>
    <w:p>
      <w:pPr>
        <w:pStyle w:val="TextBody"/>
        <w:bidi w:val="0"/>
        <w:spacing w:before="240" w:after="0"/>
        <w:jc w:val="left"/>
        <w:rPr/>
      </w:pPr>
      <w:r>
        <w:rPr/>
        <w:t>“</w:t>
      </w:r>
      <w:r>
        <w:rPr>
          <w:rFonts w:ascii="Times New Roman" w:hAnsi="Times New Roman"/>
          <w:b/>
          <w:sz w:val="20"/>
        </w:rPr>
        <w:t>Anticipated Closing Date</w:t>
      </w:r>
      <w:r>
        <w:rPr>
          <w:rFonts w:ascii="Times New Roman" w:hAnsi="Times New Roman"/>
          <w:sz w:val="20"/>
        </w:rPr>
        <w:t xml:space="preserve">” means the anticipated Closing Date, as agreed upon in good faith by Aspen and the Company. </w:t>
      </w:r>
    </w:p>
    <w:p>
      <w:pPr>
        <w:pStyle w:val="TextBody"/>
        <w:bidi w:val="0"/>
        <w:spacing w:before="240" w:after="0"/>
        <w:jc w:val="left"/>
        <w:rPr/>
      </w:pPr>
      <w:r>
        <w:rPr/>
        <w:t>“</w:t>
      </w:r>
      <w:r>
        <w:rPr>
          <w:rFonts w:ascii="Times New Roman" w:hAnsi="Times New Roman"/>
          <w:b/>
          <w:sz w:val="20"/>
        </w:rPr>
        <w:t>Aspen Associate</w:t>
      </w:r>
      <w:r>
        <w:rPr>
          <w:rFonts w:ascii="Times New Roman" w:hAnsi="Times New Roman"/>
          <w:sz w:val="20"/>
        </w:rPr>
        <w:t xml:space="preserve">” means any current or former employee, independent contractor, officer or director of Aspen or any of its Subsidiaries. </w:t>
      </w:r>
    </w:p>
    <w:p>
      <w:pPr>
        <w:pStyle w:val="TextBody"/>
        <w:bidi w:val="0"/>
        <w:spacing w:before="240" w:after="0"/>
        <w:jc w:val="left"/>
        <w:rPr/>
      </w:pPr>
      <w:r>
        <w:rPr/>
        <w:t>“</w:t>
      </w:r>
      <w:r>
        <w:rPr>
          <w:rFonts w:ascii="Times New Roman" w:hAnsi="Times New Roman"/>
          <w:b/>
          <w:sz w:val="20"/>
        </w:rPr>
        <w:t>Aspen Balance Sheet</w:t>
      </w:r>
      <w:r>
        <w:rPr>
          <w:rFonts w:ascii="Times New Roman" w:hAnsi="Times New Roman"/>
          <w:sz w:val="20"/>
        </w:rPr>
        <w:t xml:space="preserve">” means the audited balance sheet of Aspen as of December 31, 2022, included in Aspen’s Annual Report on Form 10-K for the year ended December 31, 2022, as filed with the SEC. </w:t>
      </w:r>
    </w:p>
    <w:p>
      <w:pPr>
        <w:pStyle w:val="TextBody"/>
        <w:bidi w:val="0"/>
        <w:spacing w:before="240" w:after="0"/>
        <w:jc w:val="left"/>
        <w:rPr/>
      </w:pPr>
      <w:r>
        <w:rPr/>
        <w:t>“</w:t>
      </w:r>
      <w:r>
        <w:rPr>
          <w:rFonts w:ascii="Times New Roman" w:hAnsi="Times New Roman"/>
          <w:b/>
          <w:sz w:val="20"/>
        </w:rPr>
        <w:t>Aspen Board</w:t>
      </w:r>
      <w:r>
        <w:rPr>
          <w:rFonts w:ascii="Times New Roman" w:hAnsi="Times New Roman"/>
          <w:sz w:val="20"/>
        </w:rPr>
        <w:t xml:space="preserve">” means the board of directors of Aspen. </w:t>
      </w:r>
    </w:p>
    <w:p>
      <w:pPr>
        <w:pStyle w:val="TextBody"/>
        <w:bidi w:val="0"/>
        <w:spacing w:before="240" w:after="0"/>
        <w:jc w:val="left"/>
        <w:rPr/>
      </w:pPr>
      <w:r>
        <w:rPr/>
        <w:t>“</w:t>
      </w:r>
      <w:r>
        <w:rPr>
          <w:rFonts w:ascii="Times New Roman" w:hAnsi="Times New Roman"/>
          <w:b/>
          <w:sz w:val="20"/>
        </w:rPr>
        <w:t>Aspen Capitalization Representations</w:t>
      </w:r>
      <w:r>
        <w:rPr>
          <w:rFonts w:ascii="Times New Roman" w:hAnsi="Times New Roman"/>
          <w:sz w:val="20"/>
        </w:rPr>
        <w:t xml:space="preserve">” means the representations and warranties of Aspen and Merger Sub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Aspen Charter</w:t>
      </w:r>
      <w:r>
        <w:rPr>
          <w:rFonts w:ascii="Times New Roman" w:hAnsi="Times New Roman"/>
          <w:sz w:val="20"/>
        </w:rPr>
        <w:t xml:space="preserve">” means the Fourth Amended and Restated Certificate of Incorporation of Aspen effective as of June 25, 2018. </w:t>
      </w:r>
    </w:p>
    <w:p>
      <w:pPr>
        <w:pStyle w:val="TextBody"/>
        <w:bidi w:val="0"/>
        <w:spacing w:before="240" w:after="0"/>
        <w:jc w:val="left"/>
        <w:rPr/>
      </w:pPr>
      <w:r>
        <w:rPr/>
        <w:t>“</w:t>
      </w:r>
      <w:r>
        <w:rPr>
          <w:rFonts w:ascii="Times New Roman" w:hAnsi="Times New Roman"/>
          <w:b/>
          <w:sz w:val="20"/>
        </w:rPr>
        <w:t>Aspen Closing Price</w:t>
      </w:r>
      <w:r>
        <w:rPr>
          <w:rFonts w:ascii="Times New Roman" w:hAnsi="Times New Roman"/>
          <w:sz w:val="20"/>
        </w:rPr>
        <w:t xml:space="preserve">” means the volume weighted average closing trading price of a share of Aspen Common Stock on Nasdaq for the five (5) consecutive trading days ending three (3) trading days immediately prior to the date of the public announcement of this Agreement. </w:t>
      </w:r>
    </w:p>
    <w:p>
      <w:pPr>
        <w:pStyle w:val="TextBody"/>
        <w:bidi w:val="0"/>
        <w:spacing w:before="240" w:after="0"/>
        <w:jc w:val="left"/>
        <w:rPr/>
      </w:pPr>
      <w:r>
        <w:rPr/>
        <w:t>“</w:t>
      </w:r>
      <w:r>
        <w:rPr>
          <w:rFonts w:ascii="Times New Roman" w:hAnsi="Times New Roman"/>
          <w:b/>
          <w:sz w:val="20"/>
        </w:rPr>
        <w:t>Aspen Common Stock</w:t>
      </w:r>
      <w:r>
        <w:rPr>
          <w:rFonts w:ascii="Times New Roman" w:hAnsi="Times New Roman"/>
          <w:sz w:val="20"/>
        </w:rPr>
        <w:t xml:space="preserve">” means the common stock, $0.0001 par value per share, of Aspen. </w:t>
      </w:r>
    </w:p>
    <w:p>
      <w:pPr>
        <w:pStyle w:val="TextBody"/>
        <w:bidi w:val="0"/>
        <w:spacing w:before="240" w:after="0"/>
        <w:jc w:val="left"/>
        <w:rPr/>
      </w:pPr>
      <w:r>
        <w:rPr/>
        <w:t>“</w:t>
      </w:r>
      <w:r>
        <w:rPr>
          <w:rFonts w:ascii="Times New Roman" w:hAnsi="Times New Roman"/>
          <w:b/>
          <w:sz w:val="20"/>
        </w:rPr>
        <w:t>Aspen Contract</w:t>
      </w:r>
      <w:r>
        <w:rPr>
          <w:rFonts w:ascii="Times New Roman" w:hAnsi="Times New Roman"/>
          <w:sz w:val="20"/>
        </w:rPr>
        <w:t xml:space="preserve">” means any Contract: (a) to which Aspen is a party, (b) by which Aspen or any Aspen Intellectual Property or any other asset of Aspen is bound or under which Aspen has any obligation or (c) under which Aspen has or may acquire any right or interest. </w:t>
      </w:r>
    </w:p>
    <w:p>
      <w:pPr>
        <w:pStyle w:val="TextBody"/>
        <w:bidi w:val="0"/>
        <w:spacing w:before="240" w:after="0"/>
        <w:jc w:val="left"/>
        <w:rPr/>
      </w:pPr>
      <w:r>
        <w:rPr/>
        <w:t>“</w:t>
      </w:r>
      <w:r>
        <w:rPr>
          <w:rFonts w:ascii="Times New Roman" w:hAnsi="Times New Roman"/>
          <w:b/>
          <w:sz w:val="20"/>
        </w:rPr>
        <w:t>Aspen Employee Plan</w:t>
      </w:r>
      <w:r>
        <w:rPr>
          <w:rFonts w:ascii="Times New Roman" w:hAnsi="Times New Roman"/>
          <w:sz w:val="20"/>
        </w:rPr>
        <w:t xml:space="preserve">” means any Employee Plan that Aspen or any of its Subsidiaries (i) sponsors, maintains, administers, or contributes to, or (ii) 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Aspen or any of its Subsidiaries (or their spouses, dependents, or beneficiaries). </w:t>
      </w:r>
    </w:p>
    <w:p>
      <w:pPr>
        <w:pStyle w:val="TextBody"/>
        <w:bidi w:val="0"/>
        <w:spacing w:before="240" w:after="0"/>
        <w:jc w:val="left"/>
        <w:rPr/>
      </w:pPr>
      <w:r>
        <w:rPr/>
        <w:t>“</w:t>
      </w:r>
      <w:r>
        <w:rPr>
          <w:rFonts w:ascii="Times New Roman" w:hAnsi="Times New Roman"/>
          <w:b/>
          <w:sz w:val="20"/>
        </w:rPr>
        <w:t>Aspen Fundamental Representations</w:t>
      </w:r>
      <w:r>
        <w:rPr>
          <w:rFonts w:ascii="Times New Roman" w:hAnsi="Times New Roman"/>
          <w:sz w:val="20"/>
        </w:rPr>
        <w:t xml:space="preserve">” means the representations and warranties of Aspen and Merger Sub set forth in </w:t>
      </w:r>
      <w:r>
        <w:rPr>
          <w:rFonts w:ascii="Times New Roman" w:hAnsi="Times New Roman"/>
          <w:sz w:val="20"/>
          <w:u w:val="single"/>
        </w:rPr>
        <w:t>Sections 4.1(a)</w:t>
      </w:r>
      <w:r>
        <w:rPr>
          <w:rFonts w:ascii="Times New Roman" w:hAnsi="Times New Roman"/>
          <w:sz w:val="20"/>
        </w:rPr>
        <w:t xml:space="preserve">, </w:t>
      </w:r>
      <w:r>
        <w:rPr>
          <w:rFonts w:ascii="Times New Roman" w:hAnsi="Times New Roman"/>
          <w:sz w:val="20"/>
          <w:u w:val="single"/>
        </w:rPr>
        <w:t>4.1(b)</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and </w:t>
      </w:r>
      <w:r>
        <w:rPr>
          <w:rFonts w:ascii="Times New Roman" w:hAnsi="Times New Roman"/>
          <w:sz w:val="20"/>
          <w:u w:val="single"/>
        </w:rPr>
        <w:t>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Aspen Intellectual Property</w:t>
      </w:r>
      <w:r>
        <w:rPr>
          <w:rFonts w:ascii="Times New Roman" w:hAnsi="Times New Roman"/>
          <w:sz w:val="20"/>
        </w:rPr>
        <w:t>” means (i) any and all Intellectual Property owned or purported to be owned, solely or jointly, by Aspen (“</w:t>
      </w:r>
      <w:r>
        <w:rPr>
          <w:rFonts w:ascii="Times New Roman" w:hAnsi="Times New Roman"/>
          <w:b/>
          <w:sz w:val="20"/>
        </w:rPr>
        <w:t>Aspen Owned Intellectual Property</w:t>
      </w:r>
      <w:r>
        <w:rPr>
          <w:rFonts w:ascii="Times New Roman" w:hAnsi="Times New Roman"/>
          <w:sz w:val="20"/>
        </w:rPr>
        <w:t>”), and (ii) any and all Intellectual Property owned by any other Person and licensed or purported to be licensed to Aspen or to which Aspen has or purports to have any other right (“</w:t>
      </w:r>
      <w:r>
        <w:rPr>
          <w:rFonts w:ascii="Times New Roman" w:hAnsi="Times New Roman"/>
          <w:b/>
          <w:sz w:val="20"/>
        </w:rPr>
        <w:t>Aspen Licensed Intellectual Property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Key Employee</w:t>
      </w:r>
      <w:r>
        <w:rPr>
          <w:rFonts w:ascii="Times New Roman" w:hAnsi="Times New Roman"/>
          <w:sz w:val="20"/>
        </w:rPr>
        <w:t xml:space="preserve">” means (i) an executive officer of Aspen; and (ii) any employee of Aspen that reports directly to the Aspen Board or to an executive officer of Aspen. </w:t>
      </w:r>
    </w:p>
    <w:p>
      <w:pPr>
        <w:pStyle w:val="TextBody"/>
        <w:bidi w:val="0"/>
        <w:spacing w:before="240" w:after="0"/>
        <w:jc w:val="left"/>
        <w:rPr/>
      </w:pPr>
      <w:r>
        <w:rPr/>
        <w:t>“</w:t>
      </w:r>
      <w:r>
        <w:rPr>
          <w:rFonts w:ascii="Times New Roman" w:hAnsi="Times New Roman"/>
          <w:b/>
          <w:sz w:val="20"/>
        </w:rPr>
        <w:t>Aspen Pre-Closing Assets</w:t>
      </w:r>
      <w:r>
        <w:rPr>
          <w:rFonts w:ascii="Times New Roman" w:hAnsi="Times New Roman"/>
          <w:sz w:val="20"/>
        </w:rPr>
        <w:t xml:space="preserve">” means those assets of Aspen, to the extent existing as of immediately prior to the Closing, relating to (a) Aspen’s plato manufacturing platform, (b) Aspen’s AVR-RD-01 (Fabry), AVR-RD-02 (Gaucher), and/or AVR-RD-03 (Pompe) research and development programs, and (c) Aspen’s Intellectual Property set forth in Section 4.12(a) of the Aspen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b/>
          <w:sz w:val="20"/>
        </w:rPr>
        <w:t>Aspen Material Adverse Effect</w:t>
      </w:r>
      <w:r>
        <w:rPr>
          <w:rFonts w:ascii="Times New Roman" w:hAnsi="Times New Roman"/>
          <w:sz w:val="20"/>
        </w:rPr>
        <w:t xml:space="preserve">” means any Effect that, considered together with all other Effects that have occurred prior to the date of determination of the occurrence of the Aspen Material Adverse Effect, has or would reasonably be expected to have a material adverse effect on the business, financial condition, assets, liabilities or results of operations of Aspen or any of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an Aspen Material Adverse Effect: (a) the announcement of this Agreement or the pendency of the Contemplated Transactions, (b) any change in the stock price or trading volume of Aspen Common Stock (it being understood, however, that any Effect causing or contributing to any change in stock price or trading volume of Aspen Common Stock may be taken into account in determining whether an Aspen Material Adverse Effect has occurred, unless such Effects are otherwise excepted from this definition), (c) the taking of any action, or the failure to take any action, by Aspen that is required to comply with the terms of this Agreement, (d)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Aspen or any of its Subsidiaries operates (other than to the extent contemplated by the succeeding clause (g)), (g) any government shutdown or slowdown, (h) the sale or winding down of the Aspen’s business or operations as they exist prior to the Closing, and the sale, license or other disposition of the Aspen Pre-Closing Assets in compliance with the terms of this Agreement and applicable Law, or (i) any change in the cash position of Aspen and its Subsidiaries which results from operations in the Ordinary Course of Business; except, in each case with respect to clauses (d), (e) and (f), to the extent materially and disproportionately affecting Aspen and any its Subsidiaries, taken as a whole, relative to other similarly situated companies in the industries in which Aspen or any of its Subsidiaries operates. </w:t>
      </w:r>
    </w:p>
    <w:p>
      <w:pPr>
        <w:pStyle w:val="TextBody"/>
        <w:bidi w:val="0"/>
        <w:spacing w:before="240" w:after="0"/>
        <w:jc w:val="left"/>
        <w:rPr/>
      </w:pPr>
      <w:r>
        <w:rPr/>
        <w:t>“</w:t>
      </w:r>
      <w:r>
        <w:rPr>
          <w:rFonts w:ascii="Times New Roman" w:hAnsi="Times New Roman"/>
          <w:b/>
          <w:sz w:val="20"/>
        </w:rPr>
        <w:t>Aspen Net Cash</w:t>
      </w:r>
      <w:r>
        <w:rPr>
          <w:rFonts w:ascii="Times New Roman" w:hAnsi="Times New Roman"/>
          <w:sz w:val="20"/>
        </w:rPr>
        <w:t xml:space="preserve">” means, without duplication, (i) Aspen’s cash and cash equivalents and marketable securities as of immediately prior to the Closing and determined in accordance with GAAP, in a manner consistent with the manner in which such items were historically determined and in accordance with Aspen’s financial statements, </w:t>
      </w:r>
      <w:r>
        <w:rPr>
          <w:rFonts w:ascii="Times New Roman" w:hAnsi="Times New Roman"/>
          <w:i/>
          <w:sz w:val="20"/>
          <w:u w:val="single"/>
        </w:rPr>
        <w:t>plus</w:t>
      </w:r>
      <w:r>
        <w:rPr>
          <w:rFonts w:ascii="Times New Roman" w:hAnsi="Times New Roman"/>
          <w:sz w:val="20"/>
        </w:rPr>
        <w:t xml:space="preserve"> (ii) all prepaid expenses or deposits of Aspen and its Subsidiaries set forth on </w:t>
      </w:r>
      <w:r>
        <w:rPr>
          <w:rFonts w:ascii="Times New Roman" w:hAnsi="Times New Roman"/>
          <w:sz w:val="20"/>
          <w:u w:val="single"/>
        </w:rPr>
        <w:t>Section 1.1(b)(i)</w:t>
      </w:r>
      <w:r>
        <w:rPr>
          <w:rFonts w:ascii="Times New Roman" w:hAnsi="Times New Roman"/>
          <w:sz w:val="20"/>
        </w:rPr>
        <w:t xml:space="preserve"> of the Aspen Disclosure Schedule, </w:t>
      </w:r>
      <w:r>
        <w:rPr>
          <w:rFonts w:ascii="Times New Roman" w:hAnsi="Times New Roman"/>
          <w:i/>
          <w:sz w:val="20"/>
          <w:u w:val="single"/>
        </w:rPr>
        <w:t>minus</w:t>
      </w:r>
      <w:r>
        <w:rPr>
          <w:rFonts w:ascii="Times New Roman" w:hAnsi="Times New Roman"/>
          <w:sz w:val="20"/>
        </w:rPr>
        <w:t xml:space="preserve"> (iii) the sum of all cash payments actually required to be made by Aspen under its contractual obligations as set forth on </w:t>
      </w:r>
      <w:r>
        <w:rPr>
          <w:rFonts w:ascii="Times New Roman" w:hAnsi="Times New Roman"/>
          <w:sz w:val="20"/>
          <w:u w:val="single"/>
        </w:rPr>
        <w:t>Section 1.1(b)(ii)</w:t>
      </w:r>
      <w:r>
        <w:rPr>
          <w:rFonts w:ascii="Times New Roman" w:hAnsi="Times New Roman"/>
          <w:sz w:val="20"/>
        </w:rPr>
        <w:t xml:space="preserve"> of the Aspen Disclosure Schedule to the extent unpaid as of immediately prior to the Closing, </w:t>
      </w:r>
      <w:r>
        <w:rPr>
          <w:rFonts w:ascii="Times New Roman" w:hAnsi="Times New Roman"/>
          <w:i/>
          <w:sz w:val="20"/>
          <w:u w:val="single"/>
        </w:rPr>
        <w:t>minus</w:t>
      </w:r>
      <w:r>
        <w:rPr>
          <w:rFonts w:ascii="Times New Roman" w:hAnsi="Times New Roman"/>
          <w:sz w:val="20"/>
        </w:rPr>
        <w:t xml:space="preserve"> (iv) all unpaid liabilities accrued at the Closing Date required to be set forth on a balance sheet calculated in accordance with GAAP, in each case determined in accordance with GAAP and, to the extent in accordance with GAAP, in a manner consistent with the manner in which such items were historically determined and in accordance with Aspen’s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Aspen’s property, liabilities for Taxes relating to the disposition of the Aspen Pre-Closing Assets, and any guarantees relating to each of the foregoing), </w:t>
      </w:r>
      <w:r>
        <w:rPr>
          <w:rFonts w:ascii="Times New Roman" w:hAnsi="Times New Roman"/>
          <w:i/>
          <w:sz w:val="20"/>
          <w:u w:val="single"/>
        </w:rPr>
        <w:t>minus</w:t>
      </w:r>
      <w:r>
        <w:rPr>
          <w:rFonts w:ascii="Times New Roman" w:hAnsi="Times New Roman"/>
          <w:sz w:val="20"/>
        </w:rPr>
        <w:t xml:space="preserve"> (v) the Transaction Expenses of Aspen to the extent unpaid as of the Closing; </w:t>
      </w:r>
      <w:r>
        <w:rPr>
          <w:rFonts w:ascii="Times New Roman" w:hAnsi="Times New Roman"/>
          <w:i/>
          <w:sz w:val="20"/>
          <w:u w:val="single"/>
        </w:rPr>
        <w:t>minus</w:t>
      </w:r>
      <w:r>
        <w:rPr>
          <w:rFonts w:ascii="Times New Roman" w:hAnsi="Times New Roman"/>
          <w:sz w:val="20"/>
        </w:rPr>
        <w:t xml:space="preserve"> (vi) the unpaid cash cost of any change in control payments, severance payments, bonus payments or retention payments payable to employees of Aspen (whether “single” or “double” trigger) (including, without limitation, (a) a reasonable estimate of payment or reimbursement by Aspen for continued coverage under any employee benefit plan in existence immediately prior to the Closing (excluding any such plan contemplated by the Equity Plan Proposals) and (b) including the employer portion of any employment, payroll or similar Taxes with respect to all such compensation), </w:t>
      </w:r>
      <w:r>
        <w:rPr>
          <w:rFonts w:ascii="Times New Roman" w:hAnsi="Times New Roman"/>
          <w:i/>
          <w:sz w:val="20"/>
          <w:u w:val="single"/>
        </w:rPr>
        <w:t>minus</w:t>
      </w:r>
      <w:r>
        <w:rPr>
          <w:rFonts w:ascii="Times New Roman" w:hAnsi="Times New Roman"/>
          <w:sz w:val="20"/>
        </w:rPr>
        <w:t> (vii) all Liabilities with respect to Aspen’s or any of its Subsidiaries’ payment obligations pursuant to real estate leases, </w:t>
      </w:r>
      <w:r>
        <w:rPr>
          <w:rFonts w:ascii="Times New Roman" w:hAnsi="Times New Roman"/>
          <w:i/>
          <w:sz w:val="20"/>
          <w:u w:val="single"/>
        </w:rPr>
        <w:t>minus</w:t>
      </w:r>
      <w:r>
        <w:rPr>
          <w:rFonts w:ascii="Times New Roman" w:hAnsi="Times New Roman"/>
          <w:sz w:val="20"/>
        </w:rPr>
        <w:t xml:space="preserve"> (viii) any unpaid premium of (x) the “D&amp;O tail policy” pursuant to </w:t>
      </w:r>
      <w:r>
        <w:rPr>
          <w:rFonts w:ascii="Times New Roman" w:hAnsi="Times New Roman"/>
          <w:sz w:val="20"/>
          <w:u w:val="single"/>
        </w:rPr>
        <w:t>Section 6.8(d)</w:t>
      </w:r>
      <w:r>
        <w:rPr>
          <w:rFonts w:ascii="Times New Roman" w:hAnsi="Times New Roman"/>
          <w:sz w:val="20"/>
        </w:rPr>
        <w:t xml:space="preserve"> and (y) the clinical trial liability insurance tail policy, </w:t>
      </w:r>
      <w:r>
        <w:rPr>
          <w:rFonts w:ascii="Times New Roman" w:hAnsi="Times New Roman"/>
          <w:i/>
          <w:sz w:val="20"/>
          <w:u w:val="single"/>
        </w:rPr>
        <w:t>minus</w:t>
      </w:r>
      <w:r>
        <w:rPr>
          <w:rFonts w:ascii="Times New Roman" w:hAnsi="Times New Roman"/>
          <w:sz w:val="20"/>
        </w:rPr>
        <w:t> (ix) any unpaid Taxes of Aspen and its Subsidiaries for Tax periods (or portions thereof) ending on or before the Closing and which are accrued in accordance with GAAP as of immediately prior to Closing (unless otherwise required by Law), </w:t>
      </w:r>
      <w:r>
        <w:rPr>
          <w:rFonts w:ascii="Times New Roman" w:hAnsi="Times New Roman"/>
          <w:i/>
          <w:sz w:val="20"/>
          <w:u w:val="single"/>
        </w:rPr>
        <w:t>minus</w:t>
      </w:r>
      <w:r>
        <w:rPr>
          <w:rFonts w:ascii="Times New Roman" w:hAnsi="Times New Roman"/>
          <w:sz w:val="20"/>
        </w:rPr>
        <w:t xml:space="preserve"> (x) all unpaid costs and expenses (including a reasonable estimate of any Taxes) relating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winding down of any portion of Aspen’s pre-Closing business, which is either not to be held for sale after the Closing Date or subject to the terms of the CVR Agreement, </w:t>
      </w:r>
      <w:r>
        <w:rPr>
          <w:rFonts w:ascii="Times New Roman" w:hAnsi="Times New Roman"/>
          <w:i/>
          <w:sz w:val="20"/>
          <w:u w:val="single"/>
        </w:rPr>
        <w:t>minus</w:t>
      </w:r>
      <w:r>
        <w:rPr>
          <w:rFonts w:ascii="Times New Roman" w:hAnsi="Times New Roman"/>
          <w:sz w:val="20"/>
        </w:rPr>
        <w:t xml:space="preserve"> (xi) 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r>
        <w:rPr>
          <w:rFonts w:ascii="Times New Roman" w:hAnsi="Times New Roman"/>
          <w:i/>
          <w:sz w:val="20"/>
          <w:u w:val="single"/>
        </w:rPr>
        <w:t>minus</w:t>
      </w:r>
      <w:r>
        <w:rPr>
          <w:rFonts w:ascii="Times New Roman" w:hAnsi="Times New Roman"/>
          <w:sz w:val="20"/>
        </w:rPr>
        <w:t xml:space="preserve"> (xii) all withholding Taxes payable in connection with the distribution of any contingent value rights to any former Aspen shareholder, </w:t>
      </w:r>
      <w:r>
        <w:rPr>
          <w:rFonts w:ascii="Times New Roman" w:hAnsi="Times New Roman"/>
          <w:i/>
          <w:sz w:val="20"/>
          <w:u w:val="single"/>
        </w:rPr>
        <w:t>minus</w:t>
      </w:r>
      <w:r>
        <w:rPr>
          <w:rFonts w:ascii="Times New Roman" w:hAnsi="Times New Roman"/>
          <w:sz w:val="20"/>
        </w:rPr>
        <w:t xml:space="preserve"> (xiii) all amounts paid prior to, or actually incurred as of, the Closing not otherwise already reducing cash and cash equivalents, by Aspen as a result of any Aspen Transaction Litigation, </w:t>
      </w:r>
      <w:r>
        <w:rPr>
          <w:rFonts w:ascii="Times New Roman" w:hAnsi="Times New Roman"/>
          <w:i/>
          <w:sz w:val="20"/>
          <w:u w:val="single"/>
        </w:rPr>
        <w:t>plus</w:t>
      </w:r>
      <w:r>
        <w:rPr>
          <w:rFonts w:ascii="Times New Roman" w:hAnsi="Times New Roman"/>
          <w:sz w:val="20"/>
        </w:rPr>
        <w:t xml:space="preserve"> (xiv) any amount of Company Portion paid by Aspen or its Subsidiaries prior to the Closing, </w:t>
      </w:r>
      <w:r>
        <w:rPr>
          <w:rFonts w:ascii="Times New Roman" w:hAnsi="Times New Roman"/>
          <w:i/>
          <w:sz w:val="20"/>
        </w:rPr>
        <w:t>minus</w:t>
      </w:r>
      <w:r>
        <w:rPr>
          <w:rFonts w:ascii="Times New Roman" w:hAnsi="Times New Roman"/>
          <w:sz w:val="20"/>
        </w:rPr>
        <w:t xml:space="preserve"> (xv) 80% of the IP Expense Fund (as defined in the CVR Agreement). </w:t>
      </w:r>
    </w:p>
    <w:p>
      <w:pPr>
        <w:pStyle w:val="TextBody"/>
        <w:bidi w:val="0"/>
        <w:spacing w:before="240" w:after="0"/>
        <w:jc w:val="left"/>
        <w:rPr/>
      </w:pPr>
      <w:r>
        <w:rPr/>
        <w:t>“</w:t>
      </w:r>
      <w:r>
        <w:rPr>
          <w:rFonts w:ascii="Times New Roman" w:hAnsi="Times New Roman"/>
          <w:b/>
          <w:sz w:val="20"/>
        </w:rPr>
        <w:t>Aspen Options</w:t>
      </w:r>
      <w:r>
        <w:rPr>
          <w:rFonts w:ascii="Times New Roman" w:hAnsi="Times New Roman"/>
          <w:sz w:val="20"/>
        </w:rPr>
        <w:t xml:space="preserve">” means options to purchase shares of Aspen Common Stock granted by Aspen whether or not granted pursuant to any Aspen Stock Plan. </w:t>
      </w:r>
    </w:p>
    <w:p>
      <w:pPr>
        <w:pStyle w:val="TextBody"/>
        <w:bidi w:val="0"/>
        <w:spacing w:before="240" w:after="0"/>
        <w:jc w:val="left"/>
        <w:rPr/>
      </w:pPr>
      <w:r>
        <w:rPr/>
        <w:t>“</w:t>
      </w:r>
      <w:r>
        <w:rPr>
          <w:rFonts w:ascii="Times New Roman" w:hAnsi="Times New Roman"/>
          <w:b/>
          <w:sz w:val="20"/>
        </w:rPr>
        <w:t>Aspen Outbound License</w:t>
      </w:r>
      <w:r>
        <w:rPr>
          <w:rFonts w:ascii="Times New Roman" w:hAnsi="Times New Roman"/>
          <w:sz w:val="20"/>
        </w:rPr>
        <w:t xml:space="preserve">” means any Aspen Contract pursuant to which Aspen grants any license or any other right or immunity (including any sublicense, option, right of first refusal or other preferential right or covenant not to sue) under any Aspen Intellectual Property that is material to the business of Aspen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Aspen or (ii) incidental to any assays or other materials obtained from third parties under material transfer agreements or other similar contracts, in each case, consistent with industry standard, and (b) agreements between any of Aspen or any Subsidiary thereof and another Subsidiary of Aspen. </w:t>
      </w:r>
    </w:p>
    <w:p>
      <w:pPr>
        <w:pStyle w:val="TextBody"/>
        <w:bidi w:val="0"/>
        <w:spacing w:before="240" w:after="0"/>
        <w:jc w:val="left"/>
        <w:rPr/>
      </w:pPr>
      <w:r>
        <w:rPr/>
        <w:t>“</w:t>
      </w:r>
      <w:r>
        <w:rPr>
          <w:rFonts w:ascii="Times New Roman" w:hAnsi="Times New Roman"/>
          <w:b/>
          <w:sz w:val="20"/>
        </w:rPr>
        <w:t>Aspen Product</w:t>
      </w:r>
      <w:r>
        <w:rPr>
          <w:rFonts w:ascii="Times New Roman" w:hAnsi="Times New Roman"/>
          <w:sz w:val="20"/>
        </w:rPr>
        <w:t xml:space="preserve">” means any pharmaceutical, biological or medicinal therapy, compound, drug, product candidate or product that is being developed, researched, manufactured, tested, licensed, offered, marketed, sold, or distributed by or on behalf of Aspen, including any discovery or clinical programs or platforms and the therapies and compounds made and tested in such programs, including through collaboration with others, or through compassionate use/named patient activities. </w:t>
      </w:r>
    </w:p>
    <w:p>
      <w:pPr>
        <w:pStyle w:val="TextBody"/>
        <w:bidi w:val="0"/>
        <w:spacing w:before="240" w:after="0"/>
        <w:jc w:val="left"/>
        <w:rPr/>
      </w:pPr>
      <w:r>
        <w:rPr/>
        <w:t>“</w:t>
      </w:r>
      <w:r>
        <w:rPr>
          <w:rFonts w:ascii="Times New Roman" w:hAnsi="Times New Roman"/>
          <w:b/>
          <w:sz w:val="20"/>
        </w:rPr>
        <w:t>Aspen Restricted Stock Units</w:t>
      </w:r>
      <w:r>
        <w:rPr>
          <w:rFonts w:ascii="Times New Roman" w:hAnsi="Times New Roman"/>
          <w:sz w:val="20"/>
        </w:rPr>
        <w:t xml:space="preserve">” means any equity award of restricted stock units with respect to Aspen Common Stock that represents the right to receive in the future shares of Aspen Common Stock granted by Aspen whether or not granted pursuant to any Aspen Stock Plan. </w:t>
      </w:r>
    </w:p>
    <w:p>
      <w:pPr>
        <w:pStyle w:val="TextBody"/>
        <w:bidi w:val="0"/>
        <w:spacing w:before="240" w:after="0"/>
        <w:jc w:val="left"/>
        <w:rPr/>
      </w:pPr>
      <w:r>
        <w:rPr/>
        <w:t>“</w:t>
      </w:r>
      <w:r>
        <w:rPr>
          <w:rFonts w:ascii="Times New Roman" w:hAnsi="Times New Roman"/>
          <w:b/>
          <w:sz w:val="20"/>
        </w:rPr>
        <w:t>Aspen Triggering Event</w:t>
      </w:r>
      <w:r>
        <w:rPr>
          <w:rFonts w:ascii="Times New Roman" w:hAnsi="Times New Roman"/>
          <w:sz w:val="20"/>
        </w:rPr>
        <w:t xml:space="preserve">” shall be deemed to have occurred if: (a) Aspen shall have failed to include in the Proxy Statement the Aspen Board Recommendation, (b)(i) the Aspen Board or any committee thereof shall have made an Aspen Board Adverse Recommendation Change or (ii) the Aspen Board or any committee thereof shall have approved, endorsed or recommended any Acquisition Proposal with respect to an acquisition of Aspen (other than by the Company or an Affiliate thereof and other than actions made in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(except for an Aspen Board Adverse Recommendation Change)), (c) Aspen shall have entered into any letter of intent or similar document or any similar Contract relating to any Acquisition Proposal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or (d) upon willful and material breach of Aspen’s obligations set forth in the first sentence of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w:t>
      </w:r>
      <w:r>
        <w:rPr>
          <w:rFonts w:ascii="Times New Roman" w:hAnsi="Times New Roman"/>
          <w:sz w:val="20"/>
        </w:rPr>
        <w:t xml:space="preserve"> </w:t>
      </w:r>
      <w:r>
        <w:rPr>
          <w:rFonts w:ascii="Times New Roman" w:hAnsi="Times New Roman"/>
          <w:b/>
          <w:sz w:val="20"/>
        </w:rPr>
        <w:t>Day</w:t>
      </w:r>
      <w:r>
        <w:rPr>
          <w:rFonts w:ascii="Times New Roman" w:hAnsi="Times New Roman"/>
          <w:sz w:val="20"/>
        </w:rPr>
        <w:t xml:space="preserve">” means any day other than a day on which banks in the State of New York are authorized or obligated to be closed.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Section 6 of Title I of ERISA.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b/>
          <w:sz w:val="20"/>
        </w:rPr>
        <w:t>Collaboration Partner</w:t>
      </w:r>
      <w:r>
        <w:rPr>
          <w:rFonts w:ascii="Times New Roman" w:hAnsi="Times New Roman"/>
          <w:sz w:val="20"/>
        </w:rPr>
        <w:t xml:space="preserve">” means any research, development, collaboration or similar commercialization partner of the Company or its Subsidiaries with respect to the Company Products or of Aspen or its Subsidiaries with respect to the Aspen Products, as applicable. </w:t>
      </w:r>
    </w:p>
    <w:p>
      <w:pPr>
        <w:pStyle w:val="TextBody"/>
        <w:bidi w:val="0"/>
        <w:spacing w:before="240" w:after="0"/>
        <w:jc w:val="left"/>
        <w:rPr/>
      </w:pPr>
      <w:r>
        <w:rPr/>
        <w:t>“</w:t>
      </w:r>
      <w:r>
        <w:rPr>
          <w:rFonts w:ascii="Times New Roman" w:hAnsi="Times New Roman"/>
          <w:b/>
          <w:sz w:val="20"/>
        </w:rPr>
        <w:t>Company Associate</w:t>
      </w:r>
      <w:r>
        <w:rPr>
          <w:rFonts w:ascii="Times New Roman" w:hAnsi="Times New Roman"/>
          <w:sz w:val="20"/>
        </w:rPr>
        <w:t xml:space="preserve">” means any current employee, independent contractor, officer or director of the Company or any of its Subsidiaries. </w:t>
      </w:r>
    </w:p>
    <w:p>
      <w:pPr>
        <w:pStyle w:val="TextBody"/>
        <w:bidi w:val="0"/>
        <w:spacing w:before="240" w:after="0"/>
        <w:jc w:val="left"/>
        <w:rPr/>
      </w:pPr>
      <w:r>
        <w:rPr/>
        <w:t>“</w:t>
      </w:r>
      <w:r>
        <w:rPr>
          <w:rFonts w:ascii="Times New Roman" w:hAnsi="Times New Roman"/>
          <w:b/>
          <w:sz w:val="20"/>
        </w:rPr>
        <w:t>Company Authorized Share Increase</w:t>
      </w:r>
      <w:r>
        <w:rPr>
          <w:rFonts w:ascii="Times New Roman" w:hAnsi="Times New Roman"/>
          <w:sz w:val="20"/>
        </w:rPr>
        <w:t xml:space="preserve">” means an increase in the number of authorized shares of Company Common Stock from 11,947,558 shares of Company Common Stock to 30,000,000 shares of Company Common Stock or such other number of shares of Company Common Stock as may be mutually agreed in writing by the Company and Aspen.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left"/>
        <w:rPr/>
      </w:pPr>
      <w:r>
        <w:rPr/>
        <w:t>“</w:t>
      </w:r>
      <w:r>
        <w:rPr>
          <w:rFonts w:ascii="Times New Roman" w:hAnsi="Times New Roman"/>
          <w:b/>
          <w:sz w:val="20"/>
        </w:rPr>
        <w:t>Company Capitalization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pPr>
      <w:r>
        <w:rPr/>
        <w:t>“</w:t>
      </w:r>
      <w:r>
        <w:rPr>
          <w:rFonts w:ascii="Times New Roman" w:hAnsi="Times New Roman"/>
          <w:b/>
          <w:sz w:val="20"/>
        </w:rPr>
        <w:t>Company Contract</w:t>
      </w:r>
      <w:r>
        <w:rPr>
          <w:rFonts w:ascii="Times New Roman" w:hAnsi="Times New Roman"/>
          <w:sz w:val="20"/>
        </w:rPr>
        <w:t xml:space="preserve">” means any Contract: (a) to which the Company or any of its Subsidiaries is a Party, (b) by which the Company or any of its Subsidiaries is bound or under which the Company or any of its Subsidiaries has any obligation or (c) under which the Company or any of its Subsidiaries has any right or interest. </w:t>
      </w:r>
    </w:p>
    <w:p>
      <w:pPr>
        <w:pStyle w:val="TextBody"/>
        <w:bidi w:val="0"/>
        <w:spacing w:before="240" w:after="0"/>
        <w:jc w:val="left"/>
        <w:rPr/>
      </w:pPr>
      <w:r>
        <w:rPr/>
        <w:t>“</w:t>
      </w:r>
      <w:r>
        <w:rPr>
          <w:rFonts w:ascii="Times New Roman" w:hAnsi="Times New Roman"/>
          <w:b/>
          <w:sz w:val="20"/>
        </w:rPr>
        <w:t>Company Convertible Notes</w:t>
      </w:r>
      <w:r>
        <w:rPr>
          <w:rFonts w:ascii="Times New Roman" w:hAnsi="Times New Roman"/>
          <w:sz w:val="20"/>
        </w:rPr>
        <w:t xml:space="preserve">” means the convertible promissory notes in respect of shares of Company Capital Stock issued by the Company, as amended or supplemented (for the avoidance of doubt, (i) other than Company Options and (ii) including the Company SAFEs). </w:t>
      </w:r>
    </w:p>
    <w:p>
      <w:pPr>
        <w:pStyle w:val="TextBody"/>
        <w:bidi w:val="0"/>
        <w:spacing w:before="240" w:after="0"/>
        <w:jc w:val="left"/>
        <w:rPr/>
      </w:pPr>
      <w:r>
        <w:rPr/>
        <w:t>“</w:t>
      </w:r>
      <w:r>
        <w:rPr>
          <w:rFonts w:ascii="Times New Roman" w:hAnsi="Times New Roman"/>
          <w:b/>
          <w:sz w:val="20"/>
        </w:rPr>
        <w:t>Company Employee Plan</w:t>
      </w:r>
      <w:r>
        <w:rPr>
          <w:rFonts w:ascii="Times New Roman" w:hAnsi="Times New Roman"/>
          <w:sz w:val="20"/>
        </w:rPr>
        <w:t xml:space="preserve">” means any Employee Plan that the Company or any of its Subsidiaries (i) sponsors, maintains, administers, or contributes to, or (ii) 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the Company or any of its Subsidiaries (or their spouses, dependents, or beneficiaries). </w:t>
      </w:r>
    </w:p>
    <w:p>
      <w:pPr>
        <w:pStyle w:val="TextBody"/>
        <w:bidi w:val="0"/>
        <w:spacing w:before="240" w:after="0"/>
        <w:jc w:val="left"/>
        <w:rPr/>
      </w:pPr>
      <w:r>
        <w:rPr/>
        <w:t>“</w:t>
      </w:r>
      <w:r>
        <w:rPr>
          <w:rFonts w:ascii="Times New Roman" w:hAnsi="Times New Roman"/>
          <w:b/>
          <w:sz w:val="20"/>
        </w:rPr>
        <w:t>Company Equity Incentive Plan</w:t>
      </w:r>
      <w:r>
        <w:rPr>
          <w:rFonts w:ascii="Times New Roman" w:hAnsi="Times New Roman"/>
          <w:sz w:val="20"/>
        </w:rPr>
        <w:t xml:space="preserve">” means the Company’s 2019 Equity Incentive Plan. </w:t>
      </w:r>
    </w:p>
    <w:p>
      <w:pPr>
        <w:pStyle w:val="TextBody"/>
        <w:bidi w:val="0"/>
        <w:spacing w:before="240" w:after="0"/>
        <w:jc w:val="left"/>
        <w:rPr/>
      </w:pPr>
      <w:r>
        <w:rPr/>
        <w:t>“</w:t>
      </w:r>
      <w:r>
        <w:rPr>
          <w:rFonts w:ascii="Times New Roman" w:hAnsi="Times New Roman"/>
          <w:b/>
          <w:sz w:val="20"/>
        </w:rPr>
        <w:t>Company Exclusively Licensed Intellectual Property</w:t>
      </w:r>
      <w:r>
        <w:rPr>
          <w:rFonts w:ascii="Times New Roman" w:hAnsi="Times New Roman"/>
          <w:sz w:val="20"/>
        </w:rPr>
        <w:t xml:space="preserve">” means any and all Company Licensed Intellectual Property that is, or is purported to be, exclusively licensed to the Company, or to which the Company has or purports to have any other exclusive right, but excluding agreements between any of the Company or any Subsidiary thereof and another Subsidiary of the Company. </w:t>
      </w:r>
    </w:p>
    <w:p>
      <w:pPr>
        <w:pStyle w:val="TextBody"/>
        <w:bidi w:val="0"/>
        <w:spacing w:before="240" w:after="0"/>
        <w:jc w:val="left"/>
        <w:rPr/>
      </w:pPr>
      <w:r>
        <w:rPr/>
        <w:t>“</w:t>
      </w:r>
      <w:r>
        <w:rPr>
          <w:rFonts w:ascii="Times New Roman" w:hAnsi="Times New Roman"/>
          <w:b/>
          <w:sz w:val="20"/>
        </w:rPr>
        <w:t>Company Fundamental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3.1(a)</w:t>
      </w:r>
      <w:r>
        <w:rPr>
          <w:rFonts w:ascii="Times New Roman" w:hAnsi="Times New Roman"/>
          <w:sz w:val="20"/>
        </w:rPr>
        <w:t xml:space="preserve">, </w:t>
      </w:r>
      <w:r>
        <w:rPr>
          <w:rFonts w:ascii="Times New Roman" w:hAnsi="Times New Roman"/>
          <w:sz w:val="20"/>
          <w:u w:val="single"/>
        </w:rPr>
        <w:t>3.1(b)</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Inbound License</w:t>
      </w:r>
      <w:r>
        <w:rPr>
          <w:rFonts w:ascii="Times New Roman" w:hAnsi="Times New Roman"/>
          <w:sz w:val="20"/>
        </w:rPr>
        <w:t xml:space="preserve">” means any Company Contract pursuant to which the Company is granted any license or obtains any other right or immunity (including any sublicense, option, right of first refusal or other preferential right or covenant not to be sued) under (a) any Intellectual Property of any other Person that is material to the business of the Company taken as a whole (or to the further research, development and commercialization of Company Products as currently planned by Company), in each case,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agreements between the Company and its employees or consultants, with this exception limited to the extent of the assignment of Intellectual Property created by such individuals to the Company thereunder and (ii) agreements for any Third Party non-customized commercially available object code software licensed to the Company on generally available, standard commercial pricing and other terms for less than $250,000; or (b) any Company Exclusively Licensed Intellectual Property. </w:t>
      </w:r>
    </w:p>
    <w:p>
      <w:pPr>
        <w:pStyle w:val="TextBody"/>
        <w:bidi w:val="0"/>
        <w:spacing w:before="240" w:after="0"/>
        <w:jc w:val="left"/>
        <w:rPr/>
      </w:pPr>
      <w:r>
        <w:rPr/>
        <w:t>“</w:t>
      </w:r>
      <w:r>
        <w:rPr>
          <w:rFonts w:ascii="Times New Roman" w:hAnsi="Times New Roman"/>
          <w:b/>
          <w:sz w:val="20"/>
        </w:rPr>
        <w:t>Company Intellectual Property</w:t>
      </w:r>
      <w:r>
        <w:rPr>
          <w:rFonts w:ascii="Times New Roman" w:hAnsi="Times New Roman"/>
          <w:sz w:val="20"/>
        </w:rPr>
        <w:t>” means (i) any and all Intellectual Property owned or purported to be owned, solely or jointly, by any the Company (“</w:t>
      </w:r>
      <w:r>
        <w:rPr>
          <w:rFonts w:ascii="Times New Roman" w:hAnsi="Times New Roman"/>
          <w:b/>
          <w:sz w:val="20"/>
        </w:rPr>
        <w:t>Company Owned Intellectual Property</w:t>
      </w:r>
      <w:r>
        <w:rPr>
          <w:rFonts w:ascii="Times New Roman" w:hAnsi="Times New Roman"/>
          <w:sz w:val="20"/>
        </w:rPr>
        <w:t>”), and (ii) any and all Intellectual Property owned by any other Person and licensed or purported to be licensed to the Company or to which the Company has or purports to have any other right (“</w:t>
      </w:r>
      <w:r>
        <w:rPr>
          <w:rFonts w:ascii="Times New Roman" w:hAnsi="Times New Roman"/>
          <w:b/>
          <w:sz w:val="20"/>
        </w:rPr>
        <w:t>Company Licensed Intellectual Property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Key Employee</w:t>
      </w:r>
      <w:r>
        <w:rPr>
          <w:rFonts w:ascii="Times New Roman" w:hAnsi="Times New Roman"/>
          <w:sz w:val="20"/>
        </w:rPr>
        <w:t xml:space="preserve">” means (i) any executive officer of the Company or any of its Subsidiaries; and (ii) any employee of the Company or any of its Subsidiaries that reports directly to the Company Board. </w:t>
      </w:r>
    </w:p>
    <w:p>
      <w:pPr>
        <w:pStyle w:val="TextBody"/>
        <w:bidi w:val="0"/>
        <w:spacing w:before="240" w:after="0"/>
        <w:jc w:val="left"/>
        <w:rPr/>
      </w:pPr>
      <w:r>
        <w:rPr/>
        <w:t>“</w:t>
      </w:r>
      <w:r>
        <w:rPr>
          <w:rFonts w:ascii="Times New Roman" w:hAnsi="Times New Roman"/>
          <w:b/>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 Company Material Adverse Effect: (a) the announcement of this Agreement or the pendency of the Contemplated Transactions, (b) the taking of any action, or the failure to take any action, by the Company that is required to comply with the terms of this Agreement, (c)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GAAP or applicable Law or the interpretation thereof, (e) any change in the cash position of the Company and its Subsidiaries which results from operations in the Ordinary Course of Business, or (f) general economic or political conditions or conditions generally affecting the industries in which the Company and its Subsidiaries operate; except in each case with respect to clauses (c), (d) and (f), to the extent disproportionately affecting the Company and its Subsidiaries, taken as a whole, relative to other similarly situated companies in the industries in which the Company and its Subsidiaries operate. </w:t>
      </w:r>
    </w:p>
    <w:p>
      <w:pPr>
        <w:pStyle w:val="TextBody"/>
        <w:bidi w:val="0"/>
        <w:spacing w:before="240" w:after="0"/>
        <w:jc w:val="left"/>
        <w:rPr/>
      </w:pPr>
      <w:r>
        <w:rPr/>
        <w:t>“</w:t>
      </w:r>
      <w:r>
        <w:rPr>
          <w:rFonts w:ascii="Times New Roman" w:hAnsi="Times New Roman"/>
          <w:b/>
          <w:sz w:val="20"/>
        </w:rPr>
        <w:t>Company Merger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the product determined by </w:t>
      </w:r>
      <w:r>
        <w:rPr>
          <w:rFonts w:ascii="Times New Roman" w:hAnsi="Times New Roman"/>
          <w:i/>
          <w:sz w:val="20"/>
          <w:u w:val="single"/>
        </w:rPr>
        <w:t>multiplying</w:t>
      </w:r>
      <w:r>
        <w:rPr>
          <w:rFonts w:ascii="Times New Roman" w:hAnsi="Times New Roman"/>
          <w:sz w:val="20"/>
        </w:rPr>
        <w:t xml:space="preserve"> (i) the Post-Closing Aspen Shares </w:t>
      </w:r>
      <w:r>
        <w:rPr>
          <w:rFonts w:ascii="Times New Roman" w:hAnsi="Times New Roman"/>
          <w:i/>
          <w:sz w:val="20"/>
          <w:u w:val="single"/>
        </w:rPr>
        <w:t>by</w:t>
      </w:r>
      <w:r>
        <w:rPr>
          <w:rFonts w:ascii="Times New Roman" w:hAnsi="Times New Roman"/>
          <w:sz w:val="20"/>
        </w:rPr>
        <w:t xml:space="preserve"> (ii) the Company Allocation Percentage, in which: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pPr>
            <w:r>
              <w:rPr/>
              <w:t>“</w:t>
            </w:r>
            <w:r>
              <w:rPr>
                <w:rFonts w:ascii="Times New Roman" w:hAnsi="Times New Roman"/>
                <w:b/>
                <w:sz w:val="20"/>
              </w:rPr>
              <w:t>Aggregate Valuation</w:t>
            </w:r>
            <w:r>
              <w:rPr>
                <w:rFonts w:ascii="Times New Roman" w:hAnsi="Times New Roman"/>
                <w:sz w:val="20"/>
              </w:rPr>
              <w:t xml:space="preserve">” means the sum of (i) the Company Valuation </w:t>
            </w:r>
            <w:r>
              <w:rPr>
                <w:rFonts w:ascii="Times New Roman" w:hAnsi="Times New Roman"/>
                <w:i/>
                <w:sz w:val="20"/>
                <w:u w:val="single"/>
              </w:rPr>
              <w:t>plus</w:t>
            </w:r>
            <w:r>
              <w:rPr>
                <w:rFonts w:ascii="Times New Roman" w:hAnsi="Times New Roman"/>
                <w:sz w:val="20"/>
              </w:rPr>
              <w:t xml:space="preserve"> (ii) the Aspen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Aspen Allocation Percentage</w:t>
            </w:r>
            <w:r>
              <w:rPr>
                <w:rFonts w:ascii="Times New Roman" w:hAnsi="Times New Roman"/>
                <w:sz w:val="20"/>
              </w:rPr>
              <w:t xml:space="preserve">” means the quotient (expressed as a percentage and rounded to eight decimal places) determined by </w:t>
            </w:r>
            <w:r>
              <w:rPr>
                <w:rFonts w:ascii="Times New Roman" w:hAnsi="Times New Roman"/>
                <w:i/>
                <w:sz w:val="20"/>
                <w:u w:val="single"/>
              </w:rPr>
              <w:t>dividing</w:t>
            </w:r>
            <w:r>
              <w:rPr>
                <w:rFonts w:ascii="Times New Roman" w:hAnsi="Times New Roman"/>
                <w:sz w:val="20"/>
              </w:rPr>
              <w:t xml:space="preserve"> (i) the Aspen Valuation </w:t>
            </w:r>
            <w:r>
              <w:rPr>
                <w:rFonts w:ascii="Times New Roman" w:hAnsi="Times New Roman"/>
                <w:i/>
                <w:sz w:val="20"/>
                <w:u w:val="single"/>
              </w:rPr>
              <w:t>by</w:t>
            </w:r>
            <w:r>
              <w:rPr>
                <w:rFonts w:ascii="Times New Roman" w:hAnsi="Times New Roman"/>
                <w:sz w:val="20"/>
              </w:rPr>
              <w:t xml:space="preserve"> (ii) the Aggregate Valuation.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pPr>
            <w:r>
              <w:rPr/>
              <w:t>“</w:t>
            </w:r>
            <w:r>
              <w:rPr>
                <w:rFonts w:ascii="Times New Roman" w:hAnsi="Times New Roman"/>
                <w:b/>
                <w:sz w:val="20"/>
              </w:rPr>
              <w:t>Aspen Equity Value</w:t>
            </w:r>
            <w:r>
              <w:rPr>
                <w:rFonts w:ascii="Times New Roman" w:hAnsi="Times New Roman"/>
                <w:sz w:val="20"/>
              </w:rPr>
              <w:t xml:space="preserve">” means $77,500,000.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Aspen Outstanding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(including, without limitation, the effects of the Nasdaq Reverse Split), the total number of shares of Aspen Common Stock outstanding immediately prior to the Effective Time, expressed on a fully-diluted and as-converted-to-Aspen Common Stock basis, and assuming, without limitation or duplication, (i) the issuance of shares of Aspen Common Stock in respect of all Aspen Options, warrants or other rights to receive shares, whether conditional or unconditional, that will be outstanding as of immediately prior to the Effective Time, calculated on a treasury stock method basis, (ii) the settlement in shares of Aspen Common Stock of Aspen Restricted Stock Units outstanding as of immediately prior to the Effective Time on a net settlement basis as provided in </w:t>
            </w:r>
            <w:r>
              <w:rPr>
                <w:rFonts w:ascii="Times New Roman" w:hAnsi="Times New Roman"/>
                <w:sz w:val="20"/>
                <w:u w:val="single"/>
              </w:rPr>
              <w:t>Section 6.7</w:t>
            </w:r>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(iii) the exclusion of shares of Aspen Common Stock held immediately prior to the Effective Time by Aspen as treasury stock or in connection with any unallocated equity pool or by the Company, any of its Subsidiaries or any Subsidiary of Aspen. Notwithstanding any of the foregoing, no Out of the Money Aspen Options or performance based Aspen Restricted Stock Units for which the performance condition has not been met as of the Effective Time and no shares reserved for issuance under the Equity Plan Proposals shall be included in the total number of shares of Aspen Common Stock outstanding for purposes of determining the Aspen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Aspen Valuation</w:t>
            </w:r>
            <w:r>
              <w:rPr>
                <w:rFonts w:ascii="Times New Roman" w:hAnsi="Times New Roman"/>
                <w:sz w:val="20"/>
              </w:rPr>
              <w:t xml:space="preserve">” means (i) the Aspen Equity Value </w:t>
            </w:r>
            <w:r>
              <w:rPr>
                <w:rFonts w:ascii="Times New Roman" w:hAnsi="Times New Roman"/>
                <w:i/>
                <w:sz w:val="20"/>
                <w:u w:val="single"/>
              </w:rPr>
              <w:t>minus</w:t>
            </w:r>
            <w:r>
              <w:rPr>
                <w:rFonts w:ascii="Times New Roman" w:hAnsi="Times New Roman"/>
                <w:sz w:val="20"/>
              </w:rPr>
              <w:t xml:space="preserve"> (ii) the Lower Aspen Net Cash Amount (if any) </w:t>
            </w:r>
            <w:r>
              <w:rPr>
                <w:rFonts w:ascii="Times New Roman" w:hAnsi="Times New Roman"/>
                <w:i/>
                <w:sz w:val="20"/>
                <w:u w:val="single"/>
              </w:rPr>
              <w:t>plus</w:t>
            </w:r>
            <w:r>
              <w:rPr>
                <w:rFonts w:ascii="Times New Roman" w:hAnsi="Times New Roman"/>
                <w:sz w:val="20"/>
              </w:rPr>
              <w:t xml:space="preserve"> (iii) the Upper Aspen Net Cash Amount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Allocation Percentage</w:t>
            </w:r>
            <w:r>
              <w:rPr>
                <w:rFonts w:ascii="Times New Roman" w:hAnsi="Times New Roman"/>
                <w:sz w:val="20"/>
              </w:rPr>
              <w:t xml:space="preserve">” means the quotient (expressed as a percentage and rounded to eight decimal places) determined by </w:t>
            </w:r>
            <w:r>
              <w:rPr>
                <w:rFonts w:ascii="Times New Roman" w:hAnsi="Times New Roman"/>
                <w:i/>
                <w:sz w:val="20"/>
                <w:u w:val="single"/>
              </w:rPr>
              <w:t>subtracting</w:t>
            </w:r>
            <w:r>
              <w:rPr>
                <w:rFonts w:ascii="Times New Roman" w:hAnsi="Times New Roman"/>
                <w:sz w:val="20"/>
              </w:rPr>
              <w:t xml:space="preserve"> (i) the Aspen Allocation Percentage </w:t>
            </w:r>
            <w:r>
              <w:rPr>
                <w:rFonts w:ascii="Times New Roman" w:hAnsi="Times New Roman"/>
                <w:i/>
                <w:sz w:val="20"/>
                <w:u w:val="single"/>
              </w:rPr>
              <w:t>from</w:t>
            </w:r>
            <w:r>
              <w:rPr>
                <w:rFonts w:ascii="Times New Roman" w:hAnsi="Times New Roman"/>
                <w:sz w:val="20"/>
              </w:rPr>
              <w:t xml:space="preserve"> (ii) 100 percent.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pPr>
            <w:r>
              <w:rPr/>
              <w:t>“</w:t>
            </w:r>
            <w:r>
              <w:rPr>
                <w:rFonts w:ascii="Times New Roman" w:hAnsi="Times New Roman"/>
                <w:b/>
                <w:sz w:val="20"/>
              </w:rPr>
              <w:t>Company Equity Value</w:t>
            </w:r>
            <w:r>
              <w:rPr>
                <w:rFonts w:ascii="Times New Roman" w:hAnsi="Times New Roman"/>
                <w:sz w:val="20"/>
              </w:rPr>
              <w:t xml:space="preserve">” means $140,000,000.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Outstanding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the total number of shares of Company Common Stock outstanding immediately prior to the Effective Time, expressed on a fully-diluted and as-converted-to-Company Common Stock basis (including, without limitation, after giving effect to the Company SAFEs Conversion and the Company Preferred Stock Conversion), and assuming, without limitation or duplication, (i) the inclusion of Concurrent Investment Company Shares, (ii) the issuance of shares of Company Common Stock in respect of all Company Options, or other rights to receive shares, whether conditional or unconditional, that will be outstanding as of immediately prior to the Effective Time, calculated on a treasury stock method basis, and (iii) the exclusion of shares of Company Common Stock held immediately prior to the Effective Time by the Company as treasury stock or in connection with any unallocated equity pool or by Aspen, any of its Subsidiaries or any Subsidiary of the Company.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pPr>
            <w:r>
              <w:rPr/>
              <w:t>“</w:t>
            </w:r>
            <w:r>
              <w:rPr>
                <w:rFonts w:ascii="Times New Roman" w:hAnsi="Times New Roman"/>
                <w:b/>
                <w:sz w:val="20"/>
              </w:rPr>
              <w:t>Company Valuation</w:t>
            </w:r>
            <w:r>
              <w:rPr>
                <w:rFonts w:ascii="Times New Roman" w:hAnsi="Times New Roman"/>
                <w:sz w:val="20"/>
              </w:rPr>
              <w:t xml:space="preserve">” means (i) the Company Equity Value </w:t>
            </w:r>
            <w:r>
              <w:rPr>
                <w:rFonts w:ascii="Times New Roman" w:hAnsi="Times New Roman"/>
                <w:i/>
                <w:sz w:val="20"/>
                <w:u w:val="single"/>
              </w:rPr>
              <w:t>plus</w:t>
            </w:r>
            <w:r>
              <w:rPr>
                <w:rFonts w:ascii="Times New Roman" w:hAnsi="Times New Roman"/>
                <w:sz w:val="20"/>
              </w:rPr>
              <w:t xml:space="preserve"> (ii) the Concurrent Investment Proceeds.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Exchange Ratio</w:t>
            </w:r>
            <w:r>
              <w:rPr>
                <w:rFonts w:ascii="Times New Roman" w:hAnsi="Times New Roman"/>
                <w:sz w:val="20"/>
              </w:rPr>
              <w:t xml:space="preserve">” means the ratio (rounded to eight decimal places) equal to the quotient obtained by dividing (i) the Company Merger Shares by (ii) the Company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Lower Aspen Net Cash Amount</w:t>
            </w:r>
            <w:r>
              <w:rPr>
                <w:rFonts w:ascii="Times New Roman" w:hAnsi="Times New Roman"/>
                <w:sz w:val="20"/>
              </w:rPr>
              <w:t xml:space="preserve">” means, if Aspen Net Cash is less than the Lower Target Aspen Net Cash, then the amount, if any, that the Target Aspen Net Cash exceeds the Aspen Net Cash.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pPr>
            <w:r>
              <w:rPr/>
              <w:t>“</w:t>
            </w:r>
            <w:r>
              <w:rPr>
                <w:rFonts w:ascii="Times New Roman" w:hAnsi="Times New Roman"/>
                <w:b/>
                <w:sz w:val="20"/>
              </w:rPr>
              <w:t>Lower Target Aspen Net Cash</w:t>
            </w:r>
            <w:r>
              <w:rPr>
                <w:rFonts w:ascii="Times New Roman" w:hAnsi="Times New Roman"/>
                <w:sz w:val="20"/>
              </w:rPr>
              <w:t xml:space="preserve">” means $64,500,000.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Post-Closing Aspen Shares</w:t>
            </w:r>
            <w:r>
              <w:rPr>
                <w:rFonts w:ascii="Times New Roman" w:hAnsi="Times New Roman"/>
                <w:sz w:val="20"/>
              </w:rPr>
              <w:t xml:space="preserve">” means the quotient determined by </w:t>
            </w:r>
            <w:r>
              <w:rPr>
                <w:rFonts w:ascii="Times New Roman" w:hAnsi="Times New Roman"/>
                <w:i/>
                <w:sz w:val="20"/>
                <w:u w:val="single"/>
              </w:rPr>
              <w:t>dividing</w:t>
            </w:r>
            <w:r>
              <w:rPr>
                <w:rFonts w:ascii="Times New Roman" w:hAnsi="Times New Roman"/>
                <w:sz w:val="20"/>
              </w:rPr>
              <w:t xml:space="preserve"> (i) the Aspen Outstanding Shares </w:t>
            </w:r>
            <w:r>
              <w:rPr>
                <w:rFonts w:ascii="Times New Roman" w:hAnsi="Times New Roman"/>
                <w:i/>
                <w:sz w:val="20"/>
                <w:u w:val="single"/>
              </w:rPr>
              <w:t>by</w:t>
            </w:r>
            <w:r>
              <w:rPr>
                <w:rFonts w:ascii="Times New Roman" w:hAnsi="Times New Roman"/>
                <w:sz w:val="20"/>
              </w:rPr>
              <w:t xml:space="preserve"> (ii) the Aspen Allocation Percentage.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pPr>
            <w:r>
              <w:rPr/>
              <w:t>“</w:t>
            </w:r>
            <w:r>
              <w:rPr>
                <w:rFonts w:ascii="Times New Roman" w:hAnsi="Times New Roman"/>
                <w:b/>
                <w:sz w:val="20"/>
              </w:rPr>
              <w:t>Target Aspen Net Cash</w:t>
            </w:r>
            <w:r>
              <w:rPr>
                <w:rFonts w:ascii="Times New Roman" w:hAnsi="Times New Roman"/>
                <w:sz w:val="20"/>
              </w:rPr>
              <w:t xml:space="preserve">” means $65,000,000.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Upper Aspen Net Cash Amount</w:t>
            </w:r>
            <w:r>
              <w:rPr>
                <w:rFonts w:ascii="Times New Roman" w:hAnsi="Times New Roman"/>
                <w:sz w:val="20"/>
              </w:rPr>
              <w:t xml:space="preserve">” means, if Aspen Net Cash is greater than the Upper Target Aspen Net Cash, then the amount, if any, that the Aspen Net Cash exceeds the Target Aspen Net Cash.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pPr>
            <w:r>
              <w:rPr/>
              <w:t>“</w:t>
            </w:r>
            <w:r>
              <w:rPr>
                <w:rFonts w:ascii="Times New Roman" w:hAnsi="Times New Roman"/>
                <w:b/>
                <w:sz w:val="20"/>
              </w:rPr>
              <w:t>Upper Target Aspen Net Cash</w:t>
            </w:r>
            <w:r>
              <w:rPr>
                <w:rFonts w:ascii="Times New Roman" w:hAnsi="Times New Roman"/>
                <w:sz w:val="20"/>
              </w:rPr>
              <w:t xml:space="preserve">” means $65,500,000.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Concurrent Investment Proceeds shall not be included in the calculation or determination of the Company Equity Value, the Aspen Valuation or any component thereof. Set forth on </w:t>
      </w:r>
      <w:r>
        <w:rPr>
          <w:rFonts w:ascii="Times New Roman" w:hAnsi="Times New Roman"/>
          <w:sz w:val="20"/>
          <w:u w:val="single"/>
        </w:rPr>
        <w:t>Annex A</w:t>
      </w:r>
      <w:r>
        <w:rPr>
          <w:rFonts w:ascii="Times New Roman" w:hAnsi="Times New Roman"/>
          <w:sz w:val="20"/>
        </w:rPr>
        <w:t xml:space="preserve"> attached hereto is an illustrative example of the calculation of Company Merger Shares. </w:t>
      </w:r>
    </w:p>
    <w:p>
      <w:pPr>
        <w:pStyle w:val="TextBody"/>
        <w:bidi w:val="0"/>
        <w:spacing w:before="240" w:after="0"/>
        <w:jc w:val="left"/>
        <w:rPr/>
      </w:pPr>
      <w:r>
        <w:rPr/>
        <w:t>“</w:t>
      </w:r>
      <w:r>
        <w:rPr>
          <w:rFonts w:ascii="Times New Roman" w:hAnsi="Times New Roman"/>
          <w:b/>
          <w:sz w:val="20"/>
        </w:rPr>
        <w:t>Company Options</w:t>
      </w:r>
      <w:r>
        <w:rPr>
          <w:rFonts w:ascii="Times New Roman" w:hAnsi="Times New Roman"/>
          <w:sz w:val="20"/>
        </w:rPr>
        <w:t xml:space="preserve">” means options to purchase shares of Company Capital Stock issued by the Company pursuant to the Company Equity Incentive Plan (for the avoidance of doubt, other than Company Convertible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b/>
          <w:sz w:val="20"/>
        </w:rPr>
        <w:t>Company Outbound License</w:t>
      </w:r>
      <w:r>
        <w:rPr>
          <w:rFonts w:ascii="Times New Roman" w:hAnsi="Times New Roman"/>
          <w:sz w:val="20"/>
        </w:rPr>
        <w:t xml:space="preserve">” means any Company Contract pursuant to which the Company grants any license or any other right or immunity (including any sublicense, option, right of first refusal or other preferential right or covenant not to sue) under any Company Intellectual Property that is material to the business of the Company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the Company or (ii) incidental to any assays or other materials obtained from third parties under material transfer agreements or other similar contracts, in each case, consistent with industry standard, and (b) agreements between any of the Company or any Subsidiary thereof and another Subsidiary of the Company. </w:t>
      </w:r>
    </w:p>
    <w:p>
      <w:pPr>
        <w:pStyle w:val="TextBody"/>
        <w:bidi w:val="0"/>
        <w:spacing w:before="240" w:after="0"/>
        <w:jc w:val="left"/>
        <w:rPr/>
      </w:pPr>
      <w:r>
        <w:rPr/>
        <w:t>“</w:t>
      </w:r>
      <w:r>
        <w:rPr>
          <w:rFonts w:ascii="Times New Roman" w:hAnsi="Times New Roman"/>
          <w:b/>
          <w:sz w:val="20"/>
        </w:rPr>
        <w:t>Company Preferred Stock</w:t>
      </w:r>
      <w:r>
        <w:rPr>
          <w:rFonts w:ascii="Times New Roman" w:hAnsi="Times New Roman"/>
          <w:sz w:val="20"/>
        </w:rPr>
        <w:t xml:space="preserve">” means the Preferred Stock, $0.0001 par value per share, of the Company. </w:t>
      </w:r>
    </w:p>
    <w:p>
      <w:pPr>
        <w:pStyle w:val="TextBody"/>
        <w:bidi w:val="0"/>
        <w:spacing w:before="240" w:after="0"/>
        <w:jc w:val="left"/>
        <w:rPr/>
      </w:pPr>
      <w:r>
        <w:rPr/>
        <w:t>“</w:t>
      </w:r>
      <w:r>
        <w:rPr>
          <w:rFonts w:ascii="Times New Roman" w:hAnsi="Times New Roman"/>
          <w:b/>
          <w:sz w:val="20"/>
        </w:rPr>
        <w:t>Company Product</w:t>
      </w:r>
      <w:r>
        <w:rPr>
          <w:rFonts w:ascii="Times New Roman" w:hAnsi="Times New Roman"/>
          <w:sz w:val="20"/>
        </w:rPr>
        <w:t xml:space="preserve">” means any pharmaceutical, biological or medicinal therapy, compound, drug, product candidate or product that is being developed, researched, manufactured, tested, licensed, offered, marketed, sold, or distributed by or on behalf of the Company or its Subsidiaries, including any discovery or clinical programs or platforms and the therapies and compounds made and tested in such programs, including through collaboration with others, or through compassionate use/named patient activities. </w:t>
      </w:r>
    </w:p>
    <w:p>
      <w:pPr>
        <w:pStyle w:val="TextBody"/>
        <w:bidi w:val="0"/>
        <w:spacing w:before="240" w:after="0"/>
        <w:jc w:val="left"/>
        <w:rPr/>
      </w:pPr>
      <w:r>
        <w:rPr/>
        <w:t>“</w:t>
      </w:r>
      <w:r>
        <w:rPr>
          <w:rFonts w:ascii="Times New Roman" w:hAnsi="Times New Roman"/>
          <w:b/>
          <w:sz w:val="20"/>
        </w:rPr>
        <w:t>Company Restricted Stock</w:t>
      </w:r>
      <w:r>
        <w:rPr>
          <w:rFonts w:ascii="Times New Roman" w:hAnsi="Times New Roman"/>
          <w:sz w:val="20"/>
        </w:rPr>
        <w:t xml:space="preserve">” means any shares of Company Common Stock that are unvested or are subject to a repurchase option, risk of forfeiture or other condition on title or ownership under any applicable restricted stock purchase agreement or other Company Material Contract. </w:t>
      </w:r>
    </w:p>
    <w:p>
      <w:pPr>
        <w:pStyle w:val="TextBody"/>
        <w:bidi w:val="0"/>
        <w:spacing w:before="240" w:after="0"/>
        <w:jc w:val="left"/>
        <w:rPr/>
      </w:pPr>
      <w:r>
        <w:rPr/>
        <w:t>“</w:t>
      </w:r>
      <w:r>
        <w:rPr>
          <w:rFonts w:ascii="Times New Roman" w:hAnsi="Times New Roman"/>
          <w:b/>
          <w:sz w:val="20"/>
        </w:rPr>
        <w:t>Company Restricted Stock Unit</w:t>
      </w:r>
      <w:r>
        <w:rPr>
          <w:rFonts w:ascii="Times New Roman" w:hAnsi="Times New Roman"/>
          <w:sz w:val="20"/>
        </w:rPr>
        <w:t xml:space="preserve">” means a restricted stock unit of the Company, whether issued pursuant to the Company Equity Incentive Plan or otherwise (for the avoidance of doubt, other than Company Convertible Notes, Company Options or Company Warrants). </w:t>
      </w:r>
    </w:p>
    <w:p>
      <w:pPr>
        <w:pStyle w:val="TextBody"/>
        <w:bidi w:val="0"/>
        <w:spacing w:before="240" w:after="0"/>
        <w:jc w:val="left"/>
        <w:rPr/>
      </w:pPr>
      <w:r>
        <w:rPr/>
        <w:t>“</w:t>
      </w:r>
      <w:r>
        <w:rPr>
          <w:rFonts w:ascii="Times New Roman" w:hAnsi="Times New Roman"/>
          <w:b/>
          <w:sz w:val="20"/>
        </w:rPr>
        <w:t xml:space="preserve">Company SAFEs” </w:t>
      </w:r>
      <w:r>
        <w:rPr>
          <w:rFonts w:ascii="Times New Roman" w:hAnsi="Times New Roman"/>
          <w:sz w:val="20"/>
        </w:rPr>
        <w:t xml:space="preserve">means those certain simple agreements for future equity by and between the Company and the holders party thereto in the aggregate principal amount of $34,125,000 and listed as part of the definition of “Safes” in Subsection 3.21 of the Company Disclosure Schedule. </w:t>
      </w:r>
    </w:p>
    <w:p>
      <w:pPr>
        <w:pStyle w:val="TextBody"/>
        <w:bidi w:val="0"/>
        <w:spacing w:before="240" w:after="0"/>
        <w:jc w:val="left"/>
        <w:rPr/>
      </w:pPr>
      <w:r>
        <w:rPr/>
        <w:t>“</w:t>
      </w:r>
      <w:r>
        <w:rPr>
          <w:rFonts w:ascii="Times New Roman" w:hAnsi="Times New Roman"/>
          <w:b/>
          <w:sz w:val="20"/>
        </w:rPr>
        <w:t>Company Triggering Event</w:t>
      </w:r>
      <w:r>
        <w:rPr>
          <w:rFonts w:ascii="Times New Roman" w:hAnsi="Times New Roman"/>
          <w:sz w:val="20"/>
        </w:rPr>
        <w:t xml:space="preserve">” shall be deemed to have occurred if: (a) the Company Board or any committee thereof shall have made a Company Board Adverse Recommendation Change or approved, endorsed or recommended any Acquisition Proposal with respect to the Company (other than by Aspen or an Affiliate thereof and other than actions made in compliance with </w:t>
      </w:r>
      <w:r>
        <w:rPr>
          <w:rFonts w:ascii="Times New Roman" w:hAnsi="Times New Roman"/>
          <w:sz w:val="20"/>
          <w:u w:val="single"/>
        </w:rPr>
        <w:t>Section 5.4</w:t>
      </w:r>
      <w:r>
        <w:rPr>
          <w:rFonts w:ascii="Times New Roman" w:hAnsi="Times New Roman"/>
          <w:sz w:val="20"/>
        </w:rPr>
        <w:t xml:space="preserve">), (b) the Company shall have entered into any letter of intent or similar document or any Contract relating to any Acquisition Proposal with respect to the Company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or (c) upon willful and material breach of the Company’s obligations set forth in the first sentence of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Warrants</w:t>
      </w:r>
      <w:r>
        <w:rPr>
          <w:rFonts w:ascii="Times New Roman" w:hAnsi="Times New Roman"/>
          <w:sz w:val="20"/>
        </w:rPr>
        <w:t xml:space="preserve">” means warrants to purchase shares of Company Capital Stock issued by the Company (for the avoidance of doubt, other than Company Convertible Notes, Company Restricted Stock Units or Company Options). </w:t>
      </w:r>
    </w:p>
    <w:p>
      <w:pPr>
        <w:pStyle w:val="TextBody"/>
        <w:bidi w:val="0"/>
        <w:spacing w:before="240" w:after="0"/>
        <w:jc w:val="left"/>
        <w:rPr/>
      </w:pPr>
      <w:r>
        <w:rPr/>
        <w:t>“</w:t>
      </w:r>
      <w:r>
        <w:rPr>
          <w:rFonts w:ascii="Times New Roman" w:hAnsi="Times New Roman"/>
          <w:b/>
          <w:sz w:val="20"/>
        </w:rPr>
        <w:t>Concurrent Investment Amount</w:t>
      </w:r>
      <w:r>
        <w:rPr>
          <w:rFonts w:ascii="Times New Roman" w:hAnsi="Times New Roman"/>
          <w:sz w:val="20"/>
        </w:rPr>
        <w:t xml:space="preserve">” means $114,500,000. </w:t>
      </w:r>
    </w:p>
    <w:p>
      <w:pPr>
        <w:pStyle w:val="TextBody"/>
        <w:bidi w:val="0"/>
        <w:spacing w:before="240" w:after="0"/>
        <w:jc w:val="left"/>
        <w:rPr/>
      </w:pPr>
      <w:r>
        <w:rPr/>
        <w:t>“</w:t>
      </w:r>
      <w:r>
        <w:rPr>
          <w:rFonts w:ascii="Times New Roman" w:hAnsi="Times New Roman"/>
          <w:b/>
          <w:sz w:val="20"/>
        </w:rPr>
        <w:t>Concurrent Investment Proceeds</w:t>
      </w:r>
      <w:r>
        <w:rPr>
          <w:rFonts w:ascii="Times New Roman" w:hAnsi="Times New Roman"/>
          <w:sz w:val="20"/>
        </w:rPr>
        <w:t xml:space="preserve">” means the collective proceeds actually resulting from (i) the Subscription Agreement Concurrent Investment and (ii) the Company SAFE Concurrent Investment. </w:t>
      </w:r>
    </w:p>
    <w:p>
      <w:pPr>
        <w:pStyle w:val="TextBody"/>
        <w:bidi w:val="0"/>
        <w:spacing w:before="240" w:after="0"/>
        <w:jc w:val="left"/>
        <w:rPr/>
      </w:pPr>
      <w:r>
        <w:rPr/>
        <w:t>“</w:t>
      </w:r>
      <w:r>
        <w:rPr>
          <w:rFonts w:ascii="Times New Roman" w:hAnsi="Times New Roman"/>
          <w:b/>
          <w:sz w:val="20"/>
        </w:rPr>
        <w:t>Confidentiality</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means the Confidentiality Agreement, dated as of October 24, 2023, between the Company and Aspen. </w:t>
      </w:r>
    </w:p>
    <w:p>
      <w:pPr>
        <w:pStyle w:val="TextBody"/>
        <w:bidi w:val="0"/>
        <w:spacing w:before="240" w:after="0"/>
        <w:jc w:val="left"/>
        <w:rPr/>
      </w:pPr>
      <w:r>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b/>
          <w:sz w:val="20"/>
        </w:rPr>
        <w:t>Contemplated</w:t>
      </w:r>
      <w:r>
        <w:rPr>
          <w:rFonts w:ascii="Times New Roman" w:hAnsi="Times New Roman"/>
          <w:sz w:val="20"/>
        </w:rPr>
        <w:t xml:space="preserve"> </w:t>
      </w:r>
      <w:r>
        <w:rPr>
          <w:rFonts w:ascii="Times New Roman" w:hAnsi="Times New Roman"/>
          <w:b/>
          <w:sz w:val="20"/>
        </w:rPr>
        <w:t>Transactions</w:t>
      </w:r>
      <w:r>
        <w:rPr>
          <w:rFonts w:ascii="Times New Roman" w:hAnsi="Times New Roman"/>
          <w:sz w:val="20"/>
        </w:rPr>
        <w:t xml:space="preserve">” means the Merger and the other transactions contemplated by this Agreement, including the CVR Agreement, any Aspen Pre-Closing Transaction and the Concurrent Investment.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w:t>
      </w:r>
    </w:p>
    <w:p>
      <w:pPr>
        <w:pStyle w:val="TextBody"/>
        <w:bidi w:val="0"/>
        <w:spacing w:before="240" w:after="0"/>
        <w:jc w:val="left"/>
        <w:rPr/>
      </w:pPr>
      <w:r>
        <w:rPr/>
        <w:t>“</w:t>
      </w:r>
      <w:r>
        <w:rPr>
          <w:rFonts w:ascii="Times New Roman" w:hAnsi="Times New Roman"/>
          <w:b/>
          <w:sz w:val="20"/>
        </w:rPr>
        <w:t>Drug Governmental Authority</w:t>
      </w:r>
      <w:r>
        <w:rPr>
          <w:rFonts w:ascii="Times New Roman" w:hAnsi="Times New Roman"/>
          <w:sz w:val="20"/>
        </w:rPr>
        <w:t xml:space="preserve">” means any Governmental Authority having jurisdiction over the safety, efficacy, approval, research, development, testing, labeling, manufacture, packaging, import, export, storage, sale, commercialization or distribution of Company Products or Aspen Products, such as the FDA, the European Medicines Agency, or the United Kingdom Medicines and Healthcare Products Regulatory Agency.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240" w:after="0"/>
        <w:jc w:val="left"/>
        <w:rPr/>
      </w:pPr>
      <w:r>
        <w:rPr/>
        <w:t>“</w:t>
      </w:r>
      <w:r>
        <w:rPr>
          <w:rFonts w:ascii="Times New Roman" w:hAnsi="Times New Roman"/>
          <w:b/>
          <w:sz w:val="20"/>
        </w:rPr>
        <w:t>Employee Plan</w:t>
      </w:r>
      <w:r>
        <w:rPr>
          <w:rFonts w:ascii="Times New Roman" w:hAnsi="Times New Roman"/>
          <w:sz w:val="20"/>
        </w:rPr>
        <w:t xml:space="preserve">” means (i) each “employee benefit plan,” as defined in Section 3(3) of ERISA (whether or not subject to ERISA), (ii) each compensation, severance, termination protection, change in control, transaction bonus, retention or similar contract, plan, program, arrangement, policy or guidelines, and (iii) each other plan, program, arrangement or policy providing for compensation (including variable cash compensation and commissions), bonuses, profit-sharing, stock option or other stock-related rights or other forms of incentive or deferred compensation, tax gross-up, vacation benefits, insurance (including any self-insured arrangement), health, medical, dental, vision, prescription or fringe benefits, life insurance, relocation or expatriate benefits, perquisites, employee assistance program, disability or sick leave benefits, workers’ compensation, supplemental unemployment benefits, severance benefits or post-employment or retirement benefits (including compensation, pension, health, medical or life insurance benefits), in each case whether or not written. </w:t>
      </w:r>
    </w:p>
    <w:p>
      <w:pPr>
        <w:pStyle w:val="TextBody"/>
        <w:bidi w:val="0"/>
        <w:spacing w:before="240" w:after="0"/>
        <w:jc w:val="left"/>
        <w:rPr/>
      </w:pPr>
      <w:r>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b/>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240" w:after="0"/>
        <w:jc w:val="left"/>
        <w:rPr/>
      </w:pPr>
      <w:r>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pPr>
      <w:r>
        <w:rPr/>
        <w:t>“</w:t>
      </w:r>
      <w:r>
        <w:rPr>
          <w:rFonts w:ascii="Times New Roman" w:hAnsi="Times New Roman"/>
          <w:b/>
          <w:sz w:val="20"/>
        </w:rPr>
        <w:t>Environmental</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pPr>
      <w:r>
        <w:rPr/>
        <w:t>“</w:t>
      </w:r>
      <w:r>
        <w:rPr>
          <w:rFonts w:ascii="Times New Roman" w:hAnsi="Times New Roman"/>
          <w:b/>
          <w:sz w:val="20"/>
        </w:rPr>
        <w:t>Equity Plan Proposals</w:t>
      </w:r>
      <w:r>
        <w:rPr>
          <w:rFonts w:ascii="Times New Roman" w:hAnsi="Times New Roman"/>
          <w:sz w:val="20"/>
        </w:rPr>
        <w:t>” means, collectively, the 2024 Equity Incentive Plan (the “</w:t>
      </w:r>
      <w:r>
        <w:rPr>
          <w:rFonts w:ascii="Times New Roman" w:hAnsi="Times New Roman"/>
          <w:b/>
          <w:sz w:val="20"/>
        </w:rPr>
        <w:t>2024 Plan</w:t>
      </w:r>
      <w:r>
        <w:rPr>
          <w:rFonts w:ascii="Times New Roman" w:hAnsi="Times New Roman"/>
          <w:sz w:val="20"/>
        </w:rPr>
        <w:t>”) and the 2024 Employee Stock Purchase Plan (the “</w:t>
      </w:r>
      <w:r>
        <w:rPr>
          <w:rFonts w:ascii="Times New Roman" w:hAnsi="Times New Roman"/>
          <w:b/>
          <w:sz w:val="20"/>
        </w:rPr>
        <w:t>2024 ESPP</w:t>
      </w:r>
      <w:r>
        <w:rPr>
          <w:rFonts w:ascii="Times New Roman" w:hAnsi="Times New Roman"/>
          <w:sz w:val="20"/>
        </w:rPr>
        <w:t xml:space="preserve">”), in a form reasonably acceptable to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with respect to any Entity, any other Person that would be treated as a single employer with such Entity or part of the same “controlled group” as such Entity under Sections 414(b),(c),(m) or (o) of the Code.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FDA</w:t>
      </w:r>
      <w:r>
        <w:rPr>
          <w:rFonts w:ascii="Times New Roman" w:hAnsi="Times New Roman"/>
          <w:sz w:val="20"/>
        </w:rPr>
        <w:t xml:space="preserve">” means the United States Food and Drug Administration and any successor agency thereto. </w:t>
      </w:r>
    </w:p>
    <w:p>
      <w:pPr>
        <w:pStyle w:val="TextBody"/>
        <w:bidi w:val="0"/>
        <w:spacing w:before="240" w:after="0"/>
        <w:jc w:val="left"/>
        <w:rPr/>
      </w:pPr>
      <w:r>
        <w:rPr/>
        <w:t>“</w:t>
      </w:r>
      <w:r>
        <w:rPr>
          <w:rFonts w:ascii="Times New Roman" w:hAnsi="Times New Roman"/>
          <w:b/>
          <w:sz w:val="20"/>
        </w:rPr>
        <w:t>Good Clinical Practices</w:t>
      </w:r>
      <w:r>
        <w:rPr>
          <w:rFonts w:ascii="Times New Roman" w:hAnsi="Times New Roman"/>
          <w:sz w:val="20"/>
        </w:rPr>
        <w:t xml:space="preserve">” means the FDA’s standards for the design, conduct, performance, monitoring, auditing, recording, analysis, and reporting of clinical trials, including those standards contained in 21 C.F.R. Parts 11, 50, 54, 56 and 312 and all comparable standards of any other applicable Drug Governmental Authority. </w:t>
      </w:r>
    </w:p>
    <w:p>
      <w:pPr>
        <w:pStyle w:val="TextBody"/>
        <w:bidi w:val="0"/>
        <w:spacing w:before="240" w:after="0"/>
        <w:jc w:val="left"/>
        <w:rPr/>
      </w:pPr>
      <w:r>
        <w:rPr/>
        <w:t>“</w:t>
      </w:r>
      <w:r>
        <w:rPr>
          <w:rFonts w:ascii="Times New Roman" w:hAnsi="Times New Roman"/>
          <w:b/>
          <w:sz w:val="20"/>
        </w:rPr>
        <w:t>Good Laboratory Practices</w:t>
      </w:r>
      <w:r>
        <w:rPr>
          <w:rFonts w:ascii="Times New Roman" w:hAnsi="Times New Roman"/>
          <w:sz w:val="20"/>
        </w:rPr>
        <w:t xml:space="preserve">” means the FDA’s standards for conducting non-clinical laboratory studies, including those standards contained in 21 C.F.R. Parts 11 and 58, and all comparable standards of any other applicable Drug Governmental Authority. </w:t>
      </w:r>
    </w:p>
    <w:p>
      <w:pPr>
        <w:pStyle w:val="TextBody"/>
        <w:bidi w:val="0"/>
        <w:spacing w:before="240" w:after="0"/>
        <w:jc w:val="left"/>
        <w:rPr/>
      </w:pPr>
      <w:r>
        <w:rPr/>
        <w:t>“</w:t>
      </w:r>
      <w:r>
        <w:rPr>
          <w:rFonts w:ascii="Times New Roman" w:hAnsi="Times New Roman"/>
          <w:b/>
          <w:sz w:val="20"/>
        </w:rPr>
        <w:t>Good Manufacturing Practices</w:t>
      </w:r>
      <w:r>
        <w:rPr>
          <w:rFonts w:ascii="Times New Roman" w:hAnsi="Times New Roman"/>
          <w:sz w:val="20"/>
        </w:rPr>
        <w:t xml:space="preserve">” means the requirements set forth at 21 U.S.C. § 351(a)(2)(B) and in the regulations for drugs contained in 21 C.F.R. Parts 11, 210, 211 and 600-680, and all comparable standards of any other applicable Drug Governmental Authority.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 </w:t>
      </w:r>
    </w:p>
    <w:p>
      <w:pPr>
        <w:pStyle w:val="TextBody"/>
        <w:bidi w:val="0"/>
        <w:spacing w:before="240" w:after="0"/>
        <w:jc w:val="left"/>
        <w:rPr/>
      </w:pPr>
      <w:r>
        <w:rPr/>
        <w:t>“</w:t>
      </w:r>
      <w:r>
        <w:rPr>
          <w:rFonts w:ascii="Times New Roman" w:hAnsi="Times New Roman"/>
          <w:b/>
          <w:sz w:val="20"/>
        </w:rPr>
        <w:t>Governmental Authorization</w:t>
      </w:r>
      <w:r>
        <w:rPr>
          <w:rFonts w:ascii="Times New Roman" w:hAnsi="Times New Roman"/>
          <w:sz w:val="20"/>
        </w:rPr>
        <w:t xml:space="preserve">”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pPr>
      <w:r>
        <w:rPr/>
        <w:t>“</w:t>
      </w:r>
      <w:r>
        <w:rPr>
          <w:rFonts w:ascii="Times New Roman" w:hAnsi="Times New Roman"/>
          <w:b/>
          <w:sz w:val="20"/>
        </w:rPr>
        <w:t>Healthcare Laws</w:t>
      </w:r>
      <w:r>
        <w:rPr>
          <w:rFonts w:ascii="Times New Roman" w:hAnsi="Times New Roman"/>
          <w:sz w:val="20"/>
        </w:rPr>
        <w:t xml:space="preserve">” means all applicable health care Laws, including (i) any and all federal, state and local fraud and abuse Laws, including the federal Anti-Kickback Statute (42 U.S.C. § 1320a-7b(b)), the civil False Claims Act (31 U.S.C. §§ 3729 et seq.), the administrative False Claims Law (42 U.S.C. § 1320a-7b(a)) and the regulations promulgated pursuant to such statutes and equivalent non-U.S. statutory and regulatory provisions; (ii) the Federal Food, Drug, and Cosmetic Act (21 U.S.C. §§ 301 et seq.) and the regulations promulgated thereunder and equivalent non-U.S. statutory and regulatory provisions; (iii) the health care fraud and false statement provisions of HIPAA; (iv) applicable Laws which are cause for exclusion from any federal health care program and the regulations promulgated pursuant to such statutes and equivalent non-U.S. statutory and regulatory provisions; (v) the federal health care program civil monetary penalty (42 U.S.C. § 1320a-7a) and exclusion authorities (42 U.S.C. § 1320a-7) and the regulations promulgated pursuant to such statutes; (vi) the Public Health Service Act (42 U.S.C. §§ 201 et seq.) and the regulations promulgated thereunder and equivalent non-U.S. statutory and regulatory provisions; and (vii) all applicable Laws, rules, regulations, orders, judgments, decrees and injunctions administered by the FDA and other applicable regulatory authorities, including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governing recordkeeping, manufacturing, testing, development and approval of any Company Product or Aspen Product, including but not limited to FDA’s regulations at 21 C.F.R. Parts 11, 50, 54, 56, 58, 210, 211, 312, 600 and 610, each as may be amended from time to time and equivalent non-U.S. statutory and regulatory provisions. </w:t>
      </w:r>
    </w:p>
    <w:p>
      <w:pPr>
        <w:pStyle w:val="TextBody"/>
        <w:bidi w:val="0"/>
        <w:spacing w:before="240" w:after="0"/>
        <w:jc w:val="left"/>
        <w:rPr/>
      </w:pPr>
      <w:r>
        <w:rPr/>
        <w:t>“</w:t>
      </w:r>
      <w:r>
        <w:rPr>
          <w:rFonts w:ascii="Times New Roman" w:hAnsi="Times New Roman"/>
          <w:b/>
          <w:sz w:val="20"/>
        </w:rPr>
        <w:t>Healthcare Submissions</w:t>
      </w:r>
      <w:r>
        <w:rPr>
          <w:rFonts w:ascii="Times New Roman" w:hAnsi="Times New Roman"/>
          <w:sz w:val="20"/>
        </w:rPr>
        <w:t xml:space="preserve">” means all required material filings, declarations, listings, registrations, reports or submissions, including adverse event reports.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means collectively the Health Insurance Portability and Accountability Act (42 U.S.C. §§ 1320d et seq.), as amended by the Health Information Technology for Economic and Clinical Health Act (42 U.S.C. §§ 17921 et seq.) and their implementing regulations. </w:t>
      </w:r>
    </w:p>
    <w:p>
      <w:pPr>
        <w:pStyle w:val="TextBody"/>
        <w:bidi w:val="0"/>
        <w:spacing w:before="240" w:after="0"/>
        <w:jc w:val="left"/>
        <w:rPr/>
      </w:pPr>
      <w:r>
        <w:rPr/>
        <w:t>“</w:t>
      </w:r>
      <w:r>
        <w:rPr>
          <w:rFonts w:ascii="Times New Roman" w:hAnsi="Times New Roman"/>
          <w:b/>
          <w:sz w:val="20"/>
        </w:rPr>
        <w:t>In the Money Aspen Options</w:t>
      </w:r>
      <w:r>
        <w:rPr>
          <w:rFonts w:ascii="Times New Roman" w:hAnsi="Times New Roman"/>
          <w:sz w:val="20"/>
        </w:rPr>
        <w:t xml:space="preserve">” shall mean Aspen Options with an exercise price less than the Aspen Closing Price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means any and all intellectual property or proprietary rights of any kind or nature throughout the world, including all (i) patents and patent applications, including all provisionals, nonprovisionals, continuations, continuations-in-part, divisionals, reissues, extensions, re-examinations, and substitutions thereof and the equivalents of any of the foregoing in any jurisdiction, and all inventions disclosed in each such patent or patent application (collectively, “</w:t>
      </w:r>
      <w:r>
        <w:rPr>
          <w:rFonts w:ascii="Times New Roman" w:hAnsi="Times New Roman"/>
          <w:b/>
          <w:sz w:val="20"/>
        </w:rPr>
        <w:t>Patents</w:t>
      </w:r>
      <w:r>
        <w:rPr>
          <w:rFonts w:ascii="Times New Roman" w:hAnsi="Times New Roman"/>
          <w:sz w:val="20"/>
        </w:rPr>
        <w:t>”); (ii) trade names, trade dress, logos, slogans, Internet domain names, registered and unregistered trademarks and service marks, and related registrations and applications for registration of any of the foregoing, and all goodwill associated with any of the foregoing (collectively, “</w:t>
      </w:r>
      <w:r>
        <w:rPr>
          <w:rFonts w:ascii="Times New Roman" w:hAnsi="Times New Roman"/>
          <w:b/>
          <w:sz w:val="20"/>
        </w:rPr>
        <w:t>Marks</w:t>
      </w:r>
      <w:r>
        <w:rPr>
          <w:rFonts w:ascii="Times New Roman" w:hAnsi="Times New Roman"/>
          <w:sz w:val="20"/>
        </w:rPr>
        <w:t>”); (iii) copyrights in both published and unpublished works, including all compilations, databases and computer programs, manuals and other documentation and all copyright registrations and applications (collectively, “</w:t>
      </w:r>
      <w:r>
        <w:rPr>
          <w:rFonts w:ascii="Times New Roman" w:hAnsi="Times New Roman"/>
          <w:b/>
          <w:sz w:val="20"/>
        </w:rPr>
        <w:t>Copyrights</w:t>
      </w:r>
      <w:r>
        <w:rPr>
          <w:rFonts w:ascii="Times New Roman" w:hAnsi="Times New Roman"/>
          <w:sz w:val="20"/>
        </w:rPr>
        <w:t>”); (iv) trade secrets, know-how, inventions (including as disclosed in invention disclosures and discoveries) and confidential information, including manufacturing information, methods and processes, assays, materials, engineering and other manuals and drawings, operating procedures, regulatory, chemical, pharmacological, toxicological, pharmaceutical, physical and analytical, safety, quality assurance, quality control and clinical data and similar data and information (collectively, “</w:t>
      </w:r>
      <w:r>
        <w:rPr>
          <w:rFonts w:ascii="Times New Roman" w:hAnsi="Times New Roman"/>
          <w:b/>
          <w:sz w:val="20"/>
        </w:rPr>
        <w:t>Trade Secrets</w:t>
      </w:r>
      <w:r>
        <w:rPr>
          <w:rFonts w:ascii="Times New Roman" w:hAnsi="Times New Roman"/>
          <w:sz w:val="20"/>
        </w:rPr>
        <w:t xml:space="preserve">”); (v) rights of privacy or publicity; (vi) rights in software, data and databases, and industrial property rights; (vii) embodiments of any of the foregoing, and (viii) rights to assert, claim, enforce or sue and collect damages or seek other remedies for any past, present or future infringement, misappropriation or other violation of any of the foregoing.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Knowledge</w:t>
      </w:r>
      <w:r>
        <w:rPr>
          <w:rFonts w:ascii="Times New Roman" w:hAnsi="Times New Roman"/>
          <w:sz w:val="20"/>
        </w:rPr>
        <w:t xml:space="preserve">”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For the avoidance of doubt, the term “Law” includes any and all Environmental Laws, Healthcare Laws and Privacy Laws. </w:t>
      </w:r>
    </w:p>
    <w:p>
      <w:pPr>
        <w:pStyle w:val="TextBody"/>
        <w:bidi w:val="0"/>
        <w:spacing w:before="240" w:after="0"/>
        <w:jc w:val="left"/>
        <w:rPr/>
      </w:pPr>
      <w:r>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commenced, brought, conducted or heard by or before, or otherwise involving, any court or other Governmental Authority or any arbitrator or arbitration panel. </w:t>
      </w:r>
    </w:p>
    <w:p>
      <w:pPr>
        <w:pStyle w:val="TextBody"/>
        <w:bidi w:val="0"/>
        <w:spacing w:before="240" w:after="0"/>
        <w:jc w:val="left"/>
        <w:rPr/>
      </w:pPr>
      <w:r>
        <w:rPr/>
        <w:t>“</w:t>
      </w:r>
      <w:r>
        <w:rPr>
          <w:rFonts w:ascii="Times New Roman" w:hAnsi="Times New Roman"/>
          <w:b/>
          <w:sz w:val="20"/>
        </w:rPr>
        <w:t>Merger Sub Board</w:t>
      </w:r>
      <w:r>
        <w:rPr>
          <w:rFonts w:ascii="Times New Roman" w:hAnsi="Times New Roman"/>
          <w:sz w:val="20"/>
        </w:rPr>
        <w:t xml:space="preserve">” means the board of directors of Merger Sub.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Global Select Market, the Nasdaq Global Market or the Nasdaq Capital Market, as may be applicable to Aspen from time to time. </w:t>
      </w:r>
    </w:p>
    <w:p>
      <w:pPr>
        <w:pStyle w:val="TextBody"/>
        <w:bidi w:val="0"/>
        <w:spacing w:before="240" w:after="0"/>
        <w:jc w:val="left"/>
        <w:rPr/>
      </w:pPr>
      <w:r>
        <w:rPr/>
        <w:t>“</w:t>
      </w:r>
      <w:r>
        <w:rPr>
          <w:rFonts w:ascii="Times New Roman" w:hAnsi="Times New Roman"/>
          <w:b/>
          <w:sz w:val="20"/>
        </w:rPr>
        <w:t>Nasdaq Reverse Split</w:t>
      </w:r>
      <w:r>
        <w:rPr>
          <w:rFonts w:ascii="Times New Roman" w:hAnsi="Times New Roman"/>
          <w:sz w:val="20"/>
        </w:rPr>
        <w:t xml:space="preserve">” means a reverse stock split of all outstanding shares of Aspen Common Stock at a reverse stock split ratio mutually agreed to by Aspen and the Company that is effected by Aspen for the purpose of maintaining compliance with Nasdaq listing requirements or of maintaining compliance with Aspen’s authorized share count, or for other purposes as mutually agreed by the parties.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left"/>
        <w:rPr/>
      </w:pPr>
      <w:r>
        <w:rPr/>
        <w:t>“</w:t>
      </w:r>
      <w:r>
        <w:rPr>
          <w:rFonts w:ascii="Times New Roman" w:hAnsi="Times New Roman"/>
          <w:b/>
          <w:sz w:val="20"/>
        </w:rPr>
        <w:t>Ordinary</w:t>
      </w:r>
      <w:r>
        <w:rPr>
          <w:rFonts w:ascii="Times New Roman" w:hAnsi="Times New Roman"/>
          <w:sz w:val="20"/>
        </w:rPr>
        <w:t xml:space="preserve"> </w:t>
      </w:r>
      <w:r>
        <w:rPr>
          <w:rFonts w:ascii="Times New Roman" w:hAnsi="Times New Roman"/>
          <w:b/>
          <w:sz w:val="20"/>
        </w:rPr>
        <w:t>Course of Business</w:t>
      </w:r>
      <w:r>
        <w:rPr>
          <w:rFonts w:ascii="Times New Roman" w:hAnsi="Times New Roman"/>
          <w:sz w:val="20"/>
        </w:rPr>
        <w:t xml:space="preserve">” means, in the case of each of the Company and Aspen, such actions taken in the ordinary course of its normal operations and consistent with its past practices,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during the Pre-Closing Period, the Ordinary Course of Business of Aspen shall also be deemed to include actions required to effect and effecting, in one or more transactions, the sale, divestiture, licensing or winding down of Aspen’s business or operations related to the assets listed on Schedule 1.1 of the Aspen Disclosure Schedule or the sale, license or other disposition of any or all of the Aspen Pre-Closing Assets, including the expenditure of monies in connection therewith.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w:t>
      </w:r>
    </w:p>
    <w:p>
      <w:pPr>
        <w:pStyle w:val="TextBody"/>
        <w:bidi w:val="0"/>
        <w:spacing w:before="240" w:after="0"/>
        <w:jc w:val="left"/>
        <w:rPr/>
      </w:pPr>
      <w:r>
        <w:rPr/>
        <w:t>“</w:t>
      </w:r>
      <w:r>
        <w:rPr>
          <w:rFonts w:ascii="Times New Roman" w:hAnsi="Times New Roman"/>
          <w:b/>
          <w:sz w:val="20"/>
        </w:rPr>
        <w:t>Out of the Money Aspen Options</w:t>
      </w:r>
      <w:r>
        <w:rPr>
          <w:rFonts w:ascii="Times New Roman" w:hAnsi="Times New Roman"/>
          <w:sz w:val="20"/>
        </w:rPr>
        <w:t xml:space="preserve">” shall mean Aspen Options with an exercise price greater than the Aspen Closing Price.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the Company, Merger Sub and Aspen. </w:t>
      </w:r>
    </w:p>
    <w:p>
      <w:pPr>
        <w:pStyle w:val="TextBody"/>
        <w:bidi w:val="0"/>
        <w:spacing w:before="240" w:after="0"/>
        <w:jc w:val="left"/>
        <w:rPr/>
      </w:pPr>
      <w:r>
        <w:rPr/>
        <w:t>“</w:t>
      </w:r>
      <w:r>
        <w:rPr>
          <w:rFonts w:ascii="Times New Roman" w:hAnsi="Times New Roman"/>
          <w:b/>
          <w:sz w:val="20"/>
        </w:rPr>
        <w:t>Permitted Alternative Agreement</w:t>
      </w:r>
      <w:r>
        <w:rPr>
          <w:rFonts w:ascii="Times New Roman" w:hAnsi="Times New Roman"/>
          <w:sz w:val="20"/>
        </w:rPr>
        <w:t xml:space="preserve">” means a definitive agreement that contemplates or otherwise relates to an Acquisition Transaction that constitutes a Superior Offer. </w:t>
      </w:r>
    </w:p>
    <w:p>
      <w:pPr>
        <w:pStyle w:val="TextBody"/>
        <w:bidi w:val="0"/>
        <w:spacing w:before="240" w:after="0"/>
        <w:jc w:val="left"/>
        <w:rPr/>
      </w:pPr>
      <w:r>
        <w:rPr/>
        <w:t>“</w:t>
      </w:r>
      <w:r>
        <w:rPr>
          <w:rFonts w:ascii="Times New Roman" w:hAnsi="Times New Roman"/>
          <w:b/>
          <w:sz w:val="20"/>
        </w:rPr>
        <w:t>Permitted Encumbrance</w:t>
      </w:r>
      <w:r>
        <w:rPr>
          <w:rFonts w:ascii="Times New Roman" w:hAnsi="Times New Roman"/>
          <w:sz w:val="20"/>
        </w:rPr>
        <w:t xml:space="preserve">” means (a) any statutory liens for current Taxes not yet due and payable or for Taxes that are being contested in good faith by the appropriate proceedings and for which adequate reserves have been made on the Company Financials or the Aspen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Aspen,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liens arising under applicable securities Law.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b/>
          <w:sz w:val="20"/>
        </w:rPr>
        <w:t>Personal Information</w:t>
      </w:r>
      <w:r>
        <w:rPr>
          <w:rFonts w:ascii="Times New Roman" w:hAnsi="Times New Roman"/>
          <w:sz w:val="20"/>
        </w:rPr>
        <w:t xml:space="preserve">” means data and information concerning an identifiable natural person that are subject to regulation by the Privacy Laws.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mean, collectively, (i) all applicable Laws relating to data privacy, data protection, data security, trans-border data flow, data loss, data theft or breach notification with respect to the collection, handling, use, processing, maintenance, storage, disclosure or transfer of Personal Information enacted, adopted, promulgated or applied by any Governmental Authority, including the applicable legally binding requirements set forth in applicable regulations and agreements containing consent orders published by regulatory authorities of competent jurisdiction such as, as applicable, the U.S. Federal Trade Commission, U.S. Federal Communications Commission, and state data protection authorities, including but not limited to HIPAA; (ii) the internal privacy policy of the Company and any public statements that the Company has made regarding its privacy policies and practices; (iii) third party privacy policies with which the Company has been or is contractually obligated to comply; and (iv) any applicable rules of any applicable self-regulatory organizations in which the Company is or has been a member and/or with which the Company is or has been contractually obligated to comply relating to data privacy, data protection, data security, trans-border data flow, data loss, data theft or breach notification with respect to the collection, handling, use, processing, maintenance, storage, disclosure or transfer of Personal Information.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directors, officers, employees, agents, attorneys, accountants, investment bankers, advisors and representatives.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xml:space="preserve">” means any country or region subject to economic sanctions or trade restrictions of the United States that broadly prohibit or restrict dealings with such country or region (currently including Cuba, Iran, North Korea, Syria, the Crimea region of Ukraine, and the so-called Donetsk People’s Republic and Luhansk People’s Republic regions in Ukraine).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means any Person subject to economic sanctions, trade restrictions or similar restrictions under any Sanctions Laws, including (a) any Person identified in any sanctions list maintained by the U.S. government, including (i) the U.S. Department of the Treasury, Office of Foreign Assets Control (“</w:t>
      </w:r>
      <w:r>
        <w:rPr>
          <w:rFonts w:ascii="Times New Roman" w:hAnsi="Times New Roman"/>
          <w:b/>
          <w:sz w:val="20"/>
        </w:rPr>
        <w:t>OFAC</w:t>
      </w:r>
      <w:r>
        <w:rPr>
          <w:rFonts w:ascii="Times New Roman" w:hAnsi="Times New Roman"/>
          <w:sz w:val="20"/>
        </w:rPr>
        <w:t xml:space="preserve">”), (ii) the U.S. Department of Commerce, Bureau of Industry and Security, and (iii) the U.S. Department of State; (b) any Person located, organized or resident in, or a government instrumentality of, any Sanctioned Country; and (c) any Person directly or indirectly owned fifty percent (50%) or more by, or acting for the benefit or on behalf of, a Person described in the Specially Designated Nationals and Blocked Persons list maintained by OFAC or the foregoing clause (b). </w:t>
      </w:r>
    </w:p>
    <w:p>
      <w:pPr>
        <w:pStyle w:val="TextBody"/>
        <w:bidi w:val="0"/>
        <w:spacing w:before="240" w:after="0"/>
        <w:jc w:val="left"/>
        <w:rPr/>
      </w:pPr>
      <w:r>
        <w:rPr/>
        <w:t>“</w:t>
      </w:r>
      <w:r>
        <w:rPr>
          <w:rFonts w:ascii="Times New Roman" w:hAnsi="Times New Roman"/>
          <w:b/>
          <w:sz w:val="20"/>
        </w:rPr>
        <w:t>Sanctions Laws</w:t>
      </w:r>
      <w:r>
        <w:rPr>
          <w:rFonts w:ascii="Times New Roman" w:hAnsi="Times New Roman"/>
          <w:sz w:val="20"/>
        </w:rPr>
        <w:t xml:space="preserve">” means all applicable Laws concerning embargoes, economic sanctions, export or import controls or restrictions, the ability to make or receive international payments, the ability to export items (including hardware, software, or technology) and/or services, the ability to engage in international transactions, or the ability to take an ownership interest in assets located in a foreign country, including those administered by OFAC, the Bureau of Industry and Security of the U.S. Department of Commerce, the U.S. Department of State, and any other similar Laws of any other jurisdiction.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Specified Time</w:t>
      </w:r>
      <w:r>
        <w:rPr>
          <w:rFonts w:ascii="Times New Roman" w:hAnsi="Times New Roman"/>
          <w:sz w:val="20"/>
        </w:rPr>
        <w:t xml:space="preserve">” means the time that is immediately prior to the Effective Time.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 Entity, a Person if such Person directly or indirectly owns or purports to own, beneficially or of record, (a) an amount of voting securities or other interests in such Entity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pPr>
      <w:r>
        <w:rPr/>
        <w:t>“</w:t>
      </w:r>
      <w:r>
        <w:rPr>
          <w:rFonts w:ascii="Times New Roman" w:hAnsi="Times New Roman"/>
          <w:b/>
          <w:sz w:val="20"/>
        </w:rPr>
        <w:t>Superior</w:t>
      </w:r>
      <w:r>
        <w:rPr>
          <w:rFonts w:ascii="Times New Roman" w:hAnsi="Times New Roman"/>
          <w:sz w:val="20"/>
        </w:rPr>
        <w:t xml:space="preserve"> </w:t>
      </w:r>
      <w:r>
        <w:rPr>
          <w:rFonts w:ascii="Times New Roman" w:hAnsi="Times New Roman"/>
          <w:b/>
          <w:sz w:val="20"/>
        </w:rPr>
        <w:t>Offer</w:t>
      </w:r>
      <w:r>
        <w:rPr>
          <w:rFonts w:ascii="Times New Roman" w:hAnsi="Times New Roman"/>
          <w:sz w:val="20"/>
        </w:rPr>
        <w:t xml:space="preserve">” means an unsolicited bona fide written Acquisition Proposal (with all references to 20% in the definition of Acquisition Transaction being treated as references to 70% for these purposes) that: (a) was not obtained or made as a result of a breach of (or a violation of) </w:t>
      </w:r>
      <w:r>
        <w:rPr>
          <w:rFonts w:ascii="Times New Roman" w:hAnsi="Times New Roman"/>
          <w:sz w:val="20"/>
          <w:u w:val="single"/>
        </w:rPr>
        <w:t>Section 5.4(a)</w:t>
      </w:r>
      <w:r>
        <w:rPr>
          <w:rFonts w:ascii="Times New Roman" w:hAnsi="Times New Roman"/>
          <w:sz w:val="20"/>
        </w:rPr>
        <w:t xml:space="preserve"> by Aspen, (b) is on terms and conditions that the Aspen Board or the Company Board, as applicable (or any committee thereof) determines in good faith, based on such matters that it deems relevant (including the likelihood of consummation thereof and the financing terms thereof), as well as any binding written offer by the other Party to the Agreement to amend the terms of this Agreement, and following consultation with its outside legal counsel and financial advisors, if any, it deems are more favorable, from a financial point of view, to Aspen’s stockholders or the Company’s stockholders, as applicable, than the terms of the Contemplated Transactions, (c) is not subject to any debt financing conditions (and if debt financing is required, such financing is then fully committed to the third party) and (d) is reasonably capable of being completed on the terms proposed.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of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pPr>
      <w:r>
        <w:rPr/>
        <w:t>“</w:t>
      </w:r>
      <w:r>
        <w:rPr>
          <w:rFonts w:ascii="Times New Roman" w:hAnsi="Times New Roman"/>
          <w:b/>
          <w:sz w:val="20"/>
        </w:rPr>
        <w:t>Transaction Expenses</w:t>
      </w:r>
      <w:r>
        <w:rPr>
          <w:rFonts w:ascii="Times New Roman" w:hAnsi="Times New Roman"/>
          <w:sz w:val="20"/>
        </w:rPr>
        <w:t xml:space="preserve">” means, subject to </w:t>
      </w:r>
      <w:r>
        <w:rPr>
          <w:rFonts w:ascii="Times New Roman" w:hAnsi="Times New Roman"/>
          <w:sz w:val="20"/>
          <w:u w:val="single"/>
        </w:rPr>
        <w:t>Section 10.3(a)</w:t>
      </w:r>
      <w:r>
        <w:rPr>
          <w:rFonts w:ascii="Times New Roman" w:hAnsi="Times New Roman"/>
          <w:sz w:val="20"/>
        </w:rPr>
        <w:t xml:space="preserve">, with respect to Aspen, and solely to the extent remaining unpaid at the Cash Determination Time, the aggregate amount (without duplication) of all costs, fees and expenses incurred by Aspen or any of its Subsidiaries (including Merger Sub), or for which Aspen or any of its Subsidiaries are liable in connection with the Contemplated Transactions and the negotiation, preparation and execution of this Agreement or any other agreement, document, instrument, filing, certificate, schedule, exhibit, letter or other document prepared or executed in connection with the Contemplated Transactions, including (a) any fees and expenses of legal counsel and accountants, fees and expenses reasonably expected to be payable to financial advisors, investment bankers, brokers, consultants, tax advisors, transfer agents, proxy solicitor and other advisors of Aspen in connection with the Contemplated Transactions; (b) 50% of the fees paid to the SEC in connection with filing the Registration Statement, the Proxy Statement, and any amendments and supplements thereto, with the SEC; (c) 50% of the fees and expenses in connection with the printing, mailing and distribution of the Registration Statement and any amendments and supplements thereto; (d) 50% of the Nasdaq Fees (as defined in </w:t>
      </w:r>
      <w:r>
        <w:rPr>
          <w:rFonts w:ascii="Times New Roman" w:hAnsi="Times New Roman"/>
          <w:sz w:val="20"/>
          <w:u w:val="single"/>
        </w:rPr>
        <w:t>Section 6.10</w:t>
      </w:r>
      <w:r>
        <w:rPr>
          <w:rFonts w:ascii="Times New Roman" w:hAnsi="Times New Roman"/>
          <w:sz w:val="20"/>
        </w:rPr>
        <w:t xml:space="preserve">); (e) the CVR Fees; and (f) to the extent not included in Aspen Net Cash, any bonus, severance, change-in-control payments or similar payment obligations (including payments with “single-trigger” provisions triggered at and as of the Closing) in effect as of the Closing that are, become, or may become due or payable to any director, officer, employee or consultant of Aspen in connection with, or following, the consummation of the Contemplated Transactions, including the employer portion of any employment, payroll or similar Taxes with respect to such compensation; </w:t>
      </w:r>
      <w:r>
        <w:rPr>
          <w:rFonts w:ascii="Times New Roman" w:hAnsi="Times New Roman"/>
          <w:sz w:val="20"/>
          <w:u w:val="single"/>
        </w:rPr>
        <w:t>provided</w:t>
      </w:r>
      <w:r>
        <w:rPr>
          <w:rFonts w:ascii="Times New Roman" w:hAnsi="Times New Roman"/>
          <w:sz w:val="20"/>
        </w:rPr>
        <w:t xml:space="preserve">, that, Transaction Expenses shall not include any Costs associated with the obtainment of directors and officers insurance pursuant to </w:t>
      </w:r>
      <w:r>
        <w:rPr>
          <w:rFonts w:ascii="Times New Roman" w:hAnsi="Times New Roman"/>
          <w:sz w:val="20"/>
          <w:u w:val="single"/>
        </w:rPr>
        <w:t>Section 6.8</w:t>
      </w:r>
      <w:r>
        <w:rPr>
          <w:rFonts w:ascii="Times New Roman" w:hAnsi="Times New Roman"/>
          <w:sz w:val="20"/>
        </w:rPr>
        <w:t>. With respect to the fees or costs contemplated by clauses (b), (c) and (d) of the preceding sentence, the remaining 50% of each such category of fees or costs is referred to herein as a “</w:t>
      </w:r>
      <w:r>
        <w:rPr>
          <w:rFonts w:ascii="Times New Roman" w:hAnsi="Times New Roman"/>
          <w:b/>
          <w:sz w:val="20"/>
        </w:rPr>
        <w:t>Company Portion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 Each of the following terms is defined in the Section set forth opposite such term: </w:t>
      </w:r>
    </w:p>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3860"/>
        <w:gridCol w:w="120"/>
        <w:gridCol w:w="920"/>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Board Recommendation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6.3(b)</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Disclosure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ESPP</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4.6(c)</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Grant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4.6(f)</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4.13(a)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Net Cash Calculation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Net Cash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Real Estate Leases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4.11</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SEC Documents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4.7(a)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Stock Plans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4.6(c)</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Stockholder Matters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Recitals</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Stockholder Meeting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6.3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Capitalization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Cash Determination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Certificate of 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Certifications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4.7(a)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Closing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Closing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Closing Distribution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Disclosure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Financials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3.7(a)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3.13(a)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Stockholder Written Consents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Preferred Stock Conversion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2.5(h)</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Real Estate Leases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3.11</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Stock Certificate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Costs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6.8</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CVR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tbl>
      <w:tblPr>
        <w:tblW w:w="4660" w:type="dxa"/>
        <w:jc w:val="left"/>
        <w:tblInd w:w="0" w:type="dxa"/>
        <w:tblLayout w:type="fixed"/>
        <w:tblCellMar>
          <w:top w:w="0" w:type="dxa"/>
          <w:left w:w="0" w:type="dxa"/>
          <w:bottom w:w="0" w:type="dxa"/>
          <w:right w:w="0" w:type="dxa"/>
        </w:tblCellMar>
      </w:tblPr>
      <w:tblGrid>
        <w:gridCol w:w="3620"/>
        <w:gridCol w:w="120"/>
        <w:gridCol w:w="920"/>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CVR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CVR Fees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2.6(c)</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D&amp;O Indemnified Parties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6.8(a)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Effective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Exchange Agent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FDA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1.1(a)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Final Offering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6.7(c)</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GAAP</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3.7(a)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Liability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3.9</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Recitals</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Merger Consideration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2.5(a)(ii)</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Merger Sub</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Post-Closing Welfare Plan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6.6(b)</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Privacy Policies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3.22</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Proxy Statement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Required Company Stockholder Vote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3.4</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Required Aspen Stockholder Vote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4.4</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Specified Aspen Stockholder Matters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Surviving Corporation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2.1</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Tax Certificates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6.11(c)</w:t>
            </w:r>
          </w:p>
        </w:tc>
      </w:tr>
    </w:tbl>
    <w:p>
      <w:pPr>
        <w:pStyle w:val="TextBody"/>
        <w:bidi w:val="0"/>
        <w:spacing w:before="240" w:after="0"/>
        <w:jc w:val="left"/>
        <w:rPr>
          <w:rFonts w:ascii="Times New Roman" w:hAnsi="Times New Roman"/>
          <w:sz w:val="20"/>
        </w:rPr>
      </w:pPr>
      <w:bookmarkStart w:id="201" w:name="annxa770053_3"/>
      <w:bookmarkEnd w:id="201"/>
      <w:r>
        <w:rPr>
          <w:rFonts w:ascii="Times New Roman" w:hAnsi="Times New Roman"/>
          <w:sz w:val="20"/>
        </w:rPr>
        <w:t xml:space="preserve">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Aspen Disclosure Schedule shall be arranged in sections and subsections corresponding to the numbered and lettered sections and subsections contained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The disclosures in any section or subsection of the Company Disclosure Schedule or the Aspen Disclosure Schedule shall qualify other sections and subsections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(a)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w:t>
      </w:r>
    </w:p>
    <w:p>
      <w:pPr>
        <w:pStyle w:val="TextBody"/>
        <w:bidi w:val="0"/>
        <w:spacing w:before="240" w:after="0"/>
        <w:jc w:val="left"/>
        <w:rPr>
          <w:rFonts w:ascii="Times New Roman" w:hAnsi="Times New Roman"/>
          <w:sz w:val="20"/>
        </w:rPr>
      </w:pPr>
      <w:bookmarkStart w:id="202" w:name="annxa770053_4"/>
      <w:bookmarkEnd w:id="202"/>
      <w:r>
        <w:rPr>
          <w:rFonts w:ascii="Times New Roman" w:hAnsi="Times New Roman"/>
          <w:sz w:val="20"/>
        </w:rPr>
        <w:t xml:space="preserve">Section 2. </w:t>
      </w:r>
      <w:r>
        <w:rPr>
          <w:rFonts w:ascii="Times New Roman" w:hAnsi="Times New Roman"/>
          <w:sz w:val="20"/>
          <w:u w:val="single"/>
        </w:rPr>
        <w:t>Description of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3" w:name="annxa770053_5"/>
      <w:bookmarkEnd w:id="203"/>
      <w:r>
        <w:rPr>
          <w:rFonts w:ascii="Times New Roman" w:hAnsi="Times New Roman"/>
          <w:sz w:val="20"/>
        </w:rPr>
        <w:t xml:space="preserve">2.1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4" w:name="annxa770053_6"/>
      <w:bookmarkEnd w:id="204"/>
      <w:r>
        <w:rPr>
          <w:rFonts w:ascii="Times New Roman" w:hAnsi="Times New Roman"/>
          <w:sz w:val="20"/>
        </w:rPr>
        <w:t xml:space="preserve">2.2 </w:t>
      </w:r>
      <w:r>
        <w:rPr>
          <w:rFonts w:ascii="Times New Roman" w:hAnsi="Times New Roman"/>
          <w:sz w:val="20"/>
          <w:u w:val="single"/>
        </w:rPr>
        <w:t>Effects of the Merger</w:t>
      </w:r>
      <w:r>
        <w:rPr>
          <w:rFonts w:ascii="Times New Roman" w:hAnsi="Times New Roman"/>
          <w:sz w:val="20"/>
        </w:rPr>
        <w:t xml:space="preserve">. The Merger shall have the effects set forth in this Agreement and in the applicable provisions of the DGCL. As a result of the Merger, the Company will become a wholly owned subsidiary of Aspen. </w:t>
      </w:r>
    </w:p>
    <w:p>
      <w:pPr>
        <w:pStyle w:val="TextBody"/>
        <w:bidi w:val="0"/>
        <w:spacing w:before="240" w:after="0"/>
        <w:jc w:val="left"/>
        <w:rPr>
          <w:rFonts w:ascii="Times New Roman" w:hAnsi="Times New Roman"/>
          <w:sz w:val="20"/>
        </w:rPr>
      </w:pPr>
      <w:bookmarkStart w:id="205" w:name="annxa770053_7"/>
      <w:bookmarkEnd w:id="205"/>
      <w:r>
        <w:rPr>
          <w:rFonts w:ascii="Times New Roman" w:hAnsi="Times New Roman"/>
          <w:sz w:val="20"/>
        </w:rPr>
        <w:t xml:space="preserve">2.3 </w:t>
      </w:r>
      <w:r>
        <w:rPr>
          <w:rFonts w:ascii="Times New Roman" w:hAnsi="Times New Roman"/>
          <w:sz w:val="20"/>
          <w:u w:val="single"/>
        </w:rPr>
        <w:t>Closing; Effective Time</w:t>
      </w:r>
      <w:r>
        <w:rPr>
          <w:rFonts w:ascii="Times New Roman" w:hAnsi="Times New Roman"/>
          <w:sz w:val="20"/>
        </w:rPr>
        <w:t xml:space="preserve">. Unless this Agreement is earlier terminated pursuant to the provisions of </w:t>
      </w:r>
      <w:r>
        <w:rPr>
          <w:rFonts w:ascii="Times New Roman" w:hAnsi="Times New Roman"/>
          <w:sz w:val="20"/>
          <w:u w:val="single"/>
        </w:rPr>
        <w:t>Section 10.1</w:t>
      </w:r>
      <w:r>
        <w:rPr>
          <w:rFonts w:ascii="Times New Roman" w:hAnsi="Times New Roman"/>
          <w:sz w:val="20"/>
        </w:rPr>
        <w:t xml:space="preserve">, and subject to the satisfaction or waiver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the consummation of the Merger (the “</w:t>
      </w:r>
      <w:r>
        <w:rPr>
          <w:rFonts w:ascii="Times New Roman" w:hAnsi="Times New Roman"/>
          <w:b/>
          <w:sz w:val="20"/>
        </w:rPr>
        <w:t>Closing</w:t>
      </w:r>
      <w:r>
        <w:rPr>
          <w:rFonts w:ascii="Times New Roman" w:hAnsi="Times New Roman"/>
          <w:sz w:val="20"/>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other than those conditions that by their nature are to be satisfied at the Closing, but subject to the satisfaction or waiver of each of such conditions), or at such other time, date and place as Aspen and the Company may mutually agree in writing. The date on which the Closing actually takes place is referred to as the “</w:t>
      </w:r>
      <w:r>
        <w:rPr>
          <w:rFonts w:ascii="Times New Roman" w:hAnsi="Times New Roman"/>
          <w:b/>
          <w:sz w:val="20"/>
        </w:rPr>
        <w:t>Closing Date</w:t>
      </w:r>
      <w:r>
        <w:rPr>
          <w:rFonts w:ascii="Times New Roman" w:hAnsi="Times New Roman"/>
          <w:sz w:val="20"/>
        </w:rPr>
        <w:t>.” At the Closing, the Parties shall cause the Merger to be consummated by executing and filing with the Secretary of State of the State of Delaware a certificate of merger with respect to the Merger, satisfying the applicable requirements of the DGCL and in form and substance as agreed to by the Parties (the “</w:t>
      </w:r>
      <w:r>
        <w:rPr>
          <w:rFonts w:ascii="Times New Roman" w:hAnsi="Times New Roman"/>
          <w:b/>
          <w:sz w:val="20"/>
        </w:rPr>
        <w:t>Certificate of Merger</w:t>
      </w:r>
      <w:r>
        <w:rPr>
          <w:rFonts w:ascii="Times New Roman" w:hAnsi="Times New Roman"/>
          <w:sz w:val="20"/>
        </w:rPr>
        <w:t>”). The Merger shall become effective at the time of the filing of such Certificate of Merger with the Secretary of State of the State of Delaware or at such later time as may be specified in such Certificate of Merger with the consent of Aspen and the Company (the time as of which the Merger becomes effective being referred to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6" w:name="annxa770053_8"/>
      <w:bookmarkEnd w:id="206"/>
      <w:r>
        <w:rPr>
          <w:rFonts w:ascii="Times New Roman" w:hAnsi="Times New Roman"/>
          <w:sz w:val="20"/>
        </w:rPr>
        <w:t xml:space="preserve">2.4 </w:t>
      </w:r>
      <w:r>
        <w:rPr>
          <w:rFonts w:ascii="Times New Roman" w:hAnsi="Times New Roman"/>
          <w:sz w:val="20"/>
          <w:u w:val="single"/>
        </w:rPr>
        <w:t>Organizational Documents; Directors and Officers</w:t>
      </w:r>
      <w:r>
        <w:rPr>
          <w:rFonts w:ascii="Times New Roman" w:hAnsi="Times New Roman"/>
          <w:sz w:val="20"/>
        </w:rPr>
        <w:t xml:space="preserv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 the certificate of incorporation of the Surviving Corporation shall be amended and restated in the Merger to read as set forth on Exhibit A to the Certificate of Merger, until thereafter amended as provided by the DGCL and such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certificate of incorporation of Aspen shall be identical to the certificate of incorporation of Aspen immediately prior to the Effective Time, until thereafter amended as provided by the DGCL and such certificate of incorporation;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Effective Time, Aspen shall file an amendment to its certificate of incorporation to (i) change the name of Aspen to “Tectonic Therapeutic, Inc.”, (ii) effect the Nasdaq Reverse Split, and (iii) make such other changes as are mutually agreeable to Aspen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bylaws of the Surviving Corporation shall be identical to the bylaws of Merger Sub as in effect immediately prior to the Effective Time, until thereafter amended as provided by the DGCL and such bylaws; </w:t>
      </w:r>
    </w:p>
    <w:p>
      <w:pPr>
        <w:pStyle w:val="TextBody"/>
        <w:bidi w:val="0"/>
        <w:spacing w:before="240" w:after="0"/>
        <w:jc w:val="left"/>
        <w:rPr>
          <w:rFonts w:ascii="Times New Roman" w:hAnsi="Times New Roman"/>
          <w:sz w:val="20"/>
        </w:rPr>
      </w:pPr>
      <w:r>
        <w:rPr>
          <w:rFonts w:ascii="Times New Roman" w:hAnsi="Times New Roman"/>
          <w:sz w:val="20"/>
        </w:rPr>
        <w:t xml:space="preserve">(d) the directors and officers of Aspen, each to hold office in accordance with the certificate of incorporation and bylaws of Aspen, shall be as set forth in </w:t>
      </w:r>
      <w:r>
        <w:rPr>
          <w:rFonts w:ascii="Times New Roman" w:hAnsi="Times New Roman"/>
          <w:sz w:val="20"/>
          <w:u w:val="single"/>
        </w:rPr>
        <w:t>Section 6.13</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(e) the directors and officers of the Surviving Corporation, each to hold office in accordance with the certificate of incorporation and bylaws of Merger Sub, shall be as set forth in </w:t>
      </w:r>
      <w:r>
        <w:rPr>
          <w:rFonts w:ascii="Times New Roman" w:hAnsi="Times New Roman"/>
          <w:sz w:val="20"/>
          <w:u w:val="single"/>
        </w:rPr>
        <w:t>Section 6.13</w:t>
      </w:r>
      <w:r>
        <w:rPr>
          <w:rFonts w:ascii="Times New Roman" w:hAnsi="Times New Roman"/>
          <w:sz w:val="20"/>
        </w:rPr>
        <w:t> after giving effect to the provisions of </w:t>
      </w:r>
      <w:r>
        <w:rPr>
          <w:rFonts w:ascii="Times New Roman" w:hAnsi="Times New Roman"/>
          <w:sz w:val="20"/>
          <w:u w:val="single"/>
        </w:rPr>
        <w:t>Section 6.13</w:t>
      </w:r>
      <w:r>
        <w:rPr>
          <w:rFonts w:ascii="Times New Roman" w:hAnsi="Times New Roman"/>
          <w:sz w:val="20"/>
        </w:rPr>
        <w:t xml:space="preserve">, or such other persons as shall be mutually agreed upon by Aspen and the Company. </w:t>
      </w:r>
    </w:p>
    <w:p>
      <w:pPr>
        <w:pStyle w:val="TextBody"/>
        <w:bidi w:val="0"/>
        <w:spacing w:before="240" w:after="0"/>
        <w:jc w:val="left"/>
        <w:rPr>
          <w:rFonts w:ascii="Times New Roman" w:hAnsi="Times New Roman"/>
          <w:sz w:val="20"/>
        </w:rPr>
      </w:pPr>
      <w:bookmarkStart w:id="207" w:name="annxa770053_9"/>
      <w:bookmarkEnd w:id="207"/>
      <w:r>
        <w:rPr>
          <w:rFonts w:ascii="Times New Roman" w:hAnsi="Times New Roman"/>
          <w:sz w:val="20"/>
        </w:rPr>
        <w:t xml:space="preserve">2.5 </w:t>
      </w:r>
      <w:r>
        <w:rPr>
          <w:rFonts w:ascii="Times New Roman" w:hAnsi="Times New Roman"/>
          <w:sz w:val="20"/>
          <w:u w:val="single"/>
        </w:rPr>
        <w:t>Conversion of Company Equity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(after giving effect to the Company SAFEs Conversion and the Company Preferred Stock Conversion), by virtue of the Merger and without any further action on the part of Aspen, Merger Sub, the Company or any stockholder of the Company or Aspen: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Capital Stock held as treasury stock immediately prior to the Effective Time shall be canceled and retired and shall cease to exist, and no consideration shall be delivered in exchange therefor; and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each share of Company Capital Stock outstanding immediately prior to the Effective Time (excluding (a) shares to be canceled pursuant to </w:t>
      </w:r>
      <w:r>
        <w:rPr>
          <w:rFonts w:ascii="Times New Roman" w:hAnsi="Times New Roman"/>
          <w:sz w:val="20"/>
          <w:u w:val="single"/>
        </w:rPr>
        <w:t>Section 2.5(a)(i)</w:t>
      </w:r>
      <w:r>
        <w:rPr>
          <w:rFonts w:ascii="Times New Roman" w:hAnsi="Times New Roman"/>
          <w:sz w:val="20"/>
        </w:rPr>
        <w:t xml:space="preserve">, and (b) Dissenting Shares, but, for the avoidance of doubt, including (A) Concurrent Investment Company Shares and (B) shares of Company Common Stock issued in respect of the Company Preferred Stock Conversion) shall be converted solely into the right to receive a number of shares of Aspen Common Stock equal to the product of (x) the Exchange Ratio </w:t>
      </w:r>
      <w:r>
        <w:rPr>
          <w:rFonts w:ascii="Times New Roman" w:hAnsi="Times New Roman"/>
          <w:i/>
          <w:sz w:val="20"/>
          <w:u w:val="single"/>
        </w:rPr>
        <w:t>multiplied by</w:t>
      </w:r>
      <w:r>
        <w:rPr>
          <w:rFonts w:ascii="Times New Roman" w:hAnsi="Times New Roman"/>
          <w:sz w:val="20"/>
        </w:rPr>
        <w:t xml:space="preserve"> (y) such share of Company Capital Stock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there are any shares of Company Restricted Stock outstanding immediately prior to the Effective Time, then the shares of Aspen Common Stock issued in exchange for such shares of Company Restricted Stock will to the same extent be unvested and subject to the same repurchase option or risk of forfeiture, and such shares of Aspen Common Stock shall accordingly be marked with appropriate legends. The Company shall take all actions that may be necessary to ensure that, from and after the Effective Time, Aspen is entitled to exercise any such repurchase option or other right set forth in any such restricted stock purchase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fractional shares of Aspen Common Stock shall be issued in connection with the Merger, and no certificates or scrip for any such fractional shares shall be issued. Any holder of Company Capital Stock (including Concurrent Investors) who would otherwise be entitled to receive a fraction of a share of Aspen Common Stock (after aggregating all fractional shares of Aspen Common Stock issuable to such holder) shall receive from Aspen, in lieu of such fractional share and upon surrender by such holder of a letter of transmittal in accordance with Section 2.8 and any accompanying documents as required therein: (i) one share of Aspen Common Stock if the aggregate amount of fractional shares of Aspen Common Stock such holder of Company Capital Stock would otherwise be entitled to is equal to or exceeds 0.50; or (ii) no shares of Aspen Common Stock if the aggregate amount of fractional shares of Aspen Common Stock such holder of Company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would otherwise be entitled to is less than 0.50, with no cash being paid for any fractional share eliminated by such rounding. </w:t>
      </w:r>
    </w:p>
    <w:p>
      <w:pPr>
        <w:pStyle w:val="TextBody"/>
        <w:bidi w:val="0"/>
        <w:spacing w:before="240" w:after="0"/>
        <w:jc w:val="left"/>
        <w:rPr>
          <w:rFonts w:ascii="Times New Roman" w:hAnsi="Times New Roman"/>
          <w:sz w:val="20"/>
        </w:rPr>
      </w:pPr>
      <w:r>
        <w:rPr>
          <w:rFonts w:ascii="Times New Roman" w:hAnsi="Times New Roman"/>
          <w:sz w:val="20"/>
        </w:rPr>
        <w:t xml:space="preserve">(d) All Company Options outstanding immediately prior to the Effective Time shall be treated in accordance with </w:t>
      </w:r>
      <w:r>
        <w:rPr>
          <w:rFonts w:ascii="Times New Roman" w:hAnsi="Times New Roman"/>
          <w:sz w:val="20"/>
          <w:u w:val="single"/>
        </w:rPr>
        <w:t>Section 6.5(a)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share of common stock, $0.0001 par value per share, of Merger Sub issued and outstanding immediately prior to the Effective Time shall be converted into and exchanged for one validly issued, fully paid and nonassessable share of common stock, $0.0001 par value per share, of the Surviving Corporation. Each book entry share of Merger Sub evidencing ownership of any such shares shall, as of the Effective Time, evidence ownership of such shares of common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Effective Time, the outstanding Company Capital Stock or Aspen Common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and Aspen Common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the Company or Aspen to take any action with respect to Company Capital Stock or Aspen Common Stock, respectively, that is prohibited or not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(g) All Company SAFEs shall be converted, at the same price per share at which the Concurrent Investment Company Shares are sold pursuant to the Subscription Agreement (which shall be the Public Offering/Conversion Price as defined in the Company SAFEs), into Company Common Stock as of immediately following the Company Preferred Stock Conversion and immediately prior to the Subscription Agreement Concurrent Investment and at the Specified Time in accordance with, and otherwise pursuant to the terms and conditions of, the Company SAFEs (the “</w:t>
      </w:r>
      <w:r>
        <w:rPr>
          <w:rFonts w:ascii="Times New Roman" w:hAnsi="Times New Roman"/>
          <w:b/>
          <w:sz w:val="20"/>
        </w:rPr>
        <w:t>Company SAFEs Conversion</w:t>
      </w:r>
      <w:r>
        <w:rPr>
          <w:rFonts w:ascii="Times New Roman" w:hAnsi="Times New Roman"/>
          <w:sz w:val="20"/>
        </w:rPr>
        <w:t xml:space="preserve">”). All of the Company SAFEs so converted into shares of Company Common Stock shall no longer be outstanding and shall cease to exist, and each holder of Company SAFEs shall thereafter cease to have any rights with respect to Company SAFEs. Following the Company SAFEs Conversion, at the Effective Time and by virtue of the Merger, all shares of Company Common Stock issued in the Company SAFEs Conversion shall be canceled and converted into the right to receive Aspen Common Stock pursuant to this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All Company Preferred Stock shall be converted into Company Common Stock as of immediately prior to Company SAFEs Conversion (which Company SAFEs Conversion shall occur immediately prior to the Subscription Agreement Concurrent Investment) and at the Specified Time in accordance with, and pursuant to the terms and conditions of, the Organizational Documents of the Company (the “</w:t>
      </w:r>
      <w:r>
        <w:rPr>
          <w:rFonts w:ascii="Times New Roman" w:hAnsi="Times New Roman"/>
          <w:b/>
          <w:sz w:val="20"/>
        </w:rPr>
        <w:t>Company Preferred Stock Conversion</w:t>
      </w:r>
      <w:r>
        <w:rPr>
          <w:rFonts w:ascii="Times New Roman" w:hAnsi="Times New Roman"/>
          <w:sz w:val="20"/>
        </w:rPr>
        <w:t xml:space="preserve">”). All of the Company Preferred Stock so converted into shares of Company Common Stock shall no longer be outstanding and shall cease to exist, and each holder of Company Preferred Stock shall thereafter cease to have any rights with respect to Company Preferred Stock. Following the Company Preferred Stock Conversion, at the Effective Time and by virtue of the Merger, all shares of Company Common Stock issued in the Company Preferred Stock Conversion shall be canceled and converted into the right to receive Aspen Common Stock pursuant to this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8" w:name="annxa770053_10"/>
      <w:bookmarkEnd w:id="208"/>
      <w:r>
        <w:rPr>
          <w:rFonts w:ascii="Times New Roman" w:hAnsi="Times New Roman"/>
          <w:sz w:val="20"/>
        </w:rPr>
        <w:t xml:space="preserve">2.6 </w:t>
      </w:r>
      <w:r>
        <w:rPr>
          <w:rFonts w:ascii="Times New Roman" w:hAnsi="Times New Roman"/>
          <w:sz w:val="20"/>
          <w:u w:val="single"/>
        </w:rPr>
        <w:t>Contingent Value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Aspen shall declare a distribution (the “</w:t>
      </w:r>
      <w:r>
        <w:rPr>
          <w:rFonts w:ascii="Times New Roman" w:hAnsi="Times New Roman"/>
          <w:b/>
          <w:sz w:val="20"/>
        </w:rPr>
        <w:t>Closing Distribution</w:t>
      </w:r>
      <w:r>
        <w:rPr>
          <w:rFonts w:ascii="Times New Roman" w:hAnsi="Times New Roman"/>
          <w:sz w:val="20"/>
        </w:rPr>
        <w:t xml:space="preserve">”) to holders of Aspen Common Stock of record as of immediately prior to the Effective Time (including, for the avoidance of doubt, those shares of Aspen Common Stock issued upon settlement of Aspen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Units pursuant to </w:t>
      </w:r>
      <w:r>
        <w:rPr>
          <w:rFonts w:ascii="Times New Roman" w:hAnsi="Times New Roman"/>
          <w:sz w:val="20"/>
          <w:u w:val="single"/>
        </w:rPr>
        <w:t>Section 6.7</w:t>
      </w:r>
      <w:r>
        <w:rPr>
          <w:rFonts w:ascii="Times New Roman" w:hAnsi="Times New Roman"/>
          <w:sz w:val="20"/>
        </w:rPr>
        <w:t>) of the right to receive one contingent value right (each, a “</w:t>
      </w:r>
      <w:r>
        <w:rPr>
          <w:rFonts w:ascii="Times New Roman" w:hAnsi="Times New Roman"/>
          <w:b/>
          <w:sz w:val="20"/>
        </w:rPr>
        <w:t>CVR</w:t>
      </w:r>
      <w:r>
        <w:rPr>
          <w:rFonts w:ascii="Times New Roman" w:hAnsi="Times New Roman"/>
          <w:sz w:val="20"/>
        </w:rPr>
        <w:t xml:space="preserve">”) for each outstanding share of Aspen Common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CVR Agreement</w:t>
      </w:r>
      <w:r>
        <w:rPr>
          <w:rFonts w:ascii="Times New Roman" w:hAnsi="Times New Roman"/>
          <w:sz w:val="20"/>
        </w:rPr>
        <w:t xml:space="preserve">”), with such reasonable revisions thereto requested by the Rights Agent that are not individually or in the aggregate materially detrimental to the holders of CVRs and are reasonably acceptable to Aspen and the Company. The record date for the Closing Distribution shall be the close of business on the Business Day immediately prior to the day on which the Effective Time occurs and the payment date for which shall be three (3) Business Days after the Effective Time; provided that the payment of such distribution may be conditioned upon the occurrence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Aspen and the Exchange Agent shall, at or prior to the Effective Time, duly authorize, execute and deliver the CVR Agreement, subject to any reasonable revisions to the CVR Agreement that are requested by such Exchange Agent and are reasonably acceptable to the Company and Aspen. </w:t>
      </w:r>
    </w:p>
    <w:p>
      <w:pPr>
        <w:pStyle w:val="TextBody"/>
        <w:bidi w:val="0"/>
        <w:spacing w:before="240" w:after="0"/>
        <w:jc w:val="left"/>
        <w:rPr>
          <w:rFonts w:ascii="Times New Roman" w:hAnsi="Times New Roman"/>
          <w:sz w:val="20"/>
        </w:rPr>
      </w:pPr>
      <w:r>
        <w:rPr>
          <w:rFonts w:ascii="Times New Roman" w:hAnsi="Times New Roman"/>
          <w:sz w:val="20"/>
        </w:rPr>
        <w:t xml:space="preserve">(c) Aspen shall pay all costs and fees associated with any action contemplated by this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b/>
          <w:sz w:val="20"/>
        </w:rPr>
        <w:t>CVR Fees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9" w:name="annxa770053_11"/>
      <w:bookmarkEnd w:id="209"/>
      <w:r>
        <w:rPr>
          <w:rFonts w:ascii="Times New Roman" w:hAnsi="Times New Roman"/>
          <w:sz w:val="20"/>
        </w:rPr>
        <w:t xml:space="preserve">2.7 </w:t>
      </w:r>
      <w:r>
        <w:rPr>
          <w:rFonts w:ascii="Times New Roman" w:hAnsi="Times New Roman"/>
          <w:sz w:val="20"/>
          <w:u w:val="single"/>
        </w:rPr>
        <w:t>Closing of the Company’s Transfer Books</w:t>
      </w:r>
      <w:r>
        <w:rPr>
          <w:rFonts w:ascii="Times New Roman" w:hAnsi="Times New Roman"/>
          <w:sz w:val="20"/>
        </w:rPr>
        <w:t xml:space="preserve">. At the Effective Time: (a) all Company Capital Stock outstanding immediately prior to the Effective Time shall be treated in accordance with </w:t>
      </w:r>
      <w:r>
        <w:rPr>
          <w:rFonts w:ascii="Times New Roman" w:hAnsi="Times New Roman"/>
          <w:sz w:val="20"/>
          <w:u w:val="single"/>
        </w:rPr>
        <w:t>Section 2.5(a)</w:t>
      </w:r>
      <w:r>
        <w:rPr>
          <w:rFonts w:ascii="Times New Roman" w:hAnsi="Times New Roman"/>
          <w:sz w:val="20"/>
        </w:rPr>
        <w:t xml:space="preserve">, and all holders of certificates representing Company Capital Stock that were outstanding immediately prior to the Effective Time shall cease to have any rights as stockholders of the Company, other than the right to receive the Merger Consideration pursuant to </w:t>
      </w:r>
      <w:r>
        <w:rPr>
          <w:rFonts w:ascii="Times New Roman" w:hAnsi="Times New Roman"/>
          <w:sz w:val="20"/>
          <w:u w:val="single"/>
        </w:rPr>
        <w:t>Section 2.5</w:t>
      </w:r>
      <w:r>
        <w:rPr>
          <w:rFonts w:ascii="Times New Roman" w:hAnsi="Times New Roman"/>
          <w:sz w:val="20"/>
        </w:rPr>
        <w:t xml:space="preserve">, and (b) the stock transfer books of the Company shall be closed with respect to all Company Capital Stock outstanding immediately prior to the Effective Time. No further transfer of any such Company Capital Stock shall be made on such stock transfer books after the Effective Time. </w:t>
      </w:r>
    </w:p>
    <w:p>
      <w:pPr>
        <w:pStyle w:val="TextBody"/>
        <w:bidi w:val="0"/>
        <w:spacing w:before="240" w:after="0"/>
        <w:jc w:val="left"/>
        <w:rPr>
          <w:rFonts w:ascii="Times New Roman" w:hAnsi="Times New Roman"/>
          <w:sz w:val="20"/>
        </w:rPr>
      </w:pPr>
      <w:bookmarkStart w:id="210" w:name="annxa770053_12"/>
      <w:bookmarkEnd w:id="210"/>
      <w:r>
        <w:rPr>
          <w:rFonts w:ascii="Times New Roman" w:hAnsi="Times New Roman"/>
          <w:sz w:val="20"/>
        </w:rPr>
        <w:t xml:space="preserve">2.8 </w:t>
      </w:r>
      <w:r>
        <w:rPr>
          <w:rFonts w:ascii="Times New Roman" w:hAnsi="Times New Roman"/>
          <w:sz w:val="20"/>
          <w:u w:val="single"/>
        </w:rPr>
        <w:t>Surrender of 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Aspen and the Company shall jointly select a reputable bank, transfer agent or trust company to act as exchange agent in the Merger (the “</w:t>
      </w:r>
      <w:r>
        <w:rPr>
          <w:rFonts w:ascii="Times New Roman" w:hAnsi="Times New Roman"/>
          <w:b/>
          <w:sz w:val="20"/>
        </w:rPr>
        <w:t>Exchange Agent</w:t>
      </w:r>
      <w:r>
        <w:rPr>
          <w:rFonts w:ascii="Times New Roman" w:hAnsi="Times New Roman"/>
          <w:sz w:val="20"/>
        </w:rPr>
        <w:t xml:space="preserve">”). At the Effective Time, Aspen shall deposit with the Exchange Agent evidence of book-entry shares representing the shares of Aspen Common Stock issuable pursuant to </w:t>
      </w:r>
      <w:r>
        <w:rPr>
          <w:rFonts w:ascii="Times New Roman" w:hAnsi="Times New Roman"/>
          <w:sz w:val="20"/>
          <w:u w:val="single"/>
        </w:rPr>
        <w:t>Section 2.5(a)</w:t>
      </w:r>
      <w:r>
        <w:rPr>
          <w:rFonts w:ascii="Times New Roman" w:hAnsi="Times New Roman"/>
          <w:sz w:val="20"/>
        </w:rPr>
        <w:t xml:space="preserve"> in exchange for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Effective Time, the Parties shall cause the Exchange Agent to transmit to the Persons who were record holders of shares of Company Capital Stock that were converted into the right to receive the Merger Consideration: (i) a letter of transmittal in customary form and containing such provisions as Aspen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or uncertificated shares of Company Capital Stock, in exchange for book-entry shares of Aspen Common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Aspen: (A) the holder of such Company Stock Certificate or uncertificated shares of Company Capital Stock shall be entitled to receive in exchange therefor book-entry shares representing the Merger Consideration (in a number of whole shares of Aspen Common Stock) that such holder has the right to receive pursuant to the provisions of </w:t>
      </w:r>
      <w:r>
        <w:rPr>
          <w:rFonts w:ascii="Times New Roman" w:hAnsi="Times New Roman"/>
          <w:sz w:val="20"/>
          <w:u w:val="single"/>
        </w:rPr>
        <w:t>Section 2.5(a)</w:t>
      </w:r>
      <w:r>
        <w:rPr>
          <w:rFonts w:ascii="Times New Roman" w:hAnsi="Times New Roman"/>
          <w:sz w:val="20"/>
        </w:rPr>
        <w:t xml:space="preserve"> and (B) the Company Stock Certificate or uncertificated shares of Company Capital Stock so surrendered shall be canceled. Until surrendered as contemplated by this </w:t>
      </w:r>
      <w:r>
        <w:rPr>
          <w:rFonts w:ascii="Times New Roman" w:hAnsi="Times New Roman"/>
          <w:sz w:val="20"/>
          <w:u w:val="single"/>
        </w:rPr>
        <w:t>Section 2.8(b)</w:t>
      </w:r>
      <w:r>
        <w:rPr>
          <w:rFonts w:ascii="Times New Roman" w:hAnsi="Times New Roman"/>
          <w:sz w:val="20"/>
        </w:rPr>
        <w:t xml:space="preserve">, each Company Stock Certificate or uncertificated shares of Company Capital Stock shall be deemed, from and after the Effective Time, to represent only the right to receive book-entry shares of Aspen Common Stock representing the Merger Consideration. If any Company Stock Certificate shall have been lost, stolen or destroyed, Aspen may, in its discretion and as a condition precedent to the delivery of any shares of Aspen Common Stock, require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owner of such lost, stolen or destroyed Company Stock Certificate to provide an applicable affidavit with respect to such Company Stock Certificate and post a bond indemnifying Aspen against any claim suffered by Aspen related to the lost, stolen or destroyed Company Stock Certificate or any Aspen Common Stock issued in exchange therefor as Aspen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Aspen Common Stock with a record date after the Effective Time shall be paid to the holder of any unsurrendered Company Stock Certificate with respect to the shares of Aspen Common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hAnsi="Times New Roman"/>
          <w:sz w:val="20"/>
          <w:u w:val="single"/>
        </w:rPr>
        <w:t>Section 2.8</w:t>
      </w:r>
      <w:r>
        <w:rPr>
          <w:rFonts w:ascii="Times New Roman" w:hAnsi="Times New Roman"/>
          <w:sz w:val="20"/>
        </w:rPr>
        <w:t xml:space="preserve"> (at which time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Aspen Common Stock deposited with the Exchange Agent that remain undistributed to holders of Company Stock Certificates as of the date that is one hundred eighty (180) days after the Closing Date shall be delivered to Aspen upon demand, and any holders of Company Stock Certificates who have not theretofore surrendered their Company Stock Certificates or uncertificated shares of Company Capital Stock in accordance with this </w:t>
      </w:r>
      <w:r>
        <w:rPr>
          <w:rFonts w:ascii="Times New Roman" w:hAnsi="Times New Roman"/>
          <w:sz w:val="20"/>
          <w:u w:val="single"/>
        </w:rPr>
        <w:t>Section 2.8</w:t>
      </w:r>
      <w:r>
        <w:rPr>
          <w:rFonts w:ascii="Times New Roman" w:hAnsi="Times New Roman"/>
          <w:sz w:val="20"/>
        </w:rPr>
        <w:t xml:space="preserve"> shall thereafter look only to Aspen for satisfaction of their claims for Aspen Common Stock and any dividends or distributions with respect to shares of Aspen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No Party shall be liable to any holder of any Company Stock Certificate or uncertificated shares of Company Capital Stock or to any other Person with respect to any shares of Aspen Common Stock (or dividends or distributions with respect thereto) or for any cash amounts delivered to any public official pursuant to any applicable abandoned property Law, escheat Law or similar Law. </w:t>
      </w:r>
    </w:p>
    <w:p>
      <w:pPr>
        <w:pStyle w:val="TextBody"/>
        <w:bidi w:val="0"/>
        <w:spacing w:before="240" w:after="0"/>
        <w:jc w:val="left"/>
        <w:rPr>
          <w:rFonts w:ascii="Times New Roman" w:hAnsi="Times New Roman"/>
          <w:sz w:val="20"/>
        </w:rPr>
      </w:pPr>
      <w:bookmarkStart w:id="211" w:name="annxa770053_13"/>
      <w:bookmarkEnd w:id="211"/>
      <w:r>
        <w:rPr>
          <w:rFonts w:ascii="Times New Roman" w:hAnsi="Times New Roman"/>
          <w:sz w:val="20"/>
        </w:rPr>
        <w:t xml:space="preserve">2.9 </w:t>
      </w:r>
      <w:r>
        <w:rPr>
          <w:rFonts w:ascii="Times New Roman" w:hAnsi="Times New Roman"/>
          <w:sz w:val="20"/>
          <w:u w:val="single"/>
        </w:rPr>
        <w:t>Calculation of Net Cash and Company Equity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five (5) Business Days before the Closing Date, Aspen will deliver to the Company a schedule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Net Cash Schedule</w:t>
      </w:r>
      <w:r>
        <w:rPr>
          <w:rFonts w:ascii="Times New Roman" w:hAnsi="Times New Roman"/>
          <w:sz w:val="20"/>
        </w:rPr>
        <w:t>”) setting forth, in reasonable detail, Aspen’s good faith, estimated calculation of Aspen Net Cash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Net Cash Calculation</w:t>
      </w:r>
      <w:r>
        <w:rPr>
          <w:rFonts w:ascii="Times New Roman" w:hAnsi="Times New Roman"/>
          <w:sz w:val="20"/>
        </w:rPr>
        <w:t>”) as of 11:59 p.m. on the last Business Day prior to the Anticipated Closing Date (the “</w:t>
      </w:r>
      <w:r>
        <w:rPr>
          <w:rFonts w:ascii="Times New Roman" w:hAnsi="Times New Roman"/>
          <w:b/>
          <w:sz w:val="20"/>
        </w:rPr>
        <w:t>Cash</w:t>
      </w:r>
      <w:r>
        <w:rPr>
          <w:rFonts w:ascii="Times New Roman" w:hAnsi="Times New Roman"/>
          <w:sz w:val="20"/>
        </w:rPr>
        <w:t xml:space="preserve"> </w:t>
      </w:r>
      <w:r>
        <w:rPr>
          <w:rFonts w:ascii="Times New Roman" w:hAnsi="Times New Roman"/>
          <w:b/>
          <w:sz w:val="20"/>
        </w:rPr>
        <w:t>Determination Time</w:t>
      </w:r>
      <w:r>
        <w:rPr>
          <w:rFonts w:ascii="Times New Roman" w:hAnsi="Times New Roman"/>
          <w:sz w:val="20"/>
        </w:rPr>
        <w:t xml:space="preserve">”) prepared and certified by Aspen’s chief financial officer (or if there is no chief financial officer at such time, the principal financial and accounting officer for Aspen). Aspen shall make available to the Company (electronically to the greatest extent possible), as reasonably requested by the Company, the work papers and back-up materials used in preparing the Aspen Net Cash Schedule and, if reasonably requested by the Company, Aspen’s accountants at reasonable times and upon reasonable notice. The Aspen Net Cash Calculation shall include Aspen’s determination, as of the Cash Determination Time, of the defined terms in </w:t>
      </w:r>
      <w:r>
        <w:rPr>
          <w:rFonts w:ascii="Times New Roman" w:hAnsi="Times New Roman"/>
          <w:sz w:val="20"/>
          <w:u w:val="single"/>
        </w:rPr>
        <w:t>Section 1.1(a)</w:t>
      </w:r>
      <w:r>
        <w:rPr>
          <w:rFonts w:ascii="Times New Roman" w:hAnsi="Times New Roman"/>
          <w:sz w:val="20"/>
        </w:rPr>
        <w:t xml:space="preserve"> necessary to calculate the Exchange Ratio. </w:t>
      </w:r>
    </w:p>
    <w:p>
      <w:pPr>
        <w:pStyle w:val="TextBody"/>
        <w:bidi w:val="0"/>
        <w:spacing w:before="240" w:after="0"/>
        <w:jc w:val="left"/>
        <w:rPr>
          <w:rFonts w:ascii="Times New Roman" w:hAnsi="Times New Roman"/>
          <w:sz w:val="20"/>
        </w:rPr>
      </w:pPr>
      <w:r>
        <w:rPr>
          <w:rFonts w:ascii="Times New Roman" w:hAnsi="Times New Roman"/>
          <w:sz w:val="20"/>
        </w:rPr>
        <w:t>(b) No later than three (3) Business Days after the Cash Determination Time (the last day of such period, the “</w:t>
      </w:r>
      <w:r>
        <w:rPr>
          <w:rFonts w:ascii="Times New Roman" w:hAnsi="Times New Roman"/>
          <w:b/>
          <w:sz w:val="20"/>
        </w:rPr>
        <w:t>Response Date</w:t>
      </w:r>
      <w:r>
        <w:rPr>
          <w:rFonts w:ascii="Times New Roman" w:hAnsi="Times New Roman"/>
          <w:sz w:val="20"/>
        </w:rPr>
        <w:t>”), the Company shall have the right to dispute any part of the Aspen Net Cash Calculation by delivering a written notice to that effect to Aspen (a “</w:t>
      </w:r>
      <w:r>
        <w:rPr>
          <w:rFonts w:ascii="Times New Roman" w:hAnsi="Times New Roman"/>
          <w:b/>
          <w:sz w:val="20"/>
        </w:rPr>
        <w:t>Dispute Notice</w:t>
      </w:r>
      <w:r>
        <w:rPr>
          <w:rFonts w:ascii="Times New Roman" w:hAnsi="Times New Roman"/>
          <w:sz w:val="20"/>
        </w:rPr>
        <w:t xml:space="preserve">”). Any Dispute Notice shall identify in reasonable detail and to the extent known the nature and amounts of any proposed revisions to the Aspen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(c) If, on or prior to the Response Date, the Company notifies Aspen in writing that it has no objections to the Aspen Net Cash Calculation or, if on the Response Date, the Company fails to deliver a Dispute Notice as provided in </w:t>
      </w:r>
      <w:r>
        <w:rPr>
          <w:rFonts w:ascii="Times New Roman" w:hAnsi="Times New Roman"/>
          <w:sz w:val="20"/>
          <w:u w:val="single"/>
        </w:rPr>
        <w:t>Section 2.9(b)</w:t>
      </w:r>
      <w:r>
        <w:rPr>
          <w:rFonts w:ascii="Times New Roman" w:hAnsi="Times New Roman"/>
          <w:sz w:val="20"/>
        </w:rPr>
        <w:t xml:space="preserve">, then the Aspen Net Cash Calculation as set forth in the Aspen Net Cash Schedule shall be deemed to have been finally determined for purposes of this Agreement and to represent the Aspen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delivers a Dispute Notice on or prior to the Response Date, then Representatives of Aspen and the Company shall promptly meet and attempt in good faith to resolve the disputed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item(s) and negotiate an agreed-upon determination of Aspen Net Cash, which agreed upon the Aspen Net Cash amount shall be deemed to have been finally determined for purposes of this Agreement and to represent the Aspen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Representatives of Aspen and the Company are unable to negotiate an agreed-upon determination of Aspen Net Cash as of the Cash Determination Time pursuant to </w:t>
      </w:r>
      <w:r>
        <w:rPr>
          <w:rFonts w:ascii="Times New Roman" w:hAnsi="Times New Roman"/>
          <w:sz w:val="20"/>
          <w:u w:val="single"/>
        </w:rPr>
        <w:t>Section 2.9(d)</w:t>
      </w:r>
      <w:r>
        <w:rPr>
          <w:rFonts w:ascii="Times New Roman" w:hAnsi="Times New Roman"/>
          <w:sz w:val="20"/>
        </w:rPr>
        <w:t xml:space="preserve"> within three (3) days after delivery of the Dispute Notice (or such other period as Aspen and the Company may mutually agree upon), then any remaining disagreements as to the calculation of Aspen Net Cash shall be referred to an independent auditor of recognized national standing jointly selected by Aspen and the Company. If the parties are unable to select an independent auditor within five (5) days, then either Aspen or the Company may thereafter request that the Boston, Massachusetts Office of the American Arbitration Association (“</w:t>
      </w:r>
      <w:r>
        <w:rPr>
          <w:rFonts w:ascii="Times New Roman" w:hAnsi="Times New Roman"/>
          <w:b/>
          <w:sz w:val="20"/>
        </w:rPr>
        <w:t>AAA</w:t>
      </w:r>
      <w:r>
        <w:rPr>
          <w:rFonts w:ascii="Times New Roman" w:hAnsi="Times New Roman"/>
          <w:sz w:val="20"/>
        </w:rPr>
        <w:t>”) make such selection (either the independent auditor jointly selected by both parties or such independent auditor selected by the AAA, the “</w:t>
      </w:r>
      <w:r>
        <w:rPr>
          <w:rFonts w:ascii="Times New Roman" w:hAnsi="Times New Roman"/>
          <w:b/>
          <w:sz w:val="20"/>
        </w:rPr>
        <w:t>Accounting Firm</w:t>
      </w:r>
      <w:r>
        <w:rPr>
          <w:rFonts w:ascii="Times New Roman" w:hAnsi="Times New Roman"/>
          <w:sz w:val="20"/>
        </w:rPr>
        <w:t xml:space="preserve">”). Aspen and the Company shall promptly deliver to the Accounting Firm the work papers and back-up materials used in preparing the Aspen Net Cash Schedule and the Dispute Notice, and Aspen and the Company shall use commercially reasonable efforts to cause the Accounting Firm to make its determination within five (5) Business Days of accepting its selection. Aspen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Aspen and the Company. The determination of the Accounting Firm shall be limited to the disagreements submitted to the Accounting Firm. The determination of the amount of Aspen Net Cash made by the Accounting Firm shall be made in writing delivered to each of Aspen and the Company, shall be final and binding on Aspen and the Company and shall (absent manifest error) be deemed to have been finally determined for purposes of this Agreement and to represent the Aspen Net Cash at the Cash Determination Time for purposes of this Agreement. The Parties shall delay the Closing until the resolution of the matters described in this </w:t>
      </w:r>
      <w:r>
        <w:rPr>
          <w:rFonts w:ascii="Times New Roman" w:hAnsi="Times New Roman"/>
          <w:sz w:val="20"/>
          <w:u w:val="single"/>
        </w:rPr>
        <w:t>Section 2.9(e)</w:t>
      </w:r>
      <w:r>
        <w:rPr>
          <w:rFonts w:ascii="Times New Roman" w:hAnsi="Times New Roman"/>
          <w:sz w:val="20"/>
        </w:rPr>
        <w:t xml:space="preserve">. The fees and expenses of the Accounting Firm shall be allocated between Aspen and the Company in the same proportion that the disputed amount of the Aspen Net Cash that was unsuccessfully disputed by such Party (as finally determined by the Accounting Firm) bears to the total disputed amount of the Aspen Net Cash amount. If this </w:t>
      </w:r>
      <w:r>
        <w:rPr>
          <w:rFonts w:ascii="Times New Roman" w:hAnsi="Times New Roman"/>
          <w:sz w:val="20"/>
          <w:u w:val="single"/>
        </w:rPr>
        <w:t>Section 2.9(e)</w:t>
      </w:r>
      <w:r>
        <w:rPr>
          <w:rFonts w:ascii="Times New Roman" w:hAnsi="Times New Roman"/>
          <w:sz w:val="20"/>
        </w:rPr>
        <w:t xml:space="preserve"> applies as to the determination of the Aspen Net Cash at the Cash Determination Time, upon resolution of the matter in accordance with this </w:t>
      </w:r>
      <w:r>
        <w:rPr>
          <w:rFonts w:ascii="Times New Roman" w:hAnsi="Times New Roman"/>
          <w:sz w:val="20"/>
          <w:u w:val="single"/>
        </w:rPr>
        <w:t>Section 2.9(e)</w:t>
      </w:r>
      <w:r>
        <w:rPr>
          <w:rFonts w:ascii="Times New Roman" w:hAnsi="Times New Roman"/>
          <w:sz w:val="20"/>
        </w:rPr>
        <w:t xml:space="preserve">, the Parties shall not be required to determine Aspen Net Cash again even though the Closing may occur later than the Anticipated Closing Date, except that either Aspen and the Company may request a redetermination of Aspen Net Cash if the Closing Date is more than thirty (30) days after the Anticipated Closing Date. </w:t>
      </w:r>
    </w:p>
    <w:p>
      <w:pPr>
        <w:pStyle w:val="TextBody"/>
        <w:bidi w:val="0"/>
        <w:spacing w:before="240" w:after="0"/>
        <w:jc w:val="left"/>
        <w:rPr>
          <w:rFonts w:ascii="Times New Roman" w:hAnsi="Times New Roman"/>
          <w:sz w:val="20"/>
        </w:rPr>
      </w:pPr>
      <w:bookmarkStart w:id="212" w:name="annxa770053_14"/>
      <w:bookmarkEnd w:id="212"/>
      <w:r>
        <w:rPr>
          <w:rFonts w:ascii="Times New Roman" w:hAnsi="Times New Roman"/>
          <w:sz w:val="20"/>
        </w:rPr>
        <w:t xml:space="preserve">2.10 </w:t>
      </w:r>
      <w:r>
        <w:rPr>
          <w:rFonts w:ascii="Times New Roman" w:hAnsi="Times New Roman"/>
          <w:sz w:val="20"/>
          <w:u w:val="single"/>
        </w:rPr>
        <w:t>Further Action</w:t>
      </w:r>
      <w:r>
        <w:rPr>
          <w:rFonts w:ascii="Times New Roman" w:hAnsi="Times New Roman"/>
          <w:sz w:val="20"/>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 </w:t>
      </w:r>
    </w:p>
    <w:p>
      <w:pPr>
        <w:pStyle w:val="TextBody"/>
        <w:bidi w:val="0"/>
        <w:spacing w:before="240" w:after="0"/>
        <w:jc w:val="left"/>
        <w:rPr>
          <w:rFonts w:ascii="Times New Roman" w:hAnsi="Times New Roman"/>
          <w:sz w:val="20"/>
        </w:rPr>
      </w:pPr>
      <w:bookmarkStart w:id="213" w:name="annxa770053_15"/>
      <w:bookmarkEnd w:id="213"/>
      <w:r>
        <w:rPr>
          <w:rFonts w:ascii="Times New Roman" w:hAnsi="Times New Roman"/>
          <w:sz w:val="20"/>
        </w:rPr>
        <w:t xml:space="preserve">2.11 </w:t>
      </w:r>
      <w:r>
        <w:rPr>
          <w:rFonts w:ascii="Times New Roman" w:hAnsi="Times New Roman"/>
          <w:sz w:val="20"/>
          <w:u w:val="single"/>
        </w:rPr>
        <w:t>Intended Tax Treatment</w:t>
      </w:r>
      <w:r>
        <w:rPr>
          <w:rFonts w:ascii="Times New Roman" w:hAnsi="Times New Roman"/>
          <w:sz w:val="20"/>
        </w:rPr>
        <w:t>. The Parties acknowledge and agree that, for U.S. federal (and applicable state and local) income Tax purposes, (i) the Merger is intended to qualify as a reorganization within the meaning of Section 368(a) of the Code and the Treasury Regulations thereunder to which Aspen and the Company are parties under Section 368(b) of the Code, and (ii) this Agreement constitutes, and the Parties hereby adopt this Agreement as, a “plan of reorganization” within the meaning of Treasury Regulations Sections 1.368-2(g) and 1.368-3 for purposes of Sections 354, 361 and 368 of the Code (collectively, the “</w:t>
      </w:r>
      <w:r>
        <w:rPr>
          <w:rFonts w:ascii="Times New Roman" w:hAnsi="Times New Roman"/>
          <w:b/>
          <w:sz w:val="20"/>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4" w:name="annxa770053_16"/>
      <w:bookmarkEnd w:id="214"/>
      <w:r>
        <w:rPr>
          <w:rFonts w:ascii="Times New Roman" w:hAnsi="Times New Roman"/>
          <w:sz w:val="20"/>
        </w:rPr>
        <w:t xml:space="preserve">2.12 </w:t>
      </w:r>
      <w:r>
        <w:rPr>
          <w:rFonts w:ascii="Times New Roman" w:hAnsi="Times New Roman"/>
          <w:sz w:val="20"/>
          <w:u w:val="single"/>
        </w:rPr>
        <w:t>Withholding</w:t>
      </w:r>
      <w:r>
        <w:rPr>
          <w:rFonts w:ascii="Times New Roman" w:hAnsi="Times New Roman"/>
          <w:sz w:val="20"/>
        </w:rPr>
        <w:t xml:space="preserve">. Each of the Exchange Agent, Aspen and the Surviving Corporation, as applicable, shall be entitled to deduct and withhold from any consideration deliverable pursuant to this Agreement (including the Closing Distribution) to any Person such amounts as it is required to deduct or withhold from such consideration under applicable Law. To the extent such amounts are so deducted or withheld and remitted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appropriate Governmental Authority in accordance with applicable Law, such amounts shall be treated for all purposes under this Agreement as having been paid to the Person to whom such amounts would otherwise have been paid. </w:t>
      </w:r>
    </w:p>
    <w:p>
      <w:pPr>
        <w:pStyle w:val="TextBody"/>
        <w:bidi w:val="0"/>
        <w:spacing w:before="240" w:after="0"/>
        <w:jc w:val="left"/>
        <w:rPr>
          <w:rFonts w:ascii="Times New Roman" w:hAnsi="Times New Roman"/>
          <w:sz w:val="20"/>
        </w:rPr>
      </w:pPr>
      <w:bookmarkStart w:id="215" w:name="annxa770053_17"/>
      <w:bookmarkEnd w:id="215"/>
      <w:r>
        <w:rPr>
          <w:rFonts w:ascii="Times New Roman" w:hAnsi="Times New Roman"/>
          <w:sz w:val="20"/>
        </w:rPr>
        <w:t xml:space="preserve">2.13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hAnsi="Times New Roman"/>
          <w:b/>
          <w:sz w:val="20"/>
        </w:rPr>
        <w:t>Dissenting Shares</w:t>
      </w:r>
      <w:r>
        <w:rPr>
          <w:rFonts w:ascii="Times New Roman" w:hAnsi="Times New Roman"/>
          <w:sz w:val="20"/>
        </w:rPr>
        <w:t xml:space="preserve">”) shall not be converted into or represent the right to receive the Merger Consideration described in </w:t>
      </w:r>
      <w:r>
        <w:rPr>
          <w:rFonts w:ascii="Times New Roman" w:hAnsi="Times New Roman"/>
          <w:sz w:val="20"/>
          <w:u w:val="single"/>
        </w:rPr>
        <w:t>Section 2.5</w:t>
      </w:r>
      <w:r>
        <w:rPr>
          <w:rFonts w:ascii="Times New Roman" w:hAnsi="Times New Roman"/>
          <w:sz w:val="20"/>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Sections 2.5</w:t>
      </w:r>
      <w:r>
        <w:rPr>
          <w:rFonts w:ascii="Times New Roman" w:hAnsi="Times New Roman"/>
          <w:sz w:val="20"/>
        </w:rPr>
        <w:t xml:space="preserve"> and </w:t>
      </w:r>
      <w:r>
        <w:rPr>
          <w:rFonts w:ascii="Times New Roman" w:hAnsi="Times New Roman"/>
          <w:sz w:val="20"/>
          <w:u w:val="single"/>
        </w:rPr>
        <w:t>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Aspen prompt written notice of any demands by dissenting stockholders received by the Company, withdrawals of such demands and any other instruments served on the Company and any material correspondence received by the Company in connection with such demands, and Aspen shall have the right to participate in all negotiations and proceedings with respect to such demands. The Company shall not, except with Aspen’s prior written consent, not to be unreasonably withheld, delayed or conditioned,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bookmarkStart w:id="216" w:name="annxa770053_18"/>
      <w:bookmarkEnd w:id="216"/>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3</w:t>
      </w:r>
      <w:r>
        <w:rPr>
          <w:rFonts w:ascii="Times New Roman" w:hAnsi="Times New Roman"/>
          <w:sz w:val="20"/>
        </w:rPr>
        <w:t>, except as set forth in the written disclosure schedule delivered by the Company to Aspen (the “</w:t>
      </w:r>
      <w:r>
        <w:rPr>
          <w:rFonts w:ascii="Times New Roman" w:hAnsi="Times New Roman"/>
          <w:b/>
          <w:sz w:val="20"/>
        </w:rPr>
        <w:t>Company Disclosure Schedule</w:t>
      </w:r>
      <w:r>
        <w:rPr>
          <w:rFonts w:ascii="Times New Roman" w:hAnsi="Times New Roman"/>
          <w:sz w:val="20"/>
        </w:rPr>
        <w:t xml:space="preserve">”), the Company represents and warrants to Aspen and Merger Sub as follows: </w:t>
      </w:r>
    </w:p>
    <w:p>
      <w:pPr>
        <w:pStyle w:val="TextBody"/>
        <w:bidi w:val="0"/>
        <w:spacing w:before="240" w:after="0"/>
        <w:jc w:val="left"/>
        <w:rPr>
          <w:rFonts w:ascii="Times New Roman" w:hAnsi="Times New Roman"/>
          <w:sz w:val="20"/>
        </w:rPr>
      </w:pPr>
      <w:bookmarkStart w:id="217" w:name="annxa770053_19"/>
      <w:bookmarkEnd w:id="217"/>
      <w:r>
        <w:rPr>
          <w:rFonts w:ascii="Times New Roman" w:hAnsi="Times New Roman"/>
          <w:sz w:val="20"/>
        </w:rPr>
        <w:t xml:space="preserve">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All of the Company’s Subsidiaries are wholly owned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 Subsidiaries and the Company does not own any capital stock or membership interests of, or any equity, ownership or profit sharing interest of any nature in, or controls 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218" w:name="annxa770053_20"/>
      <w:bookmarkEnd w:id="218"/>
      <w:r>
        <w:rPr>
          <w:rFonts w:ascii="Times New Roman" w:hAnsi="Times New Roman"/>
          <w:sz w:val="20"/>
        </w:rPr>
        <w:t xml:space="preserve">3.2 </w:t>
      </w:r>
      <w:r>
        <w:rPr>
          <w:rFonts w:ascii="Times New Roman" w:hAnsi="Times New Roman"/>
          <w:sz w:val="20"/>
          <w:u w:val="single"/>
        </w:rPr>
        <w:t>Organizational Documents</w:t>
      </w:r>
      <w:r>
        <w:rPr>
          <w:rFonts w:ascii="Times New Roman" w:hAnsi="Times New Roman"/>
          <w:sz w:val="20"/>
        </w:rPr>
        <w:t xml:space="preserve">. The Company has delivered to Aspen accurate and complete copies of the Organizational Documents of the Company. The Company is not in breach or violation of its Organizational Documents in any material respect. </w:t>
      </w:r>
    </w:p>
    <w:p>
      <w:pPr>
        <w:pStyle w:val="TextBody"/>
        <w:bidi w:val="0"/>
        <w:spacing w:before="240" w:after="0"/>
        <w:jc w:val="left"/>
        <w:rPr>
          <w:rFonts w:ascii="Times New Roman" w:hAnsi="Times New Roman"/>
          <w:sz w:val="20"/>
        </w:rPr>
      </w:pPr>
      <w:bookmarkStart w:id="219" w:name="annxa770053_21"/>
      <w:bookmarkEnd w:id="219"/>
      <w:r>
        <w:rPr>
          <w:rFonts w:ascii="Times New Roman" w:hAnsi="Times New Roman"/>
          <w:sz w:val="20"/>
        </w:rPr>
        <w:t xml:space="preserve">3.3 </w:t>
      </w:r>
      <w:r>
        <w:rPr>
          <w:rFonts w:ascii="Times New Roman" w:hAnsi="Times New Roman"/>
          <w:sz w:val="20"/>
          <w:u w:val="single"/>
        </w:rPr>
        <w:t>Authority; Binding Nature of Agreement</w:t>
      </w:r>
      <w:r>
        <w:rPr>
          <w:rFonts w:ascii="Times New Roman" w:hAnsi="Times New Roman"/>
          <w:b/>
          <w:sz w:val="20"/>
        </w:rPr>
        <w:t>.</w:t>
      </w:r>
      <w:r>
        <w:rPr>
          <w:rFonts w:ascii="Times New Roman" w:hAnsi="Times New Roman"/>
          <w:sz w:val="20"/>
        </w:rPr>
        <w:t xml:space="preserve"> Subject to obtaining the Required Company Stockholder Vote, the Company has all necessary corporate power and authority to enter into and to perform its obligations under this Agreement and to consummate the Contemplated Transactions that are contemplated to be consummated by it.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Aspen and Merger Sub,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bookmarkStart w:id="220" w:name="annxa770053_22"/>
      <w:bookmarkEnd w:id="220"/>
      <w:r>
        <w:rPr>
          <w:rFonts w:ascii="Times New Roman" w:hAnsi="Times New Roman"/>
          <w:sz w:val="20"/>
        </w:rPr>
        <w:t xml:space="preserve">3.4 </w:t>
      </w:r>
      <w:r>
        <w:rPr>
          <w:rFonts w:ascii="Times New Roman" w:hAnsi="Times New Roman"/>
          <w:sz w:val="20"/>
          <w:u w:val="single"/>
        </w:rPr>
        <w:t>Vote Required</w:t>
      </w:r>
      <w:r>
        <w:rPr>
          <w:rFonts w:ascii="Times New Roman" w:hAnsi="Times New Roman"/>
          <w:sz w:val="20"/>
        </w:rPr>
        <w:t>. The written consent or affirmative vote of (i) a majority of shares of Company Common Stock and Voting Preferred Stock (as defined in the Company’s Amended and Restated Certificate of Incorporation), voting together as a single class and on an as-converted to Company Common Stock basis, (ii) holders of a majority of the shares of the Company’s Series A-1 Preferred Stock, Series A-3 Preferred Stock and Series A-4 Preferred Stock voting together with the holders of Company Common Stock as a single class and on an as-converted to Company Common Stock basis, (iii) holders of a majority of the shares of the Company’s Series A-1 Preferred Stock, Series A-3 Preferred Stock and Series A-4 Preferred Stock voting together as a single class and on an as-converted to Company Common Stock basis, are the only votes of the holders of any class or series of Company Capital Stock necessary to adopt and approve this Agreement and approve the Contemplated Transactions (collectively, the “</w:t>
      </w:r>
      <w:r>
        <w:rPr>
          <w:rFonts w:ascii="Times New Roman" w:hAnsi="Times New Roman"/>
          <w:b/>
          <w:sz w:val="20"/>
        </w:rPr>
        <w:t>Required Company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21" w:name="annxa770053_23"/>
      <w:bookmarkEnd w:id="221"/>
      <w:r>
        <w:rPr>
          <w:rFonts w:ascii="Times New Roman" w:hAnsi="Times New Roman"/>
          <w:sz w:val="20"/>
        </w:rPr>
        <w:t xml:space="preserve">3.5 </w:t>
      </w:r>
      <w:r>
        <w:rPr>
          <w:rFonts w:ascii="Times New Roman" w:hAnsi="Times New Roman"/>
          <w:sz w:val="20"/>
          <w:u w:val="single"/>
        </w:rPr>
        <w:t>Non-Contravention; Consents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Company’s Organizational Documents or the Company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by which the Company, or any of the assets owned or used by the Company,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(iv) cause a default (or an event that with notice or lapse of time or both would result in a default), give right to a right of termination, cancellation or acceleration of any obligation or loss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benefit of the Company or any of its Subsidiaries, or result in the creation of any Encumbrance (other than Permitted Encumbrances) upon any of the properties or assets of the Company or any of its Subsidiaries, in each case under any Company Material Contract and in each case except as would not be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Company Stockholder Vote, (ii) the filing of the Certificate of Merger with the Secretary of State of Delaware pursuant to the DGCL, and (iii) such consents, waivers, approvals, orders authorizations, registrations, declarations and filings as may be required under applicable federal and state securities laws, the Company was not, is not, nor will be required to make any filing with or give any notice to, or to obtain any Consent from, any Person in connection with (x) the execution, delivery or performance of this Agreement or (y) the consummation of the Contemplated Transactions (in each case except under Company Contracts that are not Company Material Contracts, and in the case of such filings, notices or Consents under Company Material Contracts, except as the failure to make such filing, give such notice or obtain such Consent would not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Board has taken and will take all actions necessary to ensure that the restrictions applicable to business combinations contained in Section 203 of the DGCL, to the extent applicable to the Company,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 </w:t>
      </w:r>
    </w:p>
    <w:p>
      <w:pPr>
        <w:pStyle w:val="TextBody"/>
        <w:bidi w:val="0"/>
        <w:spacing w:before="240" w:after="0"/>
        <w:jc w:val="left"/>
        <w:rPr>
          <w:rFonts w:ascii="Times New Roman" w:hAnsi="Times New Roman"/>
          <w:sz w:val="20"/>
        </w:rPr>
      </w:pPr>
      <w:bookmarkStart w:id="222" w:name="annxa770053_24"/>
      <w:bookmarkEnd w:id="222"/>
      <w:r>
        <w:rPr>
          <w:rFonts w:ascii="Times New Roman" w:hAnsi="Times New Roman"/>
          <w:sz w:val="20"/>
        </w:rPr>
        <w:t xml:space="preserve">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 authorized capital of the Company consists of: </w:t>
      </w:r>
    </w:p>
    <w:p>
      <w:pPr>
        <w:pStyle w:val="TextBody"/>
        <w:bidi w:val="0"/>
        <w:spacing w:before="120" w:after="0"/>
        <w:jc w:val="left"/>
        <w:rPr>
          <w:rFonts w:ascii="Times New Roman" w:hAnsi="Times New Roman"/>
          <w:sz w:val="20"/>
        </w:rPr>
      </w:pPr>
      <w:r>
        <w:rPr>
          <w:rFonts w:ascii="Times New Roman" w:hAnsi="Times New Roman"/>
          <w:sz w:val="20"/>
        </w:rPr>
        <w:t xml:space="preserve">(i) 11,947,558 shares of Company Common Stock, 2,634,714 shares of which are issued and outstanding as of the date hereof, 43,174 shares of which are Company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(ii) 6,825,483 shares of Company Preferred Stock, of which (A) 4,118,120 shares have been designated Series A-1 Preferred Stock, all of which are issued and outstanding as of the date hereof, (B) 1,649,188 shares have been designated Series A-2 Preferred Stock, all of which are issued and outstanding as of the date hereof, (C) 696,516 shares have been designated Series A-3 Preferred Stock, all of which are issued and outstanding as of the date hereof, and (D) 361,659 shares have been designated Series A-4 Preferred Stock, all of which are issued and outstanding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(iii) 1,991,264 shares of Company Common Stock which the Company has reserved for issuance to officers, directors, employees and consultants of the Company pursuant to the Company’s 2019 Equity Incentive Plan. Of such reserved shares of Common Stock, no shares have been issued pursuant to restricted stock purchase agreements, 1,830,965 options to purchase shares have been granted and are currently outstanding as of the date hereof, and 47,169 shares of Common Stock remain available for issuance to officers, directors, employees and consultants pursuant to the Stock Plan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Company Capital Stock as set out in </w:t>
      </w:r>
      <w:r>
        <w:rPr>
          <w:rFonts w:ascii="Times New Roman" w:hAnsi="Times New Roman"/>
          <w:sz w:val="20"/>
          <w:u w:val="single"/>
        </w:rPr>
        <w:t>Section 3.6(a)</w:t>
      </w:r>
      <w:r>
        <w:rPr>
          <w:rFonts w:ascii="Times New Roman" w:hAnsi="Times New Roman"/>
          <w:sz w:val="20"/>
        </w:rPr>
        <w:t xml:space="preserve">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Each share of Company Preferred Stock and each Company SAFE will convert into shares of Company Common Stock in the Company Preferred Stock Conversion and Company SAFEs Conversion (as applicable) on a one-for-one basis. Except as contemplated herein, there is no Company Contract relating to the voting or registration of, or restricting any Person from purchasing, selling, pledging or otherwise disposing of (or granting any option or similar right with respect to), any Company Capital Stock.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is not under any obligation, nor is it bound by any Contract pursuant to which it may become obligated, to repurchase, redeem or otherwise acquire any outstanding Company Capital Stock or other securities. </w:t>
      </w:r>
      <w:r>
        <w:rPr>
          <w:rFonts w:ascii="Times New Roman" w:hAnsi="Times New Roman"/>
          <w:sz w:val="20"/>
          <w:u w:val="single"/>
        </w:rPr>
        <w:t>Section 3.6(b)</w:t>
      </w:r>
      <w:r>
        <w:rPr>
          <w:rFonts w:ascii="Times New Roman" w:hAnsi="Times New Roman"/>
          <w:sz w:val="20"/>
        </w:rPr>
        <w:t xml:space="preserve"> of the Company Disclosure Schedule accurately and completely lists all repurchase rights held by the Company with respect to Company Capital Stock (including shares issued pursuant to the exercise of options) and specifies which of those repurchase rights are currently exercisable. As of the date hereof, no Company Convertible Notes other than the Company SAFEs, no Company Warrants and no Company Restricted Stock Units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3.6(c)</w:t>
      </w:r>
      <w:r>
        <w:rPr>
          <w:rFonts w:ascii="Times New Roman" w:hAnsi="Times New Roman"/>
          <w:sz w:val="20"/>
        </w:rPr>
        <w:t xml:space="preserve"> of the Company Disclosure Schedule, the Company does not have any option plan or any other plan, program, agreement or arrangement providing for an equity-based compensation for any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w:t>
      </w:r>
      <w:r>
        <w:rPr>
          <w:rFonts w:ascii="Times New Roman" w:hAnsi="Times New Roman"/>
          <w:sz w:val="20"/>
          <w:u w:val="single"/>
        </w:rPr>
        <w:t>Section 3.6(d)</w:t>
      </w:r>
      <w:r>
        <w:rPr>
          <w:rFonts w:ascii="Times New Roman" w:hAnsi="Times New Roman"/>
          <w:sz w:val="20"/>
        </w:rPr>
        <w:t xml:space="preserve"> of the Company Disclosure Schedule,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Company Capital Stock and other securities of the Company have been issued and granted in material compliance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Capital Stock are uncertificated. </w:t>
      </w:r>
    </w:p>
    <w:p>
      <w:pPr>
        <w:pStyle w:val="TextBody"/>
        <w:bidi w:val="0"/>
        <w:spacing w:before="240" w:after="0"/>
        <w:jc w:val="left"/>
        <w:rPr>
          <w:rFonts w:ascii="Times New Roman" w:hAnsi="Times New Roman"/>
          <w:sz w:val="20"/>
        </w:rPr>
      </w:pPr>
      <w:bookmarkStart w:id="223" w:name="annxa770053_25"/>
      <w:bookmarkEnd w:id="223"/>
      <w:r>
        <w:rPr>
          <w:rFonts w:ascii="Times New Roman" w:hAnsi="Times New Roman"/>
          <w:sz w:val="20"/>
        </w:rPr>
        <w:t xml:space="preserve">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Section 3.7(a) of the Company Disclosure Schedule includes true and complete copies of the Company’s (i) consolidated audited balance sheets and related audited statements of operations, changes in statements of convertible preferred stock and stockholders’ deficit and cash flows, and notes thereto for the twelve (12) months ended December 31, 2022 (the “</w:t>
      </w:r>
      <w:r>
        <w:rPr>
          <w:rFonts w:ascii="Times New Roman" w:hAnsi="Times New Roman"/>
          <w:b/>
          <w:sz w:val="20"/>
        </w:rPr>
        <w:t>Company Financials</w:t>
      </w:r>
      <w:r>
        <w:rPr>
          <w:rFonts w:ascii="Times New Roman" w:hAnsi="Times New Roman"/>
          <w:sz w:val="20"/>
        </w:rPr>
        <w:t>”) and December 31, 2021 and (ii) consolidated unaudited balance sheets and related unaudited statements of operations, changes in statements of convertible preferred stock and stockholders’ deficit and cash flows, and notes thereto for the nine (9) months ended, September 30, 2022, September 30, 2023 (collectively, the “</w:t>
      </w:r>
      <w:r>
        <w:rPr>
          <w:rFonts w:ascii="Times New Roman" w:hAnsi="Times New Roman"/>
          <w:b/>
          <w:sz w:val="20"/>
        </w:rPr>
        <w:t>Interim Company Financials</w:t>
      </w:r>
      <w:r>
        <w:rPr>
          <w:rFonts w:ascii="Times New Roman" w:hAnsi="Times New Roman"/>
          <w:sz w:val="20"/>
        </w:rPr>
        <w:t>”). The Company Financials (A) were prepared in accordance with United States generally accepted accounting principles (“</w:t>
      </w:r>
      <w:r>
        <w:rPr>
          <w:rFonts w:ascii="Times New Roman" w:hAnsi="Times New Roman"/>
          <w:b/>
          <w:sz w:val="20"/>
        </w:rPr>
        <w:t>GAAP</w:t>
      </w:r>
      <w:r>
        <w:rPr>
          <w:rFonts w:ascii="Times New Roman" w:hAnsi="Times New Roman"/>
          <w:sz w:val="20"/>
        </w:rPr>
        <w:t xml:space="preserve">”) (except that the Company Financials may not have notes thereto and other presentation items that may be required by GAAP and are subject to normal and recurring year-end adjustments that are not reasonably expected to be material in amount) applied on a consistent basis unless otherwise noted therein throughout the periods indicated and (B) fairly present, in all material respects, the financial position and operating results of the Company as of the dates and for the periods indicated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consistent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practices of similarly situated private companies, internal controls over financial reporting that provides reasonable assurance regarding the reliability of financial reporting and the preparation of financial statements for external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3.7(c)</w:t>
      </w:r>
      <w:r>
        <w:rPr>
          <w:rFonts w:ascii="Times New Roman" w:hAnsi="Times New Roman"/>
          <w:sz w:val="20"/>
        </w:rPr>
        <w:t xml:space="preserve"> of the Company Disclosure Schedule lists, and the Company has delivered to Aspen accurate and complete copies of the documentation creating or governing, all securitization transactions and off-balance sheet arrangements” (as defined in Item 2.03 of Form 8-K under the Exchange Act) effected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224" w:name="annxa770053_26"/>
      <w:bookmarkEnd w:id="224"/>
      <w:r>
        <w:rPr>
          <w:rFonts w:ascii="Times New Roman" w:hAnsi="Times New Roman"/>
          <w:sz w:val="20"/>
        </w:rPr>
        <w:t xml:space="preserve">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Company Disclosure Schedule, between December 31, 2022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Aspen pursuant to </w:t>
      </w:r>
      <w:r>
        <w:rPr>
          <w:rFonts w:ascii="Times New Roman" w:hAnsi="Times New Roman"/>
          <w:sz w:val="20"/>
          <w:u w:val="single"/>
        </w:rPr>
        <w:t>Section 5.2(b)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225" w:name="annxa770053_27"/>
      <w:bookmarkEnd w:id="225"/>
      <w:r>
        <w:rPr>
          <w:rFonts w:ascii="Times New Roman" w:hAnsi="Times New Roman"/>
          <w:sz w:val="20"/>
        </w:rPr>
        <w:t xml:space="preserve">3.9 </w:t>
      </w:r>
      <w:r>
        <w:rPr>
          <w:rFonts w:ascii="Times New Roman" w:hAnsi="Times New Roman"/>
          <w:sz w:val="20"/>
          <w:u w:val="single"/>
        </w:rPr>
        <w:t>Absence of Undisclosed Liabilities</w:t>
      </w:r>
      <w:r>
        <w:rPr>
          <w:rFonts w:ascii="Times New Roman" w:hAnsi="Times New Roman"/>
          <w:sz w:val="20"/>
        </w:rPr>
        <w:t xml:space="preserve">. Since December 31, 2022, the Company and its Subsidiaries do not have any liability, indebtedness, obligation, expense, claim, deficiency, guaranty or endorsement of any kind, whether accrued, absolute, contingent, matured, unmatured or otherwise (each a “Liability”), in each case, of a type required to be reflected or reserved for on a balance sheet prepared in accordance with GAAP, except for (i) Liabilities or obligations specifically disclosed, reflected or reserved against in the Company Financials; (ii) Liabilities incurred in the Ordinary Course of Business since the date of the Company Financials; (iii) Liabilities to perform under Contracts entered into by the Company or its Subsidiaries (none of which is a Liability for breach of contract, breach of warranty, tort, infringement, violation of Law, or that relates to any lawsuit); (iv) Liabilities incurred in connection with the Contemplated Transactions; and (v) Liabilities that would not be reasonably expected to have, individually or in the aggregate, a Company Material Adverse Effect. </w:t>
      </w:r>
    </w:p>
    <w:p>
      <w:pPr>
        <w:pStyle w:val="TextBody"/>
        <w:bidi w:val="0"/>
        <w:spacing w:before="240" w:after="0"/>
        <w:jc w:val="left"/>
        <w:rPr>
          <w:rFonts w:ascii="Times New Roman" w:hAnsi="Times New Roman"/>
          <w:sz w:val="20"/>
        </w:rPr>
      </w:pPr>
      <w:bookmarkStart w:id="226" w:name="annxa770053_28"/>
      <w:bookmarkEnd w:id="226"/>
      <w:r>
        <w:rPr>
          <w:rFonts w:ascii="Times New Roman" w:hAnsi="Times New Roman"/>
          <w:sz w:val="20"/>
        </w:rPr>
        <w:t xml:space="preserve">3.10 </w:t>
      </w:r>
      <w:r>
        <w:rPr>
          <w:rFonts w:ascii="Times New Roman" w:hAnsi="Times New Roman"/>
          <w:sz w:val="20"/>
          <w:u w:val="single"/>
        </w:rPr>
        <w:t>Title to Assets</w:t>
      </w:r>
      <w:r>
        <w:rPr>
          <w:rFonts w:ascii="Times New Roman" w:hAnsi="Times New Roman"/>
          <w:sz w:val="20"/>
        </w:rPr>
        <w:t xml:space="preserve">. The Company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Company Financials and (b) all other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bookmarkStart w:id="227" w:name="annxa770053_29"/>
      <w:bookmarkEnd w:id="227"/>
      <w:r>
        <w:rPr>
          <w:rFonts w:ascii="Times New Roman" w:hAnsi="Times New Roman"/>
          <w:sz w:val="20"/>
        </w:rPr>
        <w:t xml:space="preserve">3.11 </w:t>
      </w:r>
      <w:r>
        <w:rPr>
          <w:rFonts w:ascii="Times New Roman" w:hAnsi="Times New Roman"/>
          <w:sz w:val="20"/>
          <w:u w:val="single"/>
        </w:rPr>
        <w:t>Real Property</w:t>
      </w:r>
      <w:r>
        <w:rPr>
          <w:rFonts w:ascii="Times New Roman" w:hAnsi="Times New Roman"/>
          <w:sz w:val="20"/>
        </w:rPr>
        <w:t>; Leasehold. The Company does not own and has never owned any real property. The Company has made available to Aspen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bidi w:val="0"/>
        <w:jc w:val="left"/>
        <w:rPr/>
      </w:pPr>
      <w:r>
        <w:rPr/>
      </w:r>
    </w:p>
    <w:p>
      <w:pPr>
        <w:pStyle w:val="TextBody"/>
        <w:bidi w:val="0"/>
        <w:spacing w:before="0" w:after="0"/>
        <w:jc w:val="left"/>
        <w:rPr>
          <w:rFonts w:ascii="Times New Roman" w:hAnsi="Times New Roman"/>
          <w:sz w:val="20"/>
        </w:rPr>
      </w:pPr>
      <w:bookmarkStart w:id="228" w:name="annxa770053_30"/>
      <w:bookmarkEnd w:id="228"/>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Schedule contains a true and complete list of all issued Patents, Marks and Copyrights included in the Company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hAnsi="Times New Roman"/>
          <w:b/>
          <w:sz w:val="20"/>
        </w:rPr>
        <w:t>Company Registered IP</w:t>
      </w:r>
      <w:r>
        <w:rPr>
          <w:rFonts w:ascii="Times New Roman" w:hAnsi="Times New Roman"/>
          <w:sz w:val="20"/>
        </w:rPr>
        <w:t xml:space="preserve">”), including, with respect to each such item, (i) the jurisdiction of application/registration, (ii) the application or registration number, (iii) the date of filing, or issuance or registration, and (iv) the record owner or owners, for each such item. Each material item of Company Registered IP, except for Patents, is subsisting, valid and enforceable. With respect to Patents, each material item of Company Registered IP is subsisting and, to the Knowledge of the Company, all issued Patents within the Company Registered IP are valid and enforceable. All filing, registration, maintenance, renewal and similar fees applicable to any Company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 interference, opposition, reissue, reexamination, or cancellation proceeding or other Legal Proceeding (other than routine ordinary course proceedings as part of patent prosecution) is pending or, to the Knowledge of the Company, threatened regarding any Company Intellectual Property, including with respect to the scope, validity, enforceability, registration, priority, inventorship or ownership of, or rights to,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All founders, key employees and any other employees, contractors, consultants or other personnel involved in the development of Company Owned Intellectual Property have signed confidentiality and invention assignment agreements or similar agreements for the transfer or assignment of such Company Owned Intellectual Property pursuant to which both (i) the Company has obtained ownership of and are the exclusive owners of all right, title and interest in and to such Company Owned Intellectual Property, and (ii) such personnel are bound by commercially reasonable confidentiality obligations with respect to all Company Intellectual Property. To the Knowledge of the Company, no such personnel are in violation of any such agreements, or of any agreements with any prior employer or other Person with respect to development of any Company Owned Intellectual Property,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Owned Intellectual Property is solely and exclusively owned by the Company free and clear of any Encumbrance, other than Permitted Encumbrances. To the Knowledge of the Company, except as would not reasonably be expected to have, individually or in the aggregate, a Company Material Adverse Effect, (i) the Company Exclusively Licensed Intellectual Property is solely and exclusively in-licensed by the Company, and (ii) the other Company Licensed Intellectual Property is in-licensed by the Company, in each case of the foregoing clauses (i) and (ii), free and clear of any Encumbrance, other than Permitted Encumbrances. Except as would not reasonably be expected to have, individually or in the aggregate, a Company Material Adverse Effect, such ownership or licenses will not be affected by the execution, delivery, or performance of this Agreement or the consummation of the Transactions, and all Intellectual Property subject thereto will be owned or in-licensed by the Company on the same terms and conditions thereafter. To the Knowledge of the Company, the Company owns or has a valid and enforceable license to use all material Intellectual Property necessary for, or used or held for use in, the operation of the business of the Company as presently conducted; provided that the foregoing is not, and shall not be construed as, a representation or warranty regarding non-infringement, misappropriation or other violation by the Company of the Intellectual Property of other Persons. To the Knowledge of the Company, no current or former director, officer, employee or contractor of, or consultant to, the Company owns or has any claim, right (whether or not currently exercisable) or interest (or, to the Knowledge of the Company, has alleged that they own or have any such claim, right or interest) to or in any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the Knowledge of the Company, the operation of the business of the Company does not infringe, misappropriate or otherwise violate, and has not infringed, misappropriated or otherwise violated, and the further research, development and commercialization of Company Products as currently planned by the Company will not infringe, misappropriate or otherwise violate, any Intellectual Property owned by any other Person, except as would not reasonably be expected to have, individually or in the aggregate, a Company Material Adverse Effect. As of the date hereof, neither the Company, nor, to the Knowledge of Company, any of the licensors of the Company, has received any notice or claim alleging any such infringement, misappropriation or other violation, including any so-called “invitation to license” letter. As of the date hereof, no Legal Proceeding, is pending or, to the Knowledge of the Company, has been threatened, against the Company or such licensors relating to any infringement, misappropriation or other violation of any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Company Owned Intellectual Property is subject to any Order as of the date hereof, neither the Company nor, to the Knowledge of the Company, any of its licensors has entered into or is a party to any agreement made in settlement of any pending litigation or other Legal Proceeding, which in any case restricts, impairs or relates to the Company’s use or other exploitation in any manner of any Company Intellectual Property or of any other Intellectual Property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 Person is infringing, misappropriating or otherwise violating, or has infringed, misappropriated or otherwise violated, any Company Intellectual Property, and no Legal Proceeding has been asserted or is pending or has been threatened against any Person alleging any such infringement, misappropriation or other violation of any Company Intellectual Property,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taken commercially reasonable steps necessary to maintain and protect the secrecy and confidentiality (including limitations on use) of all Trade Secrets and other confidential information included in the Company Intellectual Property and, to the Knowledge of the Company, there has not been any unauthorized use, disclosure of or access to any such Trade Secrets or other confidential information,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3.12(i)</w:t>
      </w:r>
      <w:r>
        <w:rPr>
          <w:rFonts w:ascii="Times New Roman" w:hAnsi="Times New Roman"/>
          <w:sz w:val="20"/>
        </w:rPr>
        <w:t xml:space="preserve"> of the Company Disclosure Schedule contains a true and complete list of any and all material Company Intellectual Property that was created, developed or reduced to practice, or is being created, developed or reduced to practice, (i) pursuant to, or in connection with, any Company Contract with any Governmental Authority or Governmental Authority-affiliated Entity, or any university, college or other educational institution or research institute, or (ii) to the Knowledge of the Company, using any funding, facilities or personnel of any Governmental Authority or Governmental Authority-affiliated Entity, or any university, college or other educational institution or research institute (collectively, “</w:t>
      </w:r>
      <w:r>
        <w:rPr>
          <w:rFonts w:ascii="Times New Roman" w:hAnsi="Times New Roman"/>
          <w:b/>
          <w:sz w:val="20"/>
        </w:rPr>
        <w:t>Government Funded IP</w:t>
      </w:r>
      <w:r>
        <w:rPr>
          <w:rFonts w:ascii="Times New Roman" w:hAnsi="Times New Roman"/>
          <w:sz w:val="20"/>
        </w:rPr>
        <w:t xml:space="preserve">”). The Company, and, to the Knowledge of the Company, each of its licensors with respect to any Government Funded IP, have complied with any and all any Intellectual Property disclosure, licensing and other obligations under any applicable Company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the Company, each item of Company Intellectual Property that is Company Registered IP owned by the Company is and at all times has been filed and maintained in compliance with all applicable Law and all filings, payments, and other actions required to be made or taken to maintain such item of Company Registered IP in full force and effect have been made by the applicable deadline,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(k) Except as contained in license, distribution and service agreements entered into in the ordinary course of business by Company (i) the Company is not bound by any Company Contract to indemnify, defend, hold harmless, or reimburse any other Person with respect to any infringement, misappropriation,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 relating to Intellectual Property that is material to the Company, taken as a whole and (ii) the Company has not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Company has delivered or made available to Aspen, a complete and accurate copy of all Company Inbound Licenses and all Company Outbound Licenses. With respect to each of the material Company Inbound Licenses and Company Outbound Licenses: (i) to the Knowledge of the Company, each such agreement is valid, binding on, enforceable against the Company, in accordance with its terms, subject to the Enforceability Exceptions, (ii) the Company has not received any written notice of termination or cancellation under such agreement, or received any written notice of breach or default under such agreement, which breach has not been cured or waived and (iii) neither the Company nor to the Knowledge of the Company, no other party to any such agreement, is in breach or default thereof in any material respect. </w:t>
      </w:r>
    </w:p>
    <w:p>
      <w:pPr>
        <w:pStyle w:val="TextBody"/>
        <w:bidi w:val="0"/>
        <w:spacing w:before="240" w:after="0"/>
        <w:jc w:val="left"/>
        <w:rPr>
          <w:rFonts w:ascii="Times New Roman" w:hAnsi="Times New Roman"/>
          <w:sz w:val="20"/>
        </w:rPr>
      </w:pPr>
      <w:bookmarkStart w:id="229" w:name="annxa770053_31"/>
      <w:bookmarkEnd w:id="229"/>
      <w:r>
        <w:rPr>
          <w:rFonts w:ascii="Times New Roman" w:hAnsi="Times New Roman"/>
          <w:sz w:val="20"/>
        </w:rPr>
        <w:t xml:space="preserve">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Schedule identifies each of the following types of Company Contracts that is in effect as of the date of this Agreement, other than Company Employee Plans and the definitive agreements in respect of the Contemplated Transactions (each, a “</w:t>
      </w:r>
      <w:r>
        <w:rPr>
          <w:rFonts w:ascii="Times New Roman" w:hAnsi="Times New Roman"/>
          <w:b/>
          <w:sz w:val="20"/>
        </w:rPr>
        <w:t>Company Material Contract</w:t>
      </w:r>
      <w:r>
        <w:rPr>
          <w:rFonts w:ascii="Times New Roman" w:hAnsi="Times New Roman"/>
          <w:sz w:val="20"/>
        </w:rPr>
        <w:t>” and collectively, the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constitute Company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(ii) that relates to any material bonus, deferred compensation, or severance plans or arrangements; </w:t>
      </w:r>
    </w:p>
    <w:p>
      <w:pPr>
        <w:pStyle w:val="TextBody"/>
        <w:bidi w:val="0"/>
        <w:spacing w:before="120" w:after="0"/>
        <w:jc w:val="left"/>
        <w:rPr>
          <w:rFonts w:ascii="Times New Roman" w:hAnsi="Times New Roman"/>
          <w:sz w:val="20"/>
        </w:rPr>
      </w:pPr>
      <w:r>
        <w:rPr>
          <w:rFonts w:ascii="Times New Roman" w:hAnsi="Times New Roman"/>
          <w:sz w:val="20"/>
        </w:rPr>
        <w:t xml:space="preserve">(iii) requiring or otherwise involving payment by or to the Company or any of its Subsidiaries of more than an aggregate of $250,000 during the fiscal year ending December 31, 2023 (other than indemnification agreements or employment and separation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evidencing a commitment by the Company or any of its Subsidiaries to make a future capital expenditure in excess of $250,000 that is not terminable by such Entity upon notice of sixty (60) days or less without penalty or liability; </w:t>
      </w:r>
    </w:p>
    <w:p>
      <w:pPr>
        <w:pStyle w:val="TextBody"/>
        <w:bidi w:val="0"/>
        <w:spacing w:before="120" w:after="0"/>
        <w:jc w:val="left"/>
        <w:rPr>
          <w:rFonts w:ascii="Times New Roman" w:hAnsi="Times New Roman"/>
          <w:sz w:val="20"/>
        </w:rPr>
      </w:pPr>
      <w:r>
        <w:rPr>
          <w:rFonts w:ascii="Times New Roman" w:hAnsi="Times New Roman"/>
          <w:sz w:val="20"/>
        </w:rPr>
        <w:t xml:space="preserve">(v) that requires payments by the Company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any of its Subsidiaries on thirty (30) calendar days’ or less notice without liability, except to the extent general principles of wrongful termination Law may limit the Company’s, or such successor’s ability to terminate employees at will; </w:t>
      </w:r>
    </w:p>
    <w:p>
      <w:pPr>
        <w:pStyle w:val="TextBody"/>
        <w:bidi w:val="0"/>
        <w:spacing w:before="120" w:after="0"/>
        <w:jc w:val="left"/>
        <w:rPr>
          <w:rFonts w:ascii="Times New Roman" w:hAnsi="Times New Roman"/>
          <w:sz w:val="20"/>
        </w:rPr>
      </w:pPr>
      <w:r>
        <w:rPr>
          <w:rFonts w:ascii="Times New Roman" w:hAnsi="Times New Roman"/>
          <w:sz w:val="20"/>
        </w:rPr>
        <w:t xml:space="preserve">(vi) (A) that includes (1) any “most favored nations” terms or conditions, including with respect to pricing, (2) containing exclusivity obligations or otherwise limiting the freedom or right of the Company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 occupy any securities, assets (including Intellectual Property) or other interest of the Company or any of its Subsidiaries or (B) containing any provision or covenant that materially limits, or purports to materially limit, the ability of the Company or any of its Subsidiaries to engage in any line of business (whether generally or in any geographic area) or compete with any Person or in any line of business or geographic area; </w:t>
      </w:r>
    </w:p>
    <w:p>
      <w:pPr>
        <w:pStyle w:val="TextBody"/>
        <w:bidi w:val="0"/>
        <w:spacing w:before="120" w:after="0"/>
        <w:jc w:val="left"/>
        <w:rPr>
          <w:rFonts w:ascii="Times New Roman" w:hAnsi="Times New Roman"/>
          <w:sz w:val="20"/>
        </w:rPr>
      </w:pPr>
      <w:r>
        <w:rPr>
          <w:rFonts w:ascii="Times New Roman" w:hAnsi="Times New Roman"/>
          <w:sz w:val="20"/>
        </w:rPr>
        <w:t xml:space="preserve">(vii) relating to or evidencing indebtedness for borrowed money or any guarantee of indebtedness for borrowed money by the Company or any of its Subsidiaries in excess of $250,000 (excluding loans by the Company to wholly-owned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providing for or governing the formation of any joint venture, partnership, strategic alliance, research and development collaboration,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(ix) that is a Contract governing, related to or pertaining to any Company Intellectual Property (other than any confidential information provided under confidentiality agreements) that is material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(x) (A) pursuant to which any Person granted the Company an exclusive license under any Intellectual Property, or (B) pursuant to which the Company or any of its Subsidiaries granted any Person an exclusive license under any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(xi) that has continuing obligations or interests involving (A) “milestone” or other similar contingent payments, including upon the achievement of development, regulatory or commercial milestones, or (B) payment of royalties or other amounts calculated based upon sales, revenue, income or similar measure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that is a settlement, conciliation or similar Contract with or approved by any Governmental Authority (A) pursuant to which the Company or any of its Subsidiaries will be required after the date of this Agreement to pay any monetary obligations or (B) that contains material obligations or limitations on the conduct of the Company or any of its Subsidiaries (other than customary confidentiality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(xiii) with any Governmental Authority, except for materials transfer agreements, agreements with academic institutions and non-disclosure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(xiv) that is a clinical trial agreement, clinical study agreement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(xv) (A) that is a collective bargaining agreement or (B) with any labor organization; </w:t>
      </w:r>
    </w:p>
    <w:p>
      <w:pPr>
        <w:pStyle w:val="TextBody"/>
        <w:bidi w:val="0"/>
        <w:spacing w:before="120" w:after="0"/>
        <w:jc w:val="left"/>
        <w:rPr>
          <w:rFonts w:ascii="Times New Roman" w:hAnsi="Times New Roman"/>
          <w:sz w:val="20"/>
        </w:rPr>
      </w:pPr>
      <w:r>
        <w:rPr>
          <w:rFonts w:ascii="Times New Roman" w:hAnsi="Times New Roman"/>
          <w:sz w:val="20"/>
        </w:rPr>
        <w:t xml:space="preserve">(xvi) that prohibits the payment of dividends or distributions in respect of the capital stock of the Company or any of its Subsidiaries, the pledging of the capital stock or other equity interests of the Company or any of its Subsidiaries or the issuance of any guaranty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 relating to the disposition or acquisition of material assets or any ownership interest in any Entity; </w:t>
      </w:r>
    </w:p>
    <w:p>
      <w:pPr>
        <w:pStyle w:val="TextBody"/>
        <w:bidi w:val="0"/>
        <w:spacing w:before="120" w:after="0"/>
        <w:jc w:val="left"/>
        <w:rPr>
          <w:rFonts w:ascii="Times New Roman" w:hAnsi="Times New Roman"/>
          <w:sz w:val="20"/>
        </w:rPr>
      </w:pPr>
      <w:r>
        <w:rPr>
          <w:rFonts w:ascii="Times New Roman" w:hAnsi="Times New Roman"/>
          <w:sz w:val="20"/>
        </w:rPr>
        <w:t xml:space="preserve">(xviii) requiring payment by or to the Company or any of its Subsidiaries after the date of this Agreement in excess of $500,000 pursuant to its express terms relating to: (A) any distribution agreement (identifying any that contain exclusivity provisions), (B) any agreement involving provision of services or products with respect to any pre-clinical or clinical development activities of the Company or any of its Subsidiaries, (C) any dealer, distributor, joint marketing, alliance, joint venture, cooperation, development or other agreement currently in force under which the Company or any of its Subsidiaries has continuing obligations to develop or market any product, technology or service, or any agreement pursuant to which the Company or any of its Subsidiaries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of its Subsidiaries or any Contract to sell, distribute or commercialize any products or service of the Company or any of its Subsidiaries, in each case, except for Company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(xix) with any Person, including any financial advisor, broker, finder, investment banker or other Person, providing advisory services to the Company or any of its Subsidiaries in connection with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(xx) that was entered into since January 1, 2021 and was entered into with any present or former officer, director or employee of the Company or any of its Subsidiaries (other than indemnification agreements, or any Employee Plans entered into in the ordinary course of business) or (B) is the type of Contract that would be required to be disclosed under Item 404 of Regulation S-K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has delivered or made available to Aspen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w:t>
      </w:r>
    </w:p>
    <w:p>
      <w:pPr>
        <w:pStyle w:val="TextBody"/>
        <w:bidi w:val="0"/>
        <w:spacing w:before="240" w:after="0"/>
        <w:jc w:val="left"/>
        <w:rPr>
          <w:rFonts w:ascii="Times New Roman" w:hAnsi="Times New Roman"/>
          <w:sz w:val="20"/>
        </w:rPr>
      </w:pPr>
      <w:bookmarkStart w:id="230" w:name="annxa770053_32"/>
      <w:bookmarkEnd w:id="230"/>
      <w:r>
        <w:rPr>
          <w:rFonts w:ascii="Times New Roman" w:hAnsi="Times New Roman"/>
          <w:sz w:val="20"/>
        </w:rPr>
        <w:t xml:space="preserve">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is and, since January 1, 2021, has been in compliance in all material respects with all Laws applicable to the Company and its Subsidiaries, and, since January 1, 2021, the Company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its Subsidiaries holds, and since January 1, 2021 has held, all Governmental Authorizations necessary for the Company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the Company and its Subsidiaries, taken as a whole. The Governmental Authorizations held by the Company and its Subsidiaries are (i) valid and in full force and effect and (ii) are not subject to any administrative or judicial proceeding that would reasonably be expected to result in any termination, suspension, revocation or nonrenewal thereof (and, to the Knowledge of the Company, no such termination, suspension, revocation or nonrenewal has been otherwise threatened in writing), and the Company and its Subsidiaries are in compliance with the terms and requirements thereof, except in the case of each of clauses (i) and (ii) as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Products are being, and,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 Company Material Adverse Effect. As of the date hereof, neither the Company nor its Subsidiaries nor, to the Knowledge of the Company, any Collaboration Partner has received any written notices or other correspondence from any Drug Governmental Authority or any institutional review board or ethics committee with respect to any ongoing clinical or preclinical studies or trials (i) placing a clinical hold order on any such studies or trials or (ii) otherwise requiring the delay, termination, or suspension of such studies or trials. Since January 1, 2021, neither the Company nor its Subsidiaries nor, to the Knowledge of the Company, any Collaboration Partner has received any Form FDA 483, warning letter, notice of violation, or other written administrative, regulatory or enforcement notice from the FDA or any other Drug Governmental Authority related to the Company Products.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its Subsidiaries have filed with the applicable Drug Governmental Authorities all required material Healthcare Submissions with respect to the Company Products. All filings for Company Governmental Authorizations and Healthcare Submissions were complete and accurate in all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respects and in material compliance with applicable Laws and Orders when filed, or were subsequently corrected or completed by a filing made prior to the date hereof. No deficiencies have been asserted in writing by any applicable Drug Governmental Authority to the Company and its Subsidiaries with respect to any Healthcare Submission, except as are not, and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2021, neither the Company nor its Subsidiaries, nor any authorized person acting on its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its Subsidiaries, nor any director, officer or employee of the Company or its Subsidiaries (acting in the capacity of a director, officer or employee of the Company) or, to the Knowledge of the Company, any representative or agent of the Company or its Subsidiaries (acting in the capacity of a representative or agent of the Company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 (iv) convicted of any crime or engaged in any conduct that would reasonably be expected to result in debarment, exclusion or suspension as described in the foregoing clauses (i), (ii) or (iii); (v) declared ineligible for awards of contracts by any U.S. or non-U.S. federal, state, provincial or other agency; (vi) disqualified as a clinical investigator by the FDA or any other Drug Governmental Authority; or (vii) convicted of any offense related to any U.S. or non-U.S. federal, state, provincial or other healthcare program.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made available to Aspen complete and accurate copies of (i) each investigational new drug application and all material correspondence relating to clinical trial applications submitted to the FDA or any other Drug Governmental Authority by or on behalf of the Company, including any supplements or amendments thereto, relating to any Company Product, (ii) all final preclinical study and clinical trial results or reports relating to any Company Product, (iii) all documents in the possession of the Company or its Subsidiaries related to inspections by any Drug Governmental Authority, in each case relating to any Company Product, (iv) all material information relating to adverse drug experiences, events or reactions or other safety information obtained or otherwise received by the Company relating to any Company Product, and (v) clinical trial databases, clinical trial master files, and statistical programs for ongoing and completed clinical trials and studies in the possession of the Company or its Subsidiaries or, to the Knowledge of the Company, in a Collaboration Partner’s possession, relating to any Company Product. The Company has a complete log of the material correspondence described in clause (i) of this section, except as has not been, and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bookmarkStart w:id="231" w:name="annxa770053_33"/>
      <w:bookmarkEnd w:id="231"/>
      <w:r>
        <w:rPr>
          <w:rFonts w:ascii="Times New Roman" w:hAnsi="Times New Roman"/>
          <w:sz w:val="20"/>
        </w:rPr>
        <w:t xml:space="preserve">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the Company, no Person has threatened in writing to commence any Legal Proceeding: (i) that involves the Company or any of its Subsidiaries or any Company Associate (in his or her capacity as such) or any of the material assets owned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used by the Company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the Company or any of its Subsidiaries, or any of the material assets owned or used by the Company or any of its Subsidiaries, is subject. To the Knowledge of the Company, no officer or Company Key Employee is subject to any Order that prohibits such officer or Company Key Employee from engaging in or continuing in any conduct, activity or practice relating to the Company or any of its Subsidiaries or any material assets owned or used by the Company or any of its Subsidiaries. </w:t>
      </w:r>
    </w:p>
    <w:p>
      <w:pPr>
        <w:pStyle w:val="TextBody"/>
        <w:bidi w:val="0"/>
        <w:spacing w:before="240" w:after="0"/>
        <w:jc w:val="left"/>
        <w:rPr>
          <w:rFonts w:ascii="Times New Roman" w:hAnsi="Times New Roman"/>
          <w:sz w:val="20"/>
        </w:rPr>
      </w:pPr>
      <w:bookmarkStart w:id="232" w:name="annxa770053_34"/>
      <w:bookmarkEnd w:id="232"/>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the Company and its Subsidiaries have been paid regardless of whether such Taxes have been shown as due and payable on any Tax Return. The Company and its Subsidiaries have established on their relevant books and records, in accordance with GAAP, reserves that are adequate for the payment of any income or other material Taxes not yet due and payable. None of the Company and its Subsidiaries currently is the beneficiary of any extension of time within which to file any income or other material Tax Return, other than customary extensions that have been obtained consistent with past practice. There are no Encumbrances on any of the assets of the Company and its Subsidiaries that arose in connection with any failure to pay any material Tax,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None of the Company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be material to the Company and its Subsidiaries, taken as a whole, the Company and its Subsidiaries have: (i) 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the Company and its Subsidiaries, taken as a whole, there is no dispute, audits, examinations, assessments or other actions concerning any Tax liability of the Company and its Subsidiaries pending or, to the Knowledge of the Company, threatened by any Governmental Authority against, or with respect to, the Company and its Subsidiaries that remains unpaid, and none of the Company and its Subsidiaries has received written notice of any threatened audits, examinations or assessments relating to any Taxes.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None of the Company and its Subsidiaries has constituted a “distributing corporation” or “controlled corporation” in a distribution of stock intended to qualify for Tax-free treatment under Section 355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none of the Company and its Subsidiaries has entered into or been a party to any “listed transaction” within the meaning of Treasury regulations Section 1.6011-4(b)(2) for a taxable period for which the applicable statute of limitations remains open. </w:t>
      </w:r>
    </w:p>
    <w:p>
      <w:pPr>
        <w:pStyle w:val="TextBody"/>
        <w:bidi w:val="0"/>
        <w:spacing w:before="240" w:after="0"/>
        <w:jc w:val="left"/>
        <w:rPr>
          <w:rFonts w:ascii="Times New Roman" w:hAnsi="Times New Roman"/>
          <w:sz w:val="20"/>
        </w:rPr>
      </w:pPr>
      <w:r>
        <w:rPr>
          <w:rFonts w:ascii="Times New Roman" w:hAnsi="Times New Roman"/>
          <w:sz w:val="20"/>
        </w:rPr>
        <w:t xml:space="preserve">(h) None of the Company and its Subsidiaries are party to any agreements relating to the allocation or sharing of Taxes, including Tax indemnity agreements,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(i) None of the Company and its Subsidiaries (i) has been a member of an affiliated group of corporations within the meaning of Section 1504 of the Code (or similar provision of local, state or non-U.S. Law), other than any affiliated group of which the Company is the common parent or (ii) 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(j) None of the Company and its Subsidiaries is subject to Tax in any jurisdiction other than the jurisdiction in which it is organized, by virtue of having a permanent establishment, fixed place of business or, to the Knowledge of the Company, otherwise. As of the date hereof, no claim has been made by a Governmental Authority in a jurisdiction where the Company or any of its Subsidiaries does not file Tax Returns that the Company or any of its Subsidiaries is or may be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and has not been a United States real property holding corporation within the meaning of Section 897(c)(2) of the Code in the last five (5) years.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any of its Subsidiaries is aware of any facts or circumstances or has taken or agreed to take or refrain from taking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233" w:name="annxa770053_35"/>
      <w:bookmarkEnd w:id="233"/>
      <w:r>
        <w:rPr>
          <w:rFonts w:ascii="Times New Roman" w:hAnsi="Times New Roman"/>
          <w:sz w:val="20"/>
        </w:rPr>
        <w:t xml:space="preserve">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the Company and its Subsidiaries, taken as a whole. The Company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the Company and, as of the date hereof, there is not, to the Knowledge of the Company, any attempt to organize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employees of the Company for the purpose of forming or joining a labor union or works council. Since January 1, 2021 to the date hereof, there has been no strike, slowdown, picketing, lockout, job action, work stoppage, union organizing activity or other labor dispute, or, to the Knowledge of the Company, any threat thereof, affecting the Company or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not, and since January 1, 2021 has not been, any Legal Proceeding pending, or to the Knowledge of the Company,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employee of the Company, including unfair labor practices, misclassification of independent contractors or consultants, unlawful retaliation, discrimination or harassment complaints, in each case that is material to the Company, taken as a whole. </w:t>
      </w:r>
    </w:p>
    <w:p>
      <w:pPr>
        <w:pStyle w:val="TextBody"/>
        <w:bidi w:val="0"/>
        <w:spacing w:before="240" w:after="0"/>
        <w:jc w:val="left"/>
        <w:rPr>
          <w:rFonts w:ascii="Times New Roman" w:hAnsi="Times New Roman"/>
          <w:sz w:val="20"/>
        </w:rPr>
      </w:pPr>
      <w:r>
        <w:rPr>
          <w:rFonts w:ascii="Times New Roman" w:hAnsi="Times New Roman"/>
          <w:sz w:val="20"/>
        </w:rPr>
        <w:t>(d) Within the past three (3) years, the Company has not implemented any plant closing or layoff of employees that (in either case) violated the United States Worker Adjustment and Retraining Notification Act, as amended, or any similar state, local or foreign law (together, “</w:t>
      </w:r>
      <w:r>
        <w:rPr>
          <w:rFonts w:ascii="Times New Roman" w:hAnsi="Times New Roman"/>
          <w:sz w:val="20"/>
          <w:u w:val="single"/>
        </w:rPr>
        <w:t>WARN</w:t>
      </w:r>
      <w:r>
        <w:rPr>
          <w:rFonts w:ascii="Times New Roman" w:hAnsi="Times New Roman"/>
          <w:sz w:val="20"/>
        </w:rPr>
        <w:t xml:space="preserve">”) and the Company has not incurred any material liability under WARN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3.17(e)</w:t>
      </w:r>
      <w:r>
        <w:rPr>
          <w:rFonts w:ascii="Times New Roman" w:hAnsi="Times New Roman"/>
          <w:sz w:val="20"/>
        </w:rPr>
        <w:t xml:space="preserve"> of the Company Disclosure Schedule sets forth a correct and complete list of each material Company Employee Plan. The Company has made available to Aspen, with respect to each material Company Employee Plan, accurate and complete copies (as applicable) of: (i) all plan documents and all amendments thereto, and all related trust or other funding documents, and in the case of unwritten material Company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that is intended to be qualified under Section 401(a) of the Code has received or is permitted to rely upon a favorable determination or opinion letter that it is so qualified, and to the Knowledge of the Company, there are no circumstances that would reasonably be expected to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is not, and would not reasonably be expected to be, individually or in the aggregate, material to the Company and its Subsidiaries, taken as a whole, each Company Employee Plan has been operated, maintained and administered in compliance with its terms and with the requirements prescribed by applicable Laws, including ERISA and the Code. As of the date hereof, no Legal Proceeding or governmental audit is pending with respect to any Company Employee Plan (other than routine claims for benefits) and, to the Knowledge of the Company, no such Legal Proceeding or governmental audit is threatened; and there are no governmental investigations pending or, to the Knowledge of the Company, threatened in connection with any Company Employee Plan, the assets of any trust under any Company Employee Plan or the plan sponsor, the plan administrator or any fiduciary under any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respective directors, officers, employees or agents has, with respect to any Company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the Company or any Company Employee Plan or for which the Company has any future indemnification obligation, except, in each case, as would not reasonably be expected, individually or in the aggregate, to result in material liability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None of the Company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(j) No Company Employee Plan provides for, and the Company does not have any present or future obligation to provide, post-retirement or post-termination health, life insurance or other welfare benefits except as required under Part 6 of Subtitle B of Title I of ERISA or Section 4980B of the Code or similar state Law. </w:t>
      </w:r>
    </w:p>
    <w:p>
      <w:pPr>
        <w:pStyle w:val="TextBody"/>
        <w:bidi w:val="0"/>
        <w:spacing w:before="240" w:after="0"/>
        <w:jc w:val="left"/>
        <w:rPr>
          <w:rFonts w:ascii="Times New Roman" w:hAnsi="Times New Roman"/>
          <w:sz w:val="20"/>
        </w:rPr>
      </w:pPr>
      <w:r>
        <w:rPr>
          <w:rFonts w:ascii="Times New Roman" w:hAnsi="Times New Roman"/>
          <w:sz w:val="20"/>
        </w:rPr>
        <w:t xml:space="preserve">(k) The Company does not have any obligation to pay or provide any tax “gross-up” or similar “make-whole” payments or indemnities to any current or former employee, officer, director or other service provider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applicable, all Company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(m) 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the Company of any payment or benefit that is or could be characterized as a “parachute payment” (within the meaning of Section 280G of the Code), determined without regard to the application of Section 280G(b)(5) of the Code. </w:t>
      </w:r>
    </w:p>
    <w:p>
      <w:pPr>
        <w:pStyle w:val="TextBody"/>
        <w:bidi w:val="0"/>
        <w:spacing w:before="240" w:after="0"/>
        <w:jc w:val="left"/>
        <w:rPr>
          <w:rFonts w:ascii="Times New Roman" w:hAnsi="Times New Roman"/>
          <w:sz w:val="20"/>
        </w:rPr>
      </w:pPr>
      <w:r>
        <w:rPr>
          <w:rFonts w:ascii="Times New Roman" w:hAnsi="Times New Roman"/>
          <w:sz w:val="20"/>
        </w:rPr>
        <w:t xml:space="preserve">(n) Each Company Employee Plan that is a “nonqualified deferred compensation plan” (as such term is defined under Section 409A(d)(1) of the Code and the guidance thereunder) has been operated and maintained in compliance in all material respects with the requirements of Section 409A of the Code and the applicable guidance thereunder. </w:t>
      </w:r>
    </w:p>
    <w:p>
      <w:pPr>
        <w:pStyle w:val="TextBody"/>
        <w:bidi w:val="0"/>
        <w:spacing w:before="240" w:after="0"/>
        <w:jc w:val="left"/>
        <w:rPr>
          <w:rFonts w:ascii="Times New Roman" w:hAnsi="Times New Roman"/>
          <w:sz w:val="20"/>
        </w:rPr>
      </w:pPr>
      <w:bookmarkStart w:id="234" w:name="annxa770053_36"/>
      <w:bookmarkEnd w:id="234"/>
      <w:r>
        <w:rPr>
          <w:rFonts w:ascii="Times New Roman" w:hAnsi="Times New Roman"/>
          <w:sz w:val="20"/>
        </w:rPr>
        <w:t xml:space="preserve">3.18 </w:t>
      </w:r>
      <w:r>
        <w:rPr>
          <w:rFonts w:ascii="Times New Roman" w:hAnsi="Times New Roman"/>
          <w:sz w:val="20"/>
          <w:u w:val="single"/>
        </w:rPr>
        <w:t>Environmental Matters</w:t>
      </w:r>
      <w:r>
        <w:rPr>
          <w:rFonts w:ascii="Times New Roman" w:hAnsi="Times New Roman"/>
          <w:sz w:val="20"/>
        </w:rPr>
        <w:t xml:space="preserve">.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bookmarkStart w:id="235" w:name="annxa770053_37"/>
      <w:bookmarkEnd w:id="235"/>
      <w:r>
        <w:rPr>
          <w:rFonts w:ascii="Times New Roman" w:hAnsi="Times New Roman"/>
          <w:sz w:val="20"/>
        </w:rPr>
        <w:t xml:space="preserve">3.19 </w:t>
      </w:r>
      <w:r>
        <w:rPr>
          <w:rFonts w:ascii="Times New Roman" w:hAnsi="Times New Roman"/>
          <w:sz w:val="20"/>
          <w:u w:val="single"/>
        </w:rPr>
        <w:t>Insurance</w:t>
      </w:r>
      <w:r>
        <w:rPr>
          <w:rFonts w:ascii="Times New Roman" w:hAnsi="Times New Roman"/>
          <w:sz w:val="20"/>
        </w:rPr>
        <w:t xml:space="preserve">. The Company has delivered to Aspen accurate and complete copies of all material insurance policies and all material self-insurance programs and arrangements relating to the business,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bookmarkStart w:id="236" w:name="annxa770053_38"/>
      <w:bookmarkEnd w:id="236"/>
      <w:r>
        <w:rPr>
          <w:rFonts w:ascii="Times New Roman" w:hAnsi="Times New Roman"/>
          <w:sz w:val="20"/>
        </w:rPr>
        <w:t xml:space="preserve">3.20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3.20</w:t>
      </w:r>
      <w:r>
        <w:rPr>
          <w:rFonts w:ascii="Times New Roman" w:hAnsi="Times New Roman"/>
          <w:sz w:val="20"/>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240" w:after="0"/>
        <w:jc w:val="left"/>
        <w:rPr>
          <w:rFonts w:ascii="Times New Roman" w:hAnsi="Times New Roman"/>
          <w:sz w:val="20"/>
        </w:rPr>
      </w:pPr>
      <w:bookmarkStart w:id="237" w:name="annxa770053_39"/>
      <w:bookmarkEnd w:id="237"/>
      <w:r>
        <w:rPr>
          <w:rFonts w:ascii="Times New Roman" w:hAnsi="Times New Roman"/>
          <w:sz w:val="20"/>
        </w:rPr>
        <w:t xml:space="preserve">3.21 </w:t>
      </w:r>
      <w:r>
        <w:rPr>
          <w:rFonts w:ascii="Times New Roman" w:hAnsi="Times New Roman"/>
          <w:sz w:val="20"/>
          <w:u w:val="single"/>
        </w:rPr>
        <w:t>Transactions with Affiliates</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of the Company Disclosure Schedule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bookmarkStart w:id="238" w:name="annxa770053_40"/>
      <w:bookmarkEnd w:id="238"/>
      <w:r>
        <w:rPr>
          <w:rFonts w:ascii="Times New Roman" w:hAnsi="Times New Roman"/>
          <w:sz w:val="20"/>
        </w:rPr>
        <w:t xml:space="preserve">3.22 </w:t>
      </w:r>
      <w:r>
        <w:rPr>
          <w:rFonts w:ascii="Times New Roman" w:hAnsi="Times New Roman"/>
          <w:sz w:val="20"/>
          <w:u w:val="single"/>
        </w:rPr>
        <w:t>Privacy and Data Security</w:t>
      </w:r>
      <w:r>
        <w:rPr>
          <w:rFonts w:ascii="Times New Roman" w:hAnsi="Times New Roman"/>
          <w:sz w:val="20"/>
        </w:rPr>
        <w:t>. Since January 1, 2021, each of the Company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the Company and its Subsidiaries, taken as a whole. Since January 1, 2021, the Company and its Subsidiaries have complied in all material respects with each of their respective written and published policies concerning the privacy of Personal Information (“</w:t>
      </w:r>
      <w:r>
        <w:rPr>
          <w:rFonts w:ascii="Times New Roman" w:hAnsi="Times New Roman"/>
          <w:b/>
          <w:sz w:val="20"/>
        </w:rPr>
        <w:t>Privacy Policies</w:t>
      </w:r>
      <w:r>
        <w:rPr>
          <w:rFonts w:ascii="Times New Roman" w:hAnsi="Times New Roman"/>
          <w:sz w:val="20"/>
        </w:rPr>
        <w:t xml:space="preserve">”), if applicable and required. The Company and its Subsidiaries maintain commercially reasonable policies, procedures and security measures with respect to the physical and electronic security and privacy of Personal Information that are designed to achieve compliance in all material respects with Privacy Laws, and the Company and its Subsidiaries are in compliance in all material respects with such policies and procedures. To the Knowledge of the Company, there have been no material breaches or material violations of any security measures of Aspen and its Subsidiaries, or any material unauthorized access, use or disclosure of any Personal Information. None of the Company and its Subsidiaries has received written notice (or, to the Knowledge of the Company, any other communication) of (a) any material violation or breach, or alleged material violation or breach, of Privacy Laws and/or Privacy Policies, or (b) any claims against any of the Company and its Subsidiaries by any Person, and there is no Legal Proceeding pending or, to Knowledge of the Company, threatened against any of the Company and its Subsidiaries, alleging a violation or breach of Privacy Laws and/or Privacy Policies, except in each case as would not be material to the Company and its Subsidiaries, taken as a whole. </w:t>
      </w:r>
    </w:p>
    <w:p>
      <w:pPr>
        <w:pStyle w:val="TextBody"/>
        <w:bidi w:val="0"/>
        <w:spacing w:before="240" w:after="0"/>
        <w:jc w:val="left"/>
        <w:rPr>
          <w:rFonts w:ascii="Times New Roman" w:hAnsi="Times New Roman"/>
          <w:sz w:val="20"/>
        </w:rPr>
      </w:pPr>
      <w:bookmarkStart w:id="239" w:name="annxa770053_41"/>
      <w:bookmarkEnd w:id="239"/>
      <w:r>
        <w:rPr>
          <w:rFonts w:ascii="Times New Roman" w:hAnsi="Times New Roman"/>
          <w:sz w:val="20"/>
        </w:rPr>
        <w:t xml:space="preserve">3.23 </w:t>
      </w:r>
      <w:r>
        <w:rPr>
          <w:rFonts w:ascii="Times New Roman" w:hAnsi="Times New Roman"/>
          <w:sz w:val="20"/>
          <w:u w:val="single"/>
        </w:rPr>
        <w:t>Anti-Corruption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directly or indirectly (i) given any funds (whether of the Company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campaigns or solicited or accepted any such payment or thing of value, or (iii) violated any provision of any Anti-Corruption Law.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not received any written communication (or, to the Knowledge of the Company, any other communication) that alleges any of the foregoing. To the Knowledge of the Company, the Company has disclosed to Aspen any and all allegations that have been made of any potential wrongdoing by the Company or by any director, officer, employee, agent or representative of the Company (acting in the capacity of a director, officer, employee, agent or representative of the Company) with respect to any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(b) There are not, and in the past five (5) years, there have not been, any Legal Proceedings with respect to any Anti-Corruption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made any disclosure (voluntary or otherwise) to any Governmental Authority with respect to any alleged irregularity, misstatement, omission or other potential violation or liability arising under or relating to any Anti-Corruption Law. </w:t>
      </w:r>
    </w:p>
    <w:p>
      <w:pPr>
        <w:pStyle w:val="TextBody"/>
        <w:bidi w:val="0"/>
        <w:spacing w:before="240" w:after="0"/>
        <w:jc w:val="left"/>
        <w:rPr>
          <w:rFonts w:ascii="Times New Roman" w:hAnsi="Times New Roman"/>
          <w:sz w:val="20"/>
        </w:rPr>
      </w:pPr>
      <w:bookmarkStart w:id="240" w:name="annxa770053_42"/>
      <w:bookmarkEnd w:id="240"/>
      <w:r>
        <w:rPr>
          <w:rFonts w:ascii="Times New Roman" w:hAnsi="Times New Roman"/>
          <w:sz w:val="20"/>
        </w:rPr>
        <w:t xml:space="preserve">3.24 </w:t>
      </w:r>
      <w:r>
        <w:rPr>
          <w:rFonts w:ascii="Times New Roman" w:hAnsi="Times New Roman"/>
          <w:sz w:val="20"/>
          <w:u w:val="single"/>
        </w:rPr>
        <w:t>Sanctions Laws</w:t>
      </w:r>
      <w:r>
        <w:rPr>
          <w:rFonts w:ascii="Times New Roman" w:hAnsi="Times New Roman"/>
          <w:sz w:val="20"/>
        </w:rPr>
        <w:t xml:space="preserve">.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in the past five (5) years, there have not been, any Legal Proceedings, allegations, investigations or inquiries concerning any actual or suspected violations of any Sanctions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Neither the Company nor any director, officer or employee of any of the Company, is a Sanctioned Person. In the past five (5) years, the Company has not had, directly or indirectly, any unlawful transactions with or unlawful investments in any Sanctioned Person or Sanctioned Country. </w:t>
      </w:r>
    </w:p>
    <w:p>
      <w:pPr>
        <w:pStyle w:val="TextBody"/>
        <w:bidi w:val="0"/>
        <w:spacing w:before="240" w:after="0"/>
        <w:jc w:val="left"/>
        <w:rPr>
          <w:rFonts w:ascii="Times New Roman" w:hAnsi="Times New Roman"/>
          <w:sz w:val="20"/>
        </w:rPr>
      </w:pPr>
      <w:bookmarkStart w:id="241" w:name="annxa770053_43"/>
      <w:bookmarkEnd w:id="241"/>
      <w:r>
        <w:rPr>
          <w:rFonts w:ascii="Times New Roman" w:hAnsi="Times New Roman"/>
          <w:sz w:val="20"/>
        </w:rPr>
        <w:t xml:space="preserve">3.25 </w:t>
      </w:r>
      <w:r>
        <w:rPr>
          <w:rFonts w:ascii="Times New Roman" w:hAnsi="Times New Roman"/>
          <w:sz w:val="20"/>
          <w:u w:val="single"/>
        </w:rPr>
        <w:t>No Other Representations or Warranties</w:t>
      </w:r>
      <w:r>
        <w:rPr>
          <w:rFonts w:ascii="Times New Roman" w:hAnsi="Times New Roman"/>
          <w:sz w:val="20"/>
        </w:rPr>
        <w:t xml:space="preserve">. The Company hereby acknowledges and agrees that, except for the representations and warranties contained in this Agreement, neither Aspen nor any other person on behalf of Aspen makes any express or implied representation or warranty with respect to Aspen or with respect to any other information provided to the Company, any of its stockholders or any of their respective Affiliates in connection with the Contemplated Transactions, and (subject to the express representations and warranties of Aspen set forth in </w:t>
      </w:r>
      <w:r>
        <w:rPr>
          <w:rFonts w:ascii="Times New Roman" w:hAnsi="Times New Roman"/>
          <w:sz w:val="20"/>
          <w:u w:val="single"/>
        </w:rPr>
        <w:t>Section 4</w:t>
      </w:r>
      <w:r>
        <w:rPr>
          <w:rFonts w:ascii="Times New Roman" w:hAnsi="Times New Roman"/>
          <w:sz w:val="20"/>
        </w:rPr>
        <w:t xml:space="preserve"> (in each case as qualified and limited by the Aspen Disclosure Schedule)) none of the Company, or any of its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242" w:name="annxa770053_44"/>
      <w:bookmarkEnd w:id="242"/>
      <w:r>
        <w:rPr>
          <w:rFonts w:ascii="Times New Roman" w:hAnsi="Times New Roman"/>
          <w:sz w:val="20"/>
        </w:rPr>
        <w:t xml:space="preserve">Section 4. </w:t>
      </w:r>
      <w:r>
        <w:rPr>
          <w:rFonts w:ascii="Times New Roman" w:hAnsi="Times New Roman"/>
          <w:sz w:val="20"/>
          <w:u w:val="single"/>
        </w:rPr>
        <w:t>Representations and Warranties of Aspen and 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schedule delivered by Aspen to the Company (the “</w:t>
      </w:r>
      <w:r>
        <w:rPr>
          <w:rFonts w:ascii="Times New Roman" w:hAnsi="Times New Roman"/>
          <w:b/>
          <w:sz w:val="20"/>
        </w:rPr>
        <w:t>Aspen Disclosure Schedule</w:t>
      </w:r>
      <w:r>
        <w:rPr>
          <w:rFonts w:ascii="Times New Roman" w:hAnsi="Times New Roman"/>
          <w:sz w:val="20"/>
        </w:rPr>
        <w:t xml:space="preserve">”) or (ii) as disclosed in the Aspen SEC Documents filed with the SEC prior to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hereof and publicly available on the SEC’s Electronic Data Gathering Analysis and Retrieval (EDGAR)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Aspen SEC Documents shall be deemed to be disclosed in a section of the Aspen Disclosure Schedule only if it is reasonably apparent from a reading of such Aspen SEC Documents that it would be applicable to such section or subsection of the Aspen Disclosure Schedule, Aspen and Merger Sub represent and warrant to the Company as follows: </w:t>
      </w:r>
    </w:p>
    <w:p>
      <w:pPr>
        <w:pStyle w:val="TextBody"/>
        <w:bidi w:val="0"/>
        <w:spacing w:before="240" w:after="0"/>
        <w:jc w:val="left"/>
        <w:rPr>
          <w:rFonts w:ascii="Times New Roman" w:hAnsi="Times New Roman"/>
          <w:sz w:val="20"/>
        </w:rPr>
      </w:pPr>
      <w:bookmarkStart w:id="243" w:name="annxa770053_45"/>
      <w:bookmarkEnd w:id="243"/>
      <w:r>
        <w:rPr>
          <w:rFonts w:ascii="Times New Roman" w:hAnsi="Times New Roman"/>
          <w:sz w:val="20"/>
        </w:rPr>
        <w:t xml:space="preserve">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its Subsidiaries (including Merger Sub)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Since the date of their formation, Merger Sub have not engaged in any activities other than in connection with or as contemplated by this Agreement. All of Aspen’s Subsidiaries are wholly owned by Aspen. </w:t>
      </w:r>
    </w:p>
    <w:p>
      <w:pPr>
        <w:pStyle w:val="TextBody"/>
        <w:bidi w:val="0"/>
        <w:spacing w:before="240" w:after="0"/>
        <w:jc w:val="left"/>
        <w:rPr>
          <w:rFonts w:ascii="Times New Roman" w:hAnsi="Times New Roman"/>
          <w:sz w:val="20"/>
        </w:rPr>
      </w:pPr>
      <w:r>
        <w:rPr>
          <w:rFonts w:ascii="Times New Roman" w:hAnsi="Times New Roman"/>
          <w:sz w:val="20"/>
        </w:rPr>
        <w:t xml:space="preserve">(b) Each of Aspen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4.1(c)</w:t>
      </w:r>
      <w:r>
        <w:rPr>
          <w:rFonts w:ascii="Times New Roman" w:hAnsi="Times New Roman"/>
          <w:sz w:val="20"/>
        </w:rPr>
        <w:t xml:space="preserve"> of the Aspen Disclosure Schedule, Aspen has no Subsidiaries other than Merger Sub and Aspen does not own any capital stock of, or any equity ownership or profit sharing interest of any nature in, or control directly or indirectly, any other Entity other than Merger Sub. Aspen is not and has not otherwise been, directly or indirectly, a party to, member of or participant in any partnership, joint venture or similar business entity. Aspen has not agreed and is not obligated to make, nor is Aspen bound by any Contract under which it may become obligated to make, any future investment in or capital contribution to any other Entity. Aspen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244" w:name="annxa770053_46"/>
      <w:bookmarkEnd w:id="244"/>
      <w:r>
        <w:rPr>
          <w:rFonts w:ascii="Times New Roman" w:hAnsi="Times New Roman"/>
          <w:sz w:val="20"/>
        </w:rPr>
        <w:t xml:space="preserve">4.2 </w:t>
      </w:r>
      <w:r>
        <w:rPr>
          <w:rFonts w:ascii="Times New Roman" w:hAnsi="Times New Roman"/>
          <w:sz w:val="20"/>
          <w:u w:val="single"/>
        </w:rPr>
        <w:t>Organizational Documents</w:t>
      </w:r>
      <w:r>
        <w:rPr>
          <w:rFonts w:ascii="Times New Roman" w:hAnsi="Times New Roman"/>
          <w:sz w:val="20"/>
        </w:rPr>
        <w:t xml:space="preserve">. Aspen has delivered to the Company accurate and complete copies of Aspen’s Organizational Documents. Aspen is not in breach or violation of its Organizational Documents in any material respect. </w:t>
      </w:r>
    </w:p>
    <w:p>
      <w:pPr>
        <w:pStyle w:val="TextBody"/>
        <w:bidi w:val="0"/>
        <w:spacing w:before="240" w:after="0"/>
        <w:jc w:val="left"/>
        <w:rPr>
          <w:rFonts w:ascii="Times New Roman" w:hAnsi="Times New Roman"/>
          <w:sz w:val="20"/>
        </w:rPr>
      </w:pPr>
      <w:bookmarkStart w:id="245" w:name="annxa770053_47"/>
      <w:bookmarkEnd w:id="245"/>
      <w:r>
        <w:rPr>
          <w:rFonts w:ascii="Times New Roman" w:hAnsi="Times New Roman"/>
          <w:sz w:val="20"/>
        </w:rPr>
        <w:t xml:space="preserve">4.3 </w:t>
      </w:r>
      <w:r>
        <w:rPr>
          <w:rFonts w:ascii="Times New Roman" w:hAnsi="Times New Roman"/>
          <w:sz w:val="20"/>
          <w:u w:val="single"/>
        </w:rPr>
        <w:t>Authority; Binding Nature of Agreement</w:t>
      </w:r>
      <w:r>
        <w:rPr>
          <w:rFonts w:ascii="Times New Roman" w:hAnsi="Times New Roman"/>
          <w:sz w:val="20"/>
        </w:rPr>
        <w:t xml:space="preserve">. Subject to obtaining the Required Aspen Stockholder Vote and the Aspen stockholder approval of the other Aspen Stockholder Matters (and with respect to the Equity Plan Proposals, in a form reasonably acceptable to Aspen as contemplated by the definition of such term), each of Aspen and Merger Sub has all necessary corporate power and authority to enter into and to perform its obligations under this Agreement and to consummate the Contemplated Transactions that are contemplated to be consummated by it. The Aspen Board (at meetings duly called and held) has: (a) determined that the Contemplated Transactions are fair to, advisable and in the best interests of Aspen and its stockholders, (b) approved and declared advisable this Agreement and the Contemplated Transactions, including the issuance of shares of Aspen Common Stock to the stockholders of the Company pursuant to the terms of this Agreement and (c) determined to recommend, upon the terms and subject to the conditions set forth in this Agreement, that the stockholders of Aspen vote to approve the Aspen Stockholder Matters. The Merger Sub Board (by unanimous written consent) has: (x) determined that the Contemplated Transactions are fair to, advisable and in the best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Aspen and Merger Sub and, assuming the due authorization, execution and delivery by the Company, constitutes the legal, valid and binding obligation of Aspen and Merger Sub, enforceable against each of Aspen and Merger Sub in accordance with its terms, subject to the Enforceability Exceptions. </w:t>
      </w:r>
    </w:p>
    <w:p>
      <w:pPr>
        <w:pStyle w:val="TextBody"/>
        <w:bidi w:val="0"/>
        <w:spacing w:before="240" w:after="0"/>
        <w:jc w:val="left"/>
        <w:rPr>
          <w:rFonts w:ascii="Times New Roman" w:hAnsi="Times New Roman"/>
          <w:sz w:val="20"/>
        </w:rPr>
      </w:pPr>
      <w:bookmarkStart w:id="246" w:name="annxa770053_48"/>
      <w:bookmarkEnd w:id="246"/>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The affirmative vote of (i) the holders of a majority of the shares of Aspen Common Stock properly cast is the only vote of the holders of any class or series of Aspen’s capital stock necessary to approve the issuance of shares of Aspen Common Stock to the stockholders of the Company pursuant to the terms of this Agreement and (ii) the holders of a number of shares of Aspen Common Stock as required by Law is the only vote of the holders of any class or series of Aspen’s capital stock necessary to approve an amendment to the Aspen Charter to effect the Nasdaq Reverse Split (collectively, the “</w:t>
      </w:r>
      <w:r>
        <w:rPr>
          <w:rFonts w:ascii="Times New Roman" w:hAnsi="Times New Roman"/>
          <w:b/>
          <w:sz w:val="20"/>
        </w:rPr>
        <w:t>Required Aspen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47" w:name="annxa770053_49"/>
      <w:bookmarkEnd w:id="247"/>
      <w:r>
        <w:rPr>
          <w:rFonts w:ascii="Times New Roman" w:hAnsi="Times New Roman"/>
          <w:sz w:val="20"/>
        </w:rPr>
        <w:t xml:space="preserve">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Aspen Stockholder Vote and the Aspen stockholder approval of the other Aspen Stockholder Matters, the Aspen stockholder approval of the other Aspen Stockholder Matters and the filing of the Certificate of Merger required by the DGCL, neither (x) the execution, delivery or performance of this Agreement by Aspen or Merger Sub,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Aspen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Aspen or its Subsidiaries or any of the assets owned or used by Aspen or its Subsidiaries,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Aspen or its Subsidiaries or that otherwise relates to the business of Aspen, or any of the assets owned, leased or used by Aspen; or </w:t>
      </w:r>
    </w:p>
    <w:p>
      <w:pPr>
        <w:pStyle w:val="TextBody"/>
        <w:bidi w:val="0"/>
        <w:spacing w:before="120" w:after="0"/>
        <w:jc w:val="left"/>
        <w:rPr>
          <w:rFonts w:ascii="Times New Roman" w:hAnsi="Times New Roman"/>
          <w:sz w:val="20"/>
        </w:rPr>
      </w:pPr>
      <w:r>
        <w:rPr>
          <w:rFonts w:ascii="Times New Roman" w:hAnsi="Times New Roman"/>
          <w:sz w:val="20"/>
        </w:rPr>
        <w:t xml:space="preserve">(iv) cause a default (or an event that with notice or lapse of time or both would result in a default), give right to a right of termination, cancellation or acceleration of any obligation or loss of a material benefit of Aspen or any of its Subsidiaries, or result in the creation of any Encumbrance (other than Permitted Encumbrances) upon any of the properties or assets of Aspen or any of its Subsidiaries, in each case under any Aspen Material Contract and in each case except as would not be reasonably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Aspen Stockholder Vote and the Aspen stockholder approval of the other Aspen Stockholder Matters, (ii) the filing of the Certificate of Merger with the Secretary of State of Delaware pursuant to the DGCL, and (iii) such consents, waivers, approvals, orders authorizations, registrations, declarations and filings as may be required under applicable federal and state securities laws, neither Aspen nor any of its Subsidiaries was, is or will be required to make any filing with or give any notice to, or to obtain any Consent from, any Person in connection with (x) the execution, delivery or performance of this Agreement or (y) the consummation of the Contemplated Transactions (in each case except under Aspen Contracts that are not Aspen Material Contracts, and in the case of such filings, notices or Consents under Aspen Material Contracts, except as the failure to make such filing, give such notice or obtain such Consent would not reasonably expected to have, individually or in the aggregate, an Aspen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Aspen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left"/>
        <w:rPr>
          <w:rFonts w:ascii="Times New Roman" w:hAnsi="Times New Roman"/>
          <w:sz w:val="20"/>
        </w:rPr>
      </w:pPr>
      <w:bookmarkStart w:id="248" w:name="annxa770053_50"/>
      <w:bookmarkEnd w:id="248"/>
      <w:r>
        <w:rPr>
          <w:rFonts w:ascii="Times New Roman" w:hAnsi="Times New Roman"/>
          <w:sz w:val="20"/>
        </w:rPr>
        <w:t xml:space="preserve">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Aspen consists of (i) 160,000,000 shares of Aspen Common Stock of which 44,658,511 shares have been issued and are outstanding as of January 26, 2024 (the “</w:t>
      </w:r>
      <w:r>
        <w:rPr>
          <w:rFonts w:ascii="Times New Roman" w:hAnsi="Times New Roman"/>
          <w:b/>
          <w:sz w:val="20"/>
        </w:rPr>
        <w:t>Capitalization Date</w:t>
      </w:r>
      <w:r>
        <w:rPr>
          <w:rFonts w:ascii="Times New Roman" w:hAnsi="Times New Roman"/>
          <w:sz w:val="20"/>
        </w:rPr>
        <w:t xml:space="preserve">”) and (ii) 10,000,000 shares of undesignated preferred stock, par value $0.0001 per share, of which no shares have been issued and are outstanding as of the Capitalization Date. Aspen does not hold any shares of its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Aspen Common Stock have been duly authorized and validly issued, and are fully paid and nonassessable and are free of any Encumbrances. None of the outstanding shares of Aspen Common Stock is entitled or subject to any preemptive right, right of participation, right of maintenance or any similar right. None of the outstanding shares of Aspen Common Stock is subject to any right of first refusal in favor of Aspen. Except as contemplated herein, there is no Aspen Contract relating to the voting or registration of, or restricting any Person from purchasing, selling, pledging or otherwise disposing of (or granting any option or similar right with respect to), any shares of Aspen Common Stock. Aspen is not under any obligation, nor is Aspen bound by any Contract pursuant to which it may become obligated, to repurchase, redeem or otherwise acquire any outstanding shares of Aspen Common Stock or other securities. </w:t>
      </w:r>
      <w:r>
        <w:rPr>
          <w:rFonts w:ascii="Times New Roman" w:hAnsi="Times New Roman"/>
          <w:sz w:val="20"/>
          <w:u w:val="single"/>
        </w:rPr>
        <w:t>Section 4.6(b)</w:t>
      </w:r>
      <w:r>
        <w:rPr>
          <w:rFonts w:ascii="Times New Roman" w:hAnsi="Times New Roman"/>
          <w:sz w:val="20"/>
        </w:rPr>
        <w:t xml:space="preserve"> of the Aspen Disclosure Schedule accurately and completely describes all repurchase rights held by Aspen with respect to shares of Aspen Common Stock (including shares issued pursuant to the exercise of stock options) and specifies which of those repurchase rights are currently exercisable. With respect to any equity securities in Aspen subject to a “substantial risk of forfeiture” (within the meaning of Code Section 83 and the Treasury Regulations promulgated thereunder), the applicable holder thereof made a valid Code Section 83(b) election. </w:t>
      </w:r>
    </w:p>
    <w:p>
      <w:pPr>
        <w:pStyle w:val="TextBody"/>
        <w:bidi w:val="0"/>
        <w:spacing w:before="240" w:after="0"/>
        <w:jc w:val="left"/>
        <w:rPr>
          <w:rFonts w:ascii="Times New Roman" w:hAnsi="Times New Roman"/>
          <w:sz w:val="20"/>
        </w:rPr>
      </w:pPr>
      <w:r>
        <w:rPr>
          <w:rFonts w:ascii="Times New Roman" w:hAnsi="Times New Roman"/>
          <w:sz w:val="20"/>
        </w:rPr>
        <w:t>(c) Except for Aspen’s Amended and Restated 2015 Stock Option and Grant Plan, 2018 Stock Option and Incentive Plan, 2019 Inducement Plan, and 2020 Inducement Plan, each, as may be amended (the “</w:t>
      </w:r>
      <w:r>
        <w:rPr>
          <w:rFonts w:ascii="Times New Roman" w:hAnsi="Times New Roman"/>
          <w:b/>
          <w:sz w:val="20"/>
        </w:rPr>
        <w:t>Aspen Stock Plans</w:t>
      </w:r>
      <w:r>
        <w:rPr>
          <w:rFonts w:ascii="Times New Roman" w:hAnsi="Times New Roman"/>
          <w:sz w:val="20"/>
        </w:rPr>
        <w:t>”) and the Aspen 2018 Employee Stock Purchase Plan, as amended (the “</w:t>
      </w:r>
      <w:r>
        <w:rPr>
          <w:rFonts w:ascii="Times New Roman" w:hAnsi="Times New Roman"/>
          <w:b/>
          <w:sz w:val="20"/>
        </w:rPr>
        <w:t>Aspen ESPP</w:t>
      </w:r>
      <w:r>
        <w:rPr>
          <w:rFonts w:ascii="Times New Roman" w:hAnsi="Times New Roman"/>
          <w:sz w:val="20"/>
        </w:rPr>
        <w:t xml:space="preserve">”), and except as set forth on </w:t>
      </w:r>
      <w:r>
        <w:rPr>
          <w:rFonts w:ascii="Times New Roman" w:hAnsi="Times New Roman"/>
          <w:sz w:val="20"/>
          <w:u w:val="single"/>
        </w:rPr>
        <w:t>Section 4.6(c)</w:t>
      </w:r>
      <w:r>
        <w:rPr>
          <w:rFonts w:ascii="Times New Roman" w:hAnsi="Times New Roman"/>
          <w:sz w:val="20"/>
        </w:rPr>
        <w:t xml:space="preserve"> of the Aspen Disclosure Schedule, Aspen does not have any stock option plan or any other plan, program, agreement or arrangement providing for any equity-based compensation for any Person. As of the Capitalization Date, Aspen has reserved 63,538,248 shares of Aspen Common Stock for issuance under the Aspen Stock Plans, of which 44,658,511 shares have been issued and are currently outstanding, 6,141,130 shares have been reserved for issuance upon exercise or settlement of Aspen Options and Aspen Restricted Stock Units, as applicable, granted under the Aspen Stock Plans, and 12,738,607 shares remain available for future issuance pursuant to the Aspen Stock Plans. As of the Capitalization Date, Aspen has reserved 1,766,979 shares of Aspen Common Stock for future issuance pursuant to the Aspen ESPP (of which 302,831 shares have been issued and are currently outstanding). Section 4.6(c)(i) of the Aspen Disclosure Schedule sets forth the following information with respect to each Aspen Option and Aspen Restricted Stock Unit outstanding as of the Capitalization Date, as applicable: (i) the name of the holder, (ii) the number of shares of Aspen Common Stock subject to such Aspen Option and Aspen Restricted Stock Units at the time of grant, (iii) the number of shares of Aspen Common Stock subject to such Aspen Option and Aspen Restricted Stock Units as of the Capitalization Date, (iv) the exercise price of such Aspen Option, (v) the date on which such Aspen Option and Aspen Restricted Stock Units was granted, (vi) the applicable vesting schedule, including any acceleration provisions and the number of vested and unvested shares as of the Capitalization Date, (vii) the date on which such Aspen Option expires, (viii) whether such Aspen Option is intended to be an “incentive stock option” (as defined in the Code) or a nonqualified stock option and (ix) in the case of an Aspen Option, the plan pursuant to which such Aspen Option was granted. Aspen has made available to the Company accurate and complete copies of equity incentive plans pursuant to which Aspen has equity-based awards, the forms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award agreements evidencing such equity-based awards and evidence of board and stockholder approval of the Aspen Stock Plans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(d) Except for the outstanding Aspen Options and Aspen Restricted Stock Units or as set forth on </w:t>
      </w:r>
      <w:r>
        <w:rPr>
          <w:rFonts w:ascii="Times New Roman" w:hAnsi="Times New Roman"/>
          <w:sz w:val="20"/>
          <w:u w:val="single"/>
        </w:rPr>
        <w:t>Section 4.6(d)</w:t>
      </w:r>
      <w:r>
        <w:rPr>
          <w:rFonts w:ascii="Times New Roman" w:hAnsi="Times New Roman"/>
          <w:sz w:val="20"/>
        </w:rPr>
        <w:t xml:space="preserve"> of the Aspen Disclosure Schedule, there is no: (i) outstanding subscription, option, call, warrant or right (whether or not currently exercisable) to acquire any shares of the capital stock or other securities of Aspen, (ii) outstanding security, instrument or obligation that is or may become convertible into or exchangeable for any shares of the capital stock or other securities of Aspen, (iii) stockholder rights plan (or similar plan commonly referred to as a “poison pill”) or Contract under which Aspen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Aspen. There are no outstanding or authorized stock appreciation, phantom stock, profit participation or other similar rights with respect to Aspen. The treatment of the Aspen Options and the Aspen Restricted Stock Units under this Agreement do not violate the terms of the Applicable Aspen Stock Plan.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Aspen Common Stock, Aspen Options, Aspen Restricted Stock Units and other securities of Aspen have been issued and granted in compliance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(f) With respect to Aspen Options and Aspen Restricted Stock Units granted pursuant to the Aspen Stock Plans, (i) each grant of an Aspen Option or Aspen Restricted Stock Unit was duly authorized no later than the date on which the grant of such Aspen Option and Aspen Restricted Stock Unit was by its terms to be effective (the “</w:t>
      </w:r>
      <w:r>
        <w:rPr>
          <w:rFonts w:ascii="Times New Roman" w:hAnsi="Times New Roman"/>
          <w:b/>
          <w:sz w:val="20"/>
        </w:rPr>
        <w:t>Aspen Grant Date</w:t>
      </w:r>
      <w:r>
        <w:rPr>
          <w:rFonts w:ascii="Times New Roman" w:hAnsi="Times New Roman"/>
          <w:sz w:val="20"/>
        </w:rPr>
        <w:t xml:space="preserve">”) by all necessary corporate action, including, as applicable, approval by the Aspen Board (or a duly constituted and authorized committee thereof) or duly authorized officer and any required stockholder approval by the necessary number of votes or written consents, (ii) each Aspen Option and Aspen Restricted Stock Unit grant was made in accordance with the terms of the Aspen Stock Plan pursuant to which it was granted and all other applicable Law and regulatory rules or requirements, and (iii) the per share exercise price of each Aspen Option was not less than the fair market value of a share of Aspen Common Stock on the applicable Aspen Grant Date. </w:t>
      </w:r>
    </w:p>
    <w:p>
      <w:pPr>
        <w:pStyle w:val="TextBody"/>
        <w:bidi w:val="0"/>
        <w:spacing w:before="240" w:after="0"/>
        <w:jc w:val="left"/>
        <w:rPr>
          <w:rFonts w:ascii="Times New Roman" w:hAnsi="Times New Roman"/>
          <w:sz w:val="20"/>
        </w:rPr>
      </w:pPr>
      <w:bookmarkStart w:id="249" w:name="annxa770053_51"/>
      <w:bookmarkEnd w:id="249"/>
      <w:r>
        <w:rPr>
          <w:rFonts w:ascii="Times New Roman" w:hAnsi="Times New Roman"/>
          <w:sz w:val="20"/>
        </w:rPr>
        <w:t xml:space="preserve">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reports, schedules, forms, statements and other documents (including exhibits and all other information incorporated therein) required to be filed or furnished by Aspen with the SEC since January 1, 2021 (the “</w:t>
      </w:r>
      <w:r>
        <w:rPr>
          <w:rFonts w:ascii="Times New Roman" w:hAnsi="Times New Roman"/>
          <w:b/>
          <w:sz w:val="20"/>
        </w:rPr>
        <w:t>Aspen SEC Documents</w:t>
      </w:r>
      <w:r>
        <w:rPr>
          <w:rFonts w:ascii="Times New Roman" w:hAnsi="Times New Roman"/>
          <w:sz w:val="20"/>
        </w:rPr>
        <w:t>”) have been filed or furnished with the SEC on a timely basis (subject to extensions pursuant to Exchange Act Rule 12b-25). As of their respective dates, or, if amended prior to the date of this Agreement, as of the date of (and giving effect to) the last such amendment: (i) each of the Aspen SEC Documents complied as to form in all material respects with the applicable requirements of the Securities Act, the Exchange Act and the Sarbanes-Oxley Act (as the case may be); and (ii) no Aspen SEC Document contained when filed or furnished (and, in the case of registration statements and proxy statements, on the dates of effectiveness and the dates of mailing, respectively) any untrue statement of a material fact or omitted, as the case may be, to state a material fact required to be stated or incorporated by reference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Aspen SEC Documents (collectively, the “</w:t>
      </w:r>
      <w:r>
        <w:rPr>
          <w:rFonts w:ascii="Times New Roman" w:hAnsi="Times New Roman"/>
          <w:b/>
          <w:sz w:val="20"/>
        </w:rPr>
        <w:t>Certifications</w:t>
      </w:r>
      <w:r>
        <w:rPr>
          <w:rFonts w:ascii="Times New Roman" w:hAnsi="Times New Roman"/>
          <w:sz w:val="20"/>
        </w:rPr>
        <w:t xml:space="preserve">”) were, as of their respective dates and in all material respects, accurate and complete and complied as to form and content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and schedules) contained or incorporated by reference in the Aspen SEC Documents: (i) complied as to form in all material respects with the Securities Act and the Exchange Act, as applicable, and the published rules and regulations of the SEC applicable thereto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effect at the time of such filing; (ii) were prepared in accordance with GAAP applied on a consistent basis throughout the periods covered (except as may be indicated in the notes to such financial statements or, in the case of unaudited financial statements, as permitted by Form 10-Q, Form 8-K or any successor form under the Exchange Act); and (iii) fairly present, in all material respects, the consolidated financial position of Aspen and its Subsidiaries as of the respective dates thereof and the consolidated results of operations and cash flows of Aspen and its Subsidiaries for the periods covered thereby (subject, in the case of the unaudited financial statements, to the absence of footnotes and normal year-end audit adjustments that are not individually or in the aggregate material). No financial statements of any Person other than Aspen and its Subsidiaries are required by GAAP to be included in the consolidated financial statements of Aspen. </w:t>
      </w:r>
    </w:p>
    <w:p>
      <w:pPr>
        <w:pStyle w:val="TextBody"/>
        <w:bidi w:val="0"/>
        <w:spacing w:before="240" w:after="0"/>
        <w:jc w:val="left"/>
        <w:rPr>
          <w:rFonts w:ascii="Times New Roman" w:hAnsi="Times New Roman"/>
          <w:sz w:val="20"/>
        </w:rPr>
      </w:pPr>
      <w:r>
        <w:rPr>
          <w:rFonts w:ascii="Times New Roman" w:hAnsi="Times New Roman"/>
          <w:sz w:val="20"/>
        </w:rPr>
        <w:t xml:space="preserve">(c) Aspen’s auditor has at all times since the date of enactment of the Sarbanes-Oxley Act been: (i) a registered public accounting firm (as defined in Section 2(a)(12) of the Sarbanes-Oxley Act), (ii) to the Knowledge of Aspen, “independent” with respect to Aspen within the meaning of Regulation S-X under the Exchange Act and (iii) to the Knowledge of Aspen, in compliance with subsections (g) through (l) of Section 10A of the Exchange Act and the rules and regulations promulgated by the SEC and the Public Company Accounting Oversight Board thereunder.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Section 4.7(d) of the Aspen Disclosure Schedule Aspen has not received any comment letter from the SEC or the staff thereof or any correspondence from Nasdaq or the staff thereof relating to the delisting or maintenance of listing of the Aspen Common Stock on Nasdaq. Aspen has not disclosed any unresolved comments in the Aspen SEC Documents. </w:t>
      </w:r>
    </w:p>
    <w:p>
      <w:pPr>
        <w:pStyle w:val="TextBody"/>
        <w:bidi w:val="0"/>
        <w:spacing w:before="240" w:after="0"/>
        <w:jc w:val="left"/>
        <w:rPr>
          <w:rFonts w:ascii="Times New Roman" w:hAnsi="Times New Roman"/>
          <w:sz w:val="20"/>
        </w:rPr>
      </w:pPr>
      <w:r>
        <w:rPr>
          <w:rFonts w:ascii="Times New Roman" w:hAnsi="Times New Roman"/>
          <w:sz w:val="20"/>
        </w:rPr>
        <w:t xml:space="preserve">(e) There have been no formal internal investigations regarding financial reporting or accounting policies and practices discussed with, reviewed by or initiated at the direction of the chief executive officer, chief financial officer or general counsel of Aspen, the Aspen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on Section 4.7(f) of the Aspen Disclosure Schedule, Aspen is in compliance in all material respects with the applicable provisions of the Sarbanes-Oxley Act, the Exchange Act and the applicable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(g) Aspen maintains, and since January 1, 2021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assets of Aspen and its Subsidiaries; (ii) provide reasonable assurance that transactions are recorded as necessary to permit preparation of financial statements in conformity with GAAP and that receipts and expenditures are being made only in accordance with authorizations of management and the Aspen Board; and (iii) provide reasonable assurance regarding prevention or timely detection of unauthorized acquisition, use or disposition of the assets of Aspen and its Subsidiaries that could have a material effect on Aspen’s financial statements. Since January 1, 2021, neither Aspen nor Aspen’s independent registered accountant has identified or been made aware of: (A) any significant deficiency or material weakness in the design or operation of the internal control over financial reporting utilized by Aspen, which is reasonably likely to adversely affect Aspen’s ability to record, process, summarize and report financial information; or (B) any fraud, whether or not material, that involves the management or other employees of Aspen who have a significant role in Aspen’s internal control over financial reporting. Aspen maintains disclosure controls and procedures (as defined by Rule 13a-15(e) or 15d-15(e) under the Exchange Act) that are reasonably designed to ensure that all information required to be disclosed in Aspen’s reports that it files or submits under the Exchange Act is recorded, processed, summarized and reported within the time periods specified in the rules and forms of the SEC and that all such information is accumulated and communicated to Aspen’s management as appropriate to allow timely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regarding required disclosure. Since January 1, 2021, the principal executive officer and the principal financial officer of Aspen have made all certifications required by the Exchange Act and the Sarbanes-Oxley Act. Aspen is in compliance in all material respects with all current listing and corporate governance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(h) None of Aspen or any of its Subsidiaries has effected, entered into or created, or has any commitment to effect, enter into or create, any securitization transaction or “off-balance sheet arrangement” (as defined in Section 2.03 of Form 8-K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 As of the date hereof, there are no outstanding or unresolved comments in comment letters received from the SEC with respect to the Aspen SEC Documents. To the Knowledge of Aspen, (i) none of the Aspen SEC Documents is the subject of ongoing SEC review and (ii) there are no material inquiries or investigations by the SEC or any internal investigations pending or threatened in writing regarding any accounting practices of Aspen. </w:t>
      </w:r>
    </w:p>
    <w:p>
      <w:pPr>
        <w:pStyle w:val="TextBody"/>
        <w:bidi w:val="0"/>
        <w:spacing w:before="240" w:after="0"/>
        <w:jc w:val="left"/>
        <w:rPr>
          <w:rFonts w:ascii="Times New Roman" w:hAnsi="Times New Roman"/>
          <w:sz w:val="20"/>
        </w:rPr>
      </w:pPr>
      <w:r>
        <w:rPr>
          <w:rFonts w:ascii="Times New Roman" w:hAnsi="Times New Roman"/>
          <w:sz w:val="20"/>
        </w:rPr>
        <w:t xml:space="preserve">(j) Except as permitted by the Exchange Act, including Sections 13(k)(2) and (3), since January 1, 2021, none of Aspen or any of its Subsidiaries has made or permitted to remain outstanding any “extensions of credit” (within the meaning of Section 402 of the Sarbanes-Oxley Act) or prohibited loans to any executive officer (as defined in Rule 3b-7 under the Exchange Act) or director of Aspen. </w:t>
      </w:r>
    </w:p>
    <w:p>
      <w:pPr>
        <w:pStyle w:val="TextBody"/>
        <w:bidi w:val="0"/>
        <w:spacing w:before="240" w:after="0"/>
        <w:jc w:val="left"/>
        <w:rPr>
          <w:rFonts w:ascii="Times New Roman" w:hAnsi="Times New Roman"/>
          <w:sz w:val="20"/>
        </w:rPr>
      </w:pPr>
      <w:bookmarkStart w:id="250" w:name="annxa770053_52"/>
      <w:bookmarkEnd w:id="250"/>
      <w:r>
        <w:rPr>
          <w:rFonts w:ascii="Times New Roman" w:hAnsi="Times New Roman"/>
          <w:sz w:val="20"/>
        </w:rPr>
        <w:t xml:space="preserve">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Aspen Disclosure Schedule, between December 31, 2022 and the date of this Agreement, Aspen has conducted its business only in the Ordinary Course of Business (except for the execution and performance of this Agreement and the discussions, negotiations and transactions related thereto) and there has not been any (a) Aspen Material Adverse Effect or (b) action, event or occurrence that would have required consent of the Company pursuant to </w:t>
      </w:r>
      <w:r>
        <w:rPr>
          <w:rFonts w:ascii="Times New Roman" w:hAnsi="Times New Roman"/>
          <w:sz w:val="20"/>
          <w:u w:val="single"/>
        </w:rPr>
        <w:t>Section 5.1(b)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251" w:name="annxa770053_53"/>
      <w:bookmarkEnd w:id="251"/>
      <w:r>
        <w:rPr>
          <w:rFonts w:ascii="Times New Roman" w:hAnsi="Times New Roman"/>
          <w:sz w:val="20"/>
        </w:rPr>
        <w:t xml:space="preserve">4.9 </w:t>
      </w:r>
      <w:r>
        <w:rPr>
          <w:rFonts w:ascii="Times New Roman" w:hAnsi="Times New Roman"/>
          <w:sz w:val="20"/>
          <w:u w:val="single"/>
        </w:rPr>
        <w:t>Absence of Undisclosed Liabilities</w:t>
      </w:r>
      <w:r>
        <w:rPr>
          <w:rFonts w:ascii="Times New Roman" w:hAnsi="Times New Roman"/>
          <w:sz w:val="20"/>
        </w:rPr>
        <w:t xml:space="preserve">. Since December 31, 2022, Aspen and its Subsidiaries do not have any Liabilities of a type required to be reflected or reserved for on a balance sheet prepared in accordance with GAAP, except for (i) Liabilities or obligations specifically disclosed, reflected or reserved against in the Aspen Balance Sheet; (ii) Liabilities incurred in the Ordinary Course of Business since the date of the Aspen Balance Sheet; (iii) Liabilities to perform under Contracts entered into by Aspen or its Subsidiaries (none of which is a Liability for breach of contract, breach of warranty, tort, infringement, violation of Law, or that relates to any lawsuit); (iv) Liabilities incurred in connection with the Contemplated Transactions; and (v) Liabilities that would not be reasonably expected to have, individually or in the aggregate, an Aspen Material Adverse Effect. </w:t>
      </w:r>
    </w:p>
    <w:p>
      <w:pPr>
        <w:pStyle w:val="TextBody"/>
        <w:bidi w:val="0"/>
        <w:spacing w:before="240" w:after="0"/>
        <w:jc w:val="left"/>
        <w:rPr>
          <w:rFonts w:ascii="Times New Roman" w:hAnsi="Times New Roman"/>
          <w:sz w:val="20"/>
        </w:rPr>
      </w:pPr>
      <w:bookmarkStart w:id="252" w:name="annxa770053_54"/>
      <w:bookmarkEnd w:id="252"/>
      <w:r>
        <w:rPr>
          <w:rFonts w:ascii="Times New Roman" w:hAnsi="Times New Roman"/>
          <w:sz w:val="20"/>
        </w:rPr>
        <w:t xml:space="preserve">4.10 </w:t>
      </w:r>
      <w:r>
        <w:rPr>
          <w:rFonts w:ascii="Times New Roman" w:hAnsi="Times New Roman"/>
          <w:sz w:val="20"/>
          <w:u w:val="single"/>
        </w:rPr>
        <w:t>Title to Assets</w:t>
      </w:r>
      <w:r>
        <w:rPr>
          <w:rFonts w:ascii="Times New Roman" w:hAnsi="Times New Roman"/>
          <w:sz w:val="20"/>
        </w:rPr>
        <w:t xml:space="preserve">. Each of Aspen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Aspen Balance Sheet and (b) all other tangible assets reflected in the books and records of Aspen as being owned by Aspen. All of such assets are owned or, in the case of leased assets, leased by Aspen or any of its Subsidiaries free and clear of any Encumbrances, other than Permitted Encumbrances. </w:t>
      </w:r>
    </w:p>
    <w:p>
      <w:pPr>
        <w:pStyle w:val="TextBody"/>
        <w:bidi w:val="0"/>
        <w:spacing w:before="240" w:after="0"/>
        <w:jc w:val="left"/>
        <w:rPr>
          <w:rFonts w:ascii="Times New Roman" w:hAnsi="Times New Roman"/>
          <w:sz w:val="20"/>
        </w:rPr>
      </w:pPr>
      <w:bookmarkStart w:id="253" w:name="annxa770053_55"/>
      <w:bookmarkEnd w:id="253"/>
      <w:r>
        <w:rPr>
          <w:rFonts w:ascii="Times New Roman" w:hAnsi="Times New Roman"/>
          <w:sz w:val="20"/>
        </w:rPr>
        <w:t xml:space="preserve">4.11 </w:t>
      </w:r>
      <w:r>
        <w:rPr>
          <w:rFonts w:ascii="Times New Roman" w:hAnsi="Times New Roman"/>
          <w:sz w:val="20"/>
          <w:u w:val="single"/>
        </w:rPr>
        <w:t>Real Property; Leasehold</w:t>
      </w:r>
      <w:r>
        <w:rPr>
          <w:rFonts w:ascii="Times New Roman" w:hAnsi="Times New Roman"/>
          <w:sz w:val="20"/>
        </w:rPr>
        <w:t>. Neither Aspen nor any of its Subsidiaries owns or has ever owned any real property. Aspen has made available to the Company (a) an accurate and complete list of all real properties with respect to which Aspen directly or indirectly holds a valid leasehold interest as well as any other real estate that is in the possession of or leased by Aspen or any of its Subsidiaries and (b) copies of all leases under which any such real property is possessed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bidi w:val="0"/>
        <w:jc w:val="left"/>
        <w:rPr/>
      </w:pPr>
      <w:r>
        <w:rPr/>
      </w:r>
    </w:p>
    <w:p>
      <w:pPr>
        <w:pStyle w:val="TextBody"/>
        <w:bidi w:val="0"/>
        <w:spacing w:before="0" w:after="0"/>
        <w:jc w:val="left"/>
        <w:rPr>
          <w:rFonts w:ascii="Times New Roman" w:hAnsi="Times New Roman"/>
          <w:sz w:val="20"/>
        </w:rPr>
      </w:pPr>
      <w:bookmarkStart w:id="254" w:name="annxa770053_56"/>
      <w:bookmarkEnd w:id="254"/>
      <w:r>
        <w:rPr>
          <w:rFonts w:ascii="Times New Roman" w:hAnsi="Times New Roman"/>
          <w:sz w:val="20"/>
        </w:rPr>
        <w:t xml:space="preserve">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Aspen Disclosure Schedule contains a true and complete list of all issued Patents, Marks and Copyrights included in the Aspen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hAnsi="Times New Roman"/>
          <w:b/>
          <w:sz w:val="20"/>
        </w:rPr>
        <w:t>Aspen Registered IP</w:t>
      </w:r>
      <w:r>
        <w:rPr>
          <w:rFonts w:ascii="Times New Roman" w:hAnsi="Times New Roman"/>
          <w:sz w:val="20"/>
        </w:rPr>
        <w:t xml:space="preserve">”), including, with respect to each such item, (i) the jurisdiction of application/registration, (ii) the application or registration number, (iii) the date of filing, or issuance or registration, and (iv) the record owner or owners, for each such item. Each material item of Aspen Registered IP, except for Patents, is subsisting, valid and enforceable. With respect to Patents, each material item of Aspen Registered IP is subsisting and, to the Knowledge of Aspen, all issued Patents within the Aspen Registered IP are valid and enforceable. All filing, registration, maintenance, renewal and similar fees applicable to any Aspen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 interference, opposition, reissue, reexamination, or cancellation proceeding or other Legal Proceeding (other than routine ordinary course proceedings as part of patent prosecution) is pending or, to the Knowledge of Aspen, threatened regarding any Aspen Intellectual Property, including with respect to the scope, validity, enforceability, registration, priority, inventorship or ownership of, or rights to, any Aspen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All founders, key employees and any other employees, contractors, consultants or other personnel involved in the development of Aspen Owned Intellectual Property have signed confidentiality and invention assignment agreements or similar agreements for the transfer or assignment of such Aspen Owned Intellectual Property pursuant to which both (i) Aspen has obtained ownership of and are the exclusive owners of all right, title and interest in and to such Aspen Owned Intellectual Property, and (ii) such personnel are bound by commercially reasonable confidentiality obligations with respect to all Aspen Intellectual Property. To the Knowledge of Aspen, no such personnel are in violation of any such agreements, or of any agreements with any prior employer or other Person with respect to development of any Aspen Owned Intellectual Property,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Aspen Owned Intellectual Property is solely and exclusively owned by Aspen free and clear of any Encumbrance, other than Permitted Encumbrances. To the Knowledge of Aspen, except as would not reasonably be expected to have, individually or in the aggregate, an Aspen Material Adverse Effect, the Aspen Licensed Intellectual Property is in-licensed by Aspen, free and clear of any Encumbrance, other than Permitted Encumbrances. Except as would not reasonably be expected to have, individually or in the aggregate, an Aspen Material Adverse Effect, such ownership or licenses will not be affected by the execution, delivery, or performance of this Agreement or the consummation of the Transactions, and all Intellectual Property subject thereto will be owned or in-licensed by Aspen on the same terms and conditions thereafter. To the Knowledge of Aspen, Aspen owns or has a valid and enforceable license to use all material Intellectual Property necessary for, or used or held for use in, the operation of the business of Aspen as presently conducted; provided that the foregoing is not, and shall not be construed as, a representation or warranty regarding non-infringement, misappropriation or other violation by Aspen of the Intellectual Property of other Persons. To the Knowledge of Aspen, no current or former director, officer, employee or contractor of, or consultant to, Aspen owns or has any claim, right (whether or not currently exercisable) or interest (or, to the Knowledge of Aspen, has alleged that they own or have any such claim, right or interest) to or in any Aspen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Aspen, the operation of the business of Aspen as of the date of this Agreement does not infringe, misappropriate or otherwise violate, and as currently conducted has not infringed, misappropriated or otherwise violated, and the further research, development and commercialization of Aspen Products as currently planned by Aspen will not infringe, misappropriate or otherwise violate, any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Property owned by any other Person, except as would not reasonably be expected to have, individually or in the aggregate, an Aspen Material Adverse Effect. As of the date hereof, neither Aspen, nor, to the Knowledge of Aspen, any of the licensors of Aspen, has received any notice or claim alleging any such infringement, misappropriation or other violation, including any so-called “invitation to license” letter. As of the date hereof, no Legal Proceeding, is pending or, to the Knowledge of Aspen, has been threatened, against Aspen or such licensors relating to any infringement, misappropriation or other violation of any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Neither Aspen nor Aspen Owned Intellectual Property is subject to any Order as of the date hereof, and neither Aspen nor, to the Knowledge of Aspen, any of its licensors has entered into or is a party to any agreement made in settlement of any pending litigation or other Legal Proceeding, which in any case restricts, impairs or relates Aspen’s to use or other exploitation in any manner of any Aspen Intellectual Property or of any other Intellectual Property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Aspen, no Person is infringing, misappropriating or otherwise violating, or has infringed, misappropriated or otherwise violated, any Aspen Intellectual Property, and no Legal Proceeding has been asserted or is pending or has been threatened against any Person alleging any such infringement, misappropriation or other violation of any Aspen Intellectual Property,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Aspen has taken commercially reasonable steps necessary to maintain and protect the secrecy and confidentiality (including limitations on use) of all Trade Secrets and other confidential information included in Aspen Intellectual Property and, to the Knowledge of Aspen, there has not been any unauthorized use, disclosure of or access to any such Trade Secrets or other confidential information,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4.12(i)</w:t>
      </w:r>
      <w:r>
        <w:rPr>
          <w:rFonts w:ascii="Times New Roman" w:hAnsi="Times New Roman"/>
          <w:sz w:val="20"/>
        </w:rPr>
        <w:t xml:space="preserve"> of Aspen Disclosure Schedule contains a true and complete list of any and all material Aspen Intellectual Property that is Government Funded IP. Aspen, and, to the Knowledge of Aspen, each of its licensors with respect to any Government Funded IP, have complied with any and all any Intellectual Property disclosure, licensing and other obligations under any applicable Aspen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Aspen, each item of Aspen Intellectual Property that is Aspen Registered IP owned by Aspen is and at all times has been filed and maintained in compliance with all applicable Law and all filings, payments, and other actions required to be made or taken to maintain such item of Aspen Registered IP in full force and effect have been made by the applicable deadline,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(k) Except as contained in agreements entered into in the ordinary course of business by Aspen as of the Closing Date or as disclosed in Section 4.12(k) of this Disclosure Schedule, (i) Aspen is not bound by any Aspen Contract to indemnify, defend, hold harmless, or reimburse any other Person with respect to any infringement, misappropriation, or similar claim relating to Intellectual Property that is material to Aspen, taken as a whole and (ii) Aspen has not ever assumed, or agreed to discharge or otherwise take responsibility for, any existing or potential liability of another Person for infringement, misappropriation, or violation of any material Intellectual Property right. </w:t>
      </w:r>
    </w:p>
    <w:p>
      <w:pPr>
        <w:pStyle w:val="TextBody"/>
        <w:bidi w:val="0"/>
        <w:spacing w:before="240" w:after="0"/>
        <w:jc w:val="left"/>
        <w:rPr>
          <w:rFonts w:ascii="Times New Roman" w:hAnsi="Times New Roman"/>
          <w:sz w:val="20"/>
        </w:rPr>
      </w:pPr>
      <w:r>
        <w:rPr>
          <w:rFonts w:ascii="Times New Roman" w:hAnsi="Times New Roman"/>
          <w:sz w:val="20"/>
        </w:rPr>
        <w:t xml:space="preserve">(l) Aspen has delivered or made available to Aspen, a complete and accurate copy of all Aspen License Agreements. With respect to each of the material Aspen License Agreements: and except as disclosed in Section 4.12(l) of the Disclosure Schedule (i) to the Knowledge of Aspen each such agreement is valid, binding on, enforceable against Aspen, in accordance with its terms, subject to the Enforceability Exceptions, (ii)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not received any written notice of termination or cancellation under such agreement, or received any written notice of breach or default under such agreement, which breach has not been cured or waived and (iii) neither Aspen nor to the Knowledge of Aspen, no other party to any such agreement, is in breach or default thereof in any material respect. </w:t>
      </w:r>
    </w:p>
    <w:p>
      <w:pPr>
        <w:pStyle w:val="TextBody"/>
        <w:bidi w:val="0"/>
        <w:spacing w:before="240" w:after="0"/>
        <w:jc w:val="left"/>
        <w:rPr>
          <w:rFonts w:ascii="Times New Roman" w:hAnsi="Times New Roman"/>
          <w:sz w:val="20"/>
        </w:rPr>
      </w:pPr>
      <w:bookmarkStart w:id="255" w:name="annxa770053_57"/>
      <w:bookmarkEnd w:id="255"/>
      <w:r>
        <w:rPr>
          <w:rFonts w:ascii="Times New Roman" w:hAnsi="Times New Roman"/>
          <w:sz w:val="20"/>
        </w:rPr>
        <w:t xml:space="preserve">4.13 </w:t>
      </w:r>
      <w:r>
        <w:rPr>
          <w:rFonts w:ascii="Times New Roman" w:hAnsi="Times New Roman"/>
          <w:sz w:val="20"/>
          <w:u w:val="single"/>
        </w:rPr>
        <w:t>Agreements, Contracts and Commitments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4.13(a)</w:t>
      </w:r>
      <w:r>
        <w:rPr>
          <w:rFonts w:ascii="Times New Roman" w:hAnsi="Times New Roman"/>
          <w:sz w:val="20"/>
        </w:rPr>
        <w:t xml:space="preserve"> of the Aspen Disclosure Schedule identifies each of the following types of Aspen Contracts that is in effect as of the date of this Agreement, other than Aspen Employee Plans, the definitive agreements in respect of the Contemplated Transactions and Contracts filed as exhibits to the Aspen SEC Documents (each, an “</w:t>
      </w:r>
      <w:r>
        <w:rPr>
          <w:rFonts w:ascii="Times New Roman" w:hAnsi="Times New Roman"/>
          <w:b/>
          <w:sz w:val="20"/>
        </w:rPr>
        <w:t>Aspen Material Contract</w:t>
      </w:r>
      <w:r>
        <w:rPr>
          <w:rFonts w:ascii="Times New Roman" w:hAnsi="Times New Roman"/>
          <w:sz w:val="20"/>
        </w:rPr>
        <w:t>” and collectively, the “</w:t>
      </w:r>
      <w:r>
        <w:rPr>
          <w:rFonts w:ascii="Times New Roman" w:hAnsi="Times New Roman"/>
          <w:b/>
          <w:sz w:val="20"/>
        </w:rPr>
        <w:t>Aspen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is a “material contract” (as such term is defined in Item 601(b)(10) of Regulation S-K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(ii) that relates to any material bonus, deferred compensation, or severance plans or arrangements; </w:t>
      </w:r>
    </w:p>
    <w:p>
      <w:pPr>
        <w:pStyle w:val="TextBody"/>
        <w:bidi w:val="0"/>
        <w:spacing w:before="120" w:after="0"/>
        <w:jc w:val="left"/>
        <w:rPr>
          <w:rFonts w:ascii="Times New Roman" w:hAnsi="Times New Roman"/>
          <w:sz w:val="20"/>
        </w:rPr>
      </w:pPr>
      <w:r>
        <w:rPr>
          <w:rFonts w:ascii="Times New Roman" w:hAnsi="Times New Roman"/>
          <w:sz w:val="20"/>
        </w:rPr>
        <w:t xml:space="preserve">(iii) evidencing a commitment by Aspen or any of its Subsidiaries to make a future capital expenditure in excess of $250,000 that is not terminable by such Entity upon notice of sixty (60) days or less without penalty or liability; </w:t>
      </w:r>
    </w:p>
    <w:p>
      <w:pPr>
        <w:pStyle w:val="TextBody"/>
        <w:bidi w:val="0"/>
        <w:spacing w:before="120" w:after="0"/>
        <w:jc w:val="left"/>
        <w:rPr>
          <w:rFonts w:ascii="Times New Roman" w:hAnsi="Times New Roman"/>
          <w:sz w:val="20"/>
        </w:rPr>
      </w:pPr>
      <w:r>
        <w:rPr>
          <w:rFonts w:ascii="Times New Roman" w:hAnsi="Times New Roman"/>
          <w:sz w:val="20"/>
        </w:rPr>
        <w:t xml:space="preserve">(iv) that requires payments by Aspen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Aspen or any of its Subsidiaries on thirty (30) calendar days’ or less notice without liability, except to the extent general principles of wrongful termination Law may limit Aspen’s, or such successor’s ability to terminate employees at will; </w:t>
      </w:r>
    </w:p>
    <w:p>
      <w:pPr>
        <w:pStyle w:val="TextBody"/>
        <w:bidi w:val="0"/>
        <w:spacing w:before="120" w:after="0"/>
        <w:jc w:val="left"/>
        <w:rPr>
          <w:rFonts w:ascii="Times New Roman" w:hAnsi="Times New Roman"/>
          <w:sz w:val="20"/>
        </w:rPr>
      </w:pPr>
      <w:r>
        <w:rPr>
          <w:rFonts w:ascii="Times New Roman" w:hAnsi="Times New Roman"/>
          <w:sz w:val="20"/>
        </w:rPr>
        <w:t xml:space="preserve">(v) (A) that includes (1) any “most favored nations” terms or conditions, including with respect to pricing, (2) containing exclusivity obligations or otherwise limiting the freedom or right of Aspen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 occupy any securities, assets (including Intellectual Property) or other interest of Aspen or any of its Subsidiaries or (B) containing any provision or covenant that materially limits, or purports to materially limit, the ability of Aspen or any of its Subsidiaries to engage in any line of business (whether generally or in any geographic area) or compete with any Person or in any line of business or geographic area; </w:t>
      </w:r>
    </w:p>
    <w:p>
      <w:pPr>
        <w:pStyle w:val="TextBody"/>
        <w:bidi w:val="0"/>
        <w:spacing w:before="120" w:after="0"/>
        <w:jc w:val="left"/>
        <w:rPr>
          <w:rFonts w:ascii="Times New Roman" w:hAnsi="Times New Roman"/>
          <w:sz w:val="20"/>
        </w:rPr>
      </w:pPr>
      <w:r>
        <w:rPr>
          <w:rFonts w:ascii="Times New Roman" w:hAnsi="Times New Roman"/>
          <w:sz w:val="20"/>
        </w:rPr>
        <w:t xml:space="preserve">(vi) relating to or evidencing indebtedness for borrowed money or any guarantee of indebtedness for borrowed money by Aspen or any of its Subsidiaries in excess of $250,000 (excluding loans by Aspen to wholly-owned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providing for or governing the formation of any joint venture, partnership, strategic alliance, research and development collaboration,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(viii) providing for uncapped indemnification or guaranty to a third party, in each case except (A) as entered into in the Ordinary Course of Business and (B) for any Aspen Outbound License; </w:t>
      </w:r>
    </w:p>
    <w:p>
      <w:pPr>
        <w:pStyle w:val="TextBody"/>
        <w:bidi w:val="0"/>
        <w:spacing w:before="120" w:after="0"/>
        <w:jc w:val="left"/>
        <w:rPr>
          <w:rFonts w:ascii="Times New Roman" w:hAnsi="Times New Roman"/>
          <w:sz w:val="20"/>
        </w:rPr>
      </w:pPr>
      <w:r>
        <w:rPr>
          <w:rFonts w:ascii="Times New Roman" w:hAnsi="Times New Roman"/>
          <w:sz w:val="20"/>
        </w:rPr>
        <w:t>(ix) (A) pursuant to which any Person granted Aspen an exclusive license under any Intellectual Property, or (B) pursuant to which Aspen or any of its Subsidiaries granted any Person an exclusive license under any Aspen Intellectual Property (“</w:t>
      </w:r>
      <w:r>
        <w:rPr>
          <w:rFonts w:ascii="Times New Roman" w:hAnsi="Times New Roman"/>
          <w:b/>
          <w:sz w:val="20"/>
        </w:rPr>
        <w:t>Aspen License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that has continuing obligations or interests involving (A) “milestone” or other similar contingent payments, including upon the achievement of development, regulatory or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milestones, or (B) payment of royalties or other amounts calculated based upon sales, revenue, income or similar measure of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 that is a settlement, conciliation or similar Contract with or approved by any Governmental Authority (A) pursuant to which Aspen or any of its Subsidiaries will be required after the date of this Agreement to pay any monetary obligations or (B) that contains material obligations or limitations on the conduct of Aspen or any of its Subsidiaries (other than customary confidentiality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 with any Governmental Authority, except for materials transfer agreements, agreements with academic institutions and non-disclosure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(xiii) that is a clinical trial agreement, clinical study agreement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(xiv) (A) that is a collective bargaining agreement or (B) with any labor organization; </w:t>
      </w:r>
    </w:p>
    <w:p>
      <w:pPr>
        <w:pStyle w:val="TextBody"/>
        <w:bidi w:val="0"/>
        <w:spacing w:before="120" w:after="0"/>
        <w:jc w:val="left"/>
        <w:rPr>
          <w:rFonts w:ascii="Times New Roman" w:hAnsi="Times New Roman"/>
          <w:sz w:val="20"/>
        </w:rPr>
      </w:pPr>
      <w:r>
        <w:rPr>
          <w:rFonts w:ascii="Times New Roman" w:hAnsi="Times New Roman"/>
          <w:sz w:val="20"/>
        </w:rPr>
        <w:t xml:space="preserve">(xv) that prohibits the payment of dividends or distributions in respect of the capital stock of Aspen or any of its Subsidiaries, the pledging of the capital stock or other equity interests of Aspen or any of its Subsidiaries or the issuance of any guaranty by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 relating to the disposition or acquisition of material assets or any ownership interest in any Entity; </w:t>
      </w:r>
    </w:p>
    <w:p>
      <w:pPr>
        <w:pStyle w:val="TextBody"/>
        <w:bidi w:val="0"/>
        <w:spacing w:before="120" w:after="0"/>
        <w:jc w:val="left"/>
        <w:rPr>
          <w:rFonts w:ascii="Times New Roman" w:hAnsi="Times New Roman"/>
          <w:sz w:val="20"/>
        </w:rPr>
      </w:pPr>
      <w:r>
        <w:rPr>
          <w:rFonts w:ascii="Times New Roman" w:hAnsi="Times New Roman"/>
          <w:sz w:val="20"/>
        </w:rPr>
        <w:t xml:space="preserve">(xvii) requiring payment by or to Aspen or any of its Subsidiaries after the date of this Agreement in excess of $150,000 pursuant to its express terms relating to: (A) any distribution agreement (identifying any that contain exclusivity provisions), (B) any agreement involving provision of services or products with respect to any pre-clinical or clinical development activities of Aspen or any of its Subsidiaries, (C) any dealer, distributor, joint marketing, alliance, joint venture, cooperation, development or other agreement currently in force under which Aspen or any of its Subsidiaries has continuing obligations to develop or market any product, technology or service, or any agreement pursuant to which Aspen or any of its Subsidiaries has continuing obligations to develop any Intellectual Property that will not be owned, in whole or in part, by Aspen or (D) any Contract to license any patent, trademark registration, service mark registration, trade name or copyright registration to or from any third party to manufacture or produce any product, service or technology of Aspen or any of its Subsidiaries or any Contract to sell, distribute or commercialize any products or service of Aspen or any of its Subsidiaries, in each case, except for Aspen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(xviii) with any Person, including any financial advisor, broker, finder, investment banker or other Person, providing advisory services to Aspen or any of its Subsidiaries in connection with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(xix) that was entered into since January 1, 2021 and (A) was entered into with any present or former officer, director or employee of Aspen or any of its Subsidiaries (other than indemnification agreements or any Employee Plans entered into in the ordinary course of business) or (B) is the type of Contract that would be required to be disclosed under Item 404 of Regulation S-K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Aspen has delivered or made available to the Company accurate and complete copies of all Aspen Material Contracts, including all amendments thereto. There are no Aspen Material Contracts that are not in written form. Aspen has not nor, to Aspen’s Knowledge as of the date of this Agreement, has any other party to an Aspen Material Contract, breached, violated or defaulted under, or received notice that it breached, violated or defaulted under, any of the terms or conditions of any Aspen Material Contract in such manner as would permit any other party to cancel or terminate any such Aspen Material Contract, or would permit any other party to seek damages which would reasonably be expected to have an Aspen Material Adverse Effect. As to Aspen and its Subsidiaries, as of the date of this Agreement, each Aspen Material Contract is valid, binding, enforceable and in full force and effect, subject to the Enforceability Exceptions. No Person is renegotiating, or has a right pursuant to the terms of any Aspen Material Contract to change any material amount paid or payable to Aspen under any Aspen Material Contract or any other material term or provision of any Aspen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bidi w:val="0"/>
        <w:jc w:val="left"/>
        <w:rPr/>
      </w:pPr>
      <w:r>
        <w:rPr/>
      </w:r>
    </w:p>
    <w:p>
      <w:pPr>
        <w:pStyle w:val="TextBody"/>
        <w:bidi w:val="0"/>
        <w:spacing w:before="0" w:after="0"/>
        <w:jc w:val="left"/>
        <w:rPr>
          <w:rFonts w:ascii="Times New Roman" w:hAnsi="Times New Roman"/>
          <w:sz w:val="20"/>
        </w:rPr>
      </w:pPr>
      <w:bookmarkStart w:id="256" w:name="annxa770053_58"/>
      <w:bookmarkEnd w:id="256"/>
      <w:r>
        <w:rPr>
          <w:rFonts w:ascii="Times New Roman" w:hAnsi="Times New Roman"/>
          <w:sz w:val="20"/>
        </w:rPr>
        <w:t xml:space="preserve">4.14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its Subsidiaries is, and since January 1, 2021, has been in compliance in all material respects with all Laws applicable to Aspen and its Subsidiaries, and, since January 1, 2021, Aspen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Aspen and its Subsidiaries holds, and since January 1, 2021 has held, all Governmental Authorizations necessary for Aspen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Aspen and its Subsidiaries, taken as a whole. The Governmental Authorizations held by Aspen and its Subsidiaries are (i) valid and in full force and effect and (ii) are not subject to any administrative or judicial proceeding that would reasonably be expected to result in any termination, suspension, revocation or nonrenewal thereof (and, to the Knowledge of Aspen, no such termination, suspension, revocation or nonrenewal has been otherwise threatened in writing), and Aspen and its Subsidiaries are in compliance with the terms and requirements thereof, except in the case of each of clauses (i) and (ii) as would not reasonably be expected to be, individually or in the aggregate, material to Aspen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Aspen Products,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an Aspen Material Adverse Effect. As of the date hereof, neither Aspen nor its Subsidiaries nor, to the Knowledge of Aspen, any Collaboration Partner has received any written notices or other correspondence from any Drug Governmental Authority or any institutional review board or ethics committee with respect to any ongoing clinical or preclinical studies or trials (i) placing a clinical hold order on any such studies or trials or (ii) otherwise requiring the delay, termination, or suspension of such studies or trials. Since January 1, 2021, neither Aspen nor its Subsidiaries nor, to the Knowledge of Aspen, any Collaboration Partner has received any Form FDA 483, warning letter, notice of violation, or other written administrative, regulatory or enforcement notice from the FDA or any other Drug Governmental Authority related to the Aspen Products. </w:t>
      </w:r>
    </w:p>
    <w:p>
      <w:pPr>
        <w:pStyle w:val="TextBody"/>
        <w:bidi w:val="0"/>
        <w:spacing w:before="240" w:after="0"/>
        <w:jc w:val="left"/>
        <w:rPr>
          <w:rFonts w:ascii="Times New Roman" w:hAnsi="Times New Roman"/>
          <w:sz w:val="20"/>
        </w:rPr>
      </w:pPr>
      <w:r>
        <w:rPr>
          <w:rFonts w:ascii="Times New Roman" w:hAnsi="Times New Roman"/>
          <w:sz w:val="20"/>
        </w:rPr>
        <w:t xml:space="preserve">(d) Aspen and its Subsidiaries have filed with the applicable Drug Governmental Authorities all required material Healthcare Submissions with respect to the Aspen Products. All filings for Aspen Governmental Authorizations and Healthcare Submissions were complete and accurate in all material respects and in material compliance with applicable Laws and Orders when filed, or were subsequently corrected or completed by a subsequent filing made prior to the date hereof. No deficiencies have been asserted in writing by any applicable Drug Governmental Authority to Aspen and its Subsidiaries with respect to any Healthcare Submission, except as are not, and would not reasonably be expected to be, individually or in the aggregate, material to Aspen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2021, neither Aspen nor its Subsidiaries, nor any authorized person acting on their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Aspen nor its Subsidiaries, nor any director, officer or employee of Aspen or its Subsidiaries (acting in the capacity of a director, officer or employee of Aspen or its Subsidiaries) or, to the Knowledge of Aspen, any representative or agent of Aspen or its Subsidiaries (acting in the capacity of a representative or agent of Aspen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 (iv) convicted of any crime or engaged in any conduct that would reasonably be expected to result in debarment, exclusion or suspension as described in the foregoing clauses (i), (ii) or (iii); (v) declared ineligible for awards of contracts by any U.S. or non-U.S. federal, state, provincial or other agency; (vi) disqualified as a clinical investigator by the FDA or any other Drug Governmental Authority; or (vii) convicted of any offense related to any U.S. or non-U.S. federal, state, provincial or other healthcare program. </w:t>
      </w:r>
    </w:p>
    <w:p>
      <w:pPr>
        <w:pStyle w:val="TextBody"/>
        <w:bidi w:val="0"/>
        <w:spacing w:before="240" w:after="0"/>
        <w:jc w:val="left"/>
        <w:rPr>
          <w:rFonts w:ascii="Times New Roman" w:hAnsi="Times New Roman"/>
          <w:sz w:val="20"/>
        </w:rPr>
      </w:pPr>
      <w:r>
        <w:rPr>
          <w:rFonts w:ascii="Times New Roman" w:hAnsi="Times New Roman"/>
          <w:sz w:val="20"/>
        </w:rPr>
        <w:t xml:space="preserve">(g) Except with respect to any Aspen Product for which Aspen has withdrawn and/or terminated the IND and/or CTA, as applicable, and excluding any compassionate use/named patient activities not sponsored by Aspen, Aspen has made available to the Company complete and accurate copies of (i) each investigational new drug application and all material correspondence relating to clinical trial applications submitted to the FDA or any other Drug Governmental Authority by or on behalf of Aspen, including any supplements or amendments thereto, relating to any Aspen Product, (ii) all final preclinical study and clinical trial results or reports relating to any Aspen Product, (iii) all documents in the possession of Aspen or its Subsidiaries related to inspections by any Drug Governmental Authority, in each case relating to any Aspen Product, (iv) all material information relating to adverse drug experiences, events or reactions or other safety information obtained or otherwise received by Aspen relating to any Aspen Product, and (v) clinical trial databases, clinical trial master files, and statistical programs for ongoing and completed clinical trials and studies in the possession of Aspen or its Subsidiaries or, to the Knowledge of Aspen, in a Collaboration Partner’s possession, relating to any Aspen Product. Aspen has a complete log of the material correspondence described in clause (i) of this section, except as has not been, and would not reasonably be expected to be, individually or in the aggregate, material to Aspen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neither Aspen nor any of its Subsidiaries has any current or future obligation or requirement to issue any safety reports to the FDA or any other Drug Governmental Authority on any matter, including with respect to any investigational new drug application (IND) or clinical trial application (CTA), including with respect to any Aspen Product, and any such prior obligation or requirement has either been terminated by the FDA or other applicable Drug Governmental Authority or has been transferred to a third party without any further requirement on the part of Aspen in respect of such drug safety reporting or otherwise. </w:t>
      </w:r>
    </w:p>
    <w:p>
      <w:pPr>
        <w:pStyle w:val="TextBody"/>
        <w:bidi w:val="0"/>
        <w:spacing w:before="240" w:after="0"/>
        <w:jc w:val="left"/>
        <w:rPr>
          <w:rFonts w:ascii="Times New Roman" w:hAnsi="Times New Roman"/>
          <w:sz w:val="20"/>
        </w:rPr>
      </w:pPr>
      <w:bookmarkStart w:id="257" w:name="annxa770053_59"/>
      <w:bookmarkEnd w:id="257"/>
      <w:r>
        <w:rPr>
          <w:rFonts w:ascii="Times New Roman" w:hAnsi="Times New Roman"/>
          <w:sz w:val="20"/>
        </w:rPr>
        <w:t xml:space="preserve">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4.15(a)</w:t>
      </w:r>
      <w:r>
        <w:rPr>
          <w:rFonts w:ascii="Times New Roman" w:hAnsi="Times New Roman"/>
          <w:sz w:val="20"/>
        </w:rPr>
        <w:t xml:space="preserve"> of the Aspen Disclosure Schedule, there is no pending Legal Proceeding and, to the Knowledge of Aspen, no Person has threatened in writing to commence any Legal Proceeding: (i) that involves Aspen or any of its Subsidiaries or any Aspen Associate (in his or her capacity as such) or any of the material assets owned or used by Aspen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Aspen or any of its Subsidiaries, or any of the material assets owned or used by Aspen or any of its Subsidiaries is subject. To the Knowledge of Aspen, no officer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Aspen Key Employee or any of its Subsidiaries is subject to any Order that prohibits such officer or employee from engaging in or continuing any conduct, activity or practice relating to the business of Aspen or any of its Subsidiaries or to any material assets owned or used by Aspen or any of its Subsidiaries. </w:t>
      </w:r>
    </w:p>
    <w:p>
      <w:pPr>
        <w:pStyle w:val="TextBody"/>
        <w:bidi w:val="0"/>
        <w:spacing w:before="240" w:after="0"/>
        <w:jc w:val="left"/>
        <w:rPr>
          <w:rFonts w:ascii="Times New Roman" w:hAnsi="Times New Roman"/>
          <w:sz w:val="20"/>
        </w:rPr>
      </w:pPr>
      <w:bookmarkStart w:id="258" w:name="annxa770053_60"/>
      <w:bookmarkEnd w:id="258"/>
      <w:r>
        <w:rPr>
          <w:rFonts w:ascii="Times New Roman" w:hAnsi="Times New Roman"/>
          <w:sz w:val="20"/>
        </w:rPr>
        <w:t xml:space="preserve">4.16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Aspen and its Subsidiaries have been paid regardless of whether such Taxes have been shown as due and payable on any Tax Return. Aspen and its Subsidiaries have established on their relevant books and records, in accordance with GAAP, reserves that are adequate for the payment of any income or other material Taxes not yet due and payable. None of Aspen and its Subsidiaries currently is the beneficiary of any extension of time within which to file any income or other material Tax Return, other than customary extensions that have been obtained consistent with past practice. There are no Encumbrances on any of the assets of Aspen and its Subsidiaries that arose in connection with any failure to pay any material Tax,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None of Aspen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be material to Aspen and its Subsidiaries, taken as a whole, Aspen and its Subsidiaries have: (i) 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Aspen and its Subsidiaries, taken as a whole, there is no dispute, audits, examinations, assessments or other actions concerning any Tax liability of Aspen and its Subsidiaries pending or, to the Knowledge of Aspen, threatened by any Governmental Authority against, or with respect to, Aspen and its Subsidiaries that remains unpaid, and none of Aspen and its Subsidiaries has received written notice of any threatened audits, examinations or assessments relating to any Taxes. </w:t>
      </w:r>
    </w:p>
    <w:p>
      <w:pPr>
        <w:pStyle w:val="TextBody"/>
        <w:bidi w:val="0"/>
        <w:spacing w:before="240" w:after="0"/>
        <w:jc w:val="left"/>
        <w:rPr>
          <w:rFonts w:ascii="Times New Roman" w:hAnsi="Times New Roman"/>
          <w:sz w:val="20"/>
        </w:rPr>
      </w:pPr>
      <w:r>
        <w:rPr>
          <w:rFonts w:ascii="Times New Roman" w:hAnsi="Times New Roman"/>
          <w:sz w:val="20"/>
        </w:rPr>
        <w:t xml:space="preserve">(e) None of Aspen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None of Aspen and its Subsidiaries has constituted a “distributing corporation” or “controlled corporation” in a distribution of stock intended to qualify for Tax-free treatment under Section 355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Aspen, none of Aspen and its Subsidiaries has entered into or been a party to any “listed transaction” within the meaning of Treasury regulations Section 1.6011-4(b)(2) for a taxable period for which the applicable statute of limitations remains open.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None of Aspen and its Subsidiaries are party to any agreements relating to the allocation or sharing of Taxes, including Tax indemnity agreements,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(i) None of Aspen and its Subsidiaries (i) has been a member of an affiliated group of corporations within the meaning of Section 1504 of the Code (or similar provision of local, state or non-U.S. Law), other than any affiliated group of which Aspen is the common parent or (ii) 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(j) None of Aspen and its Subsidiaries is subject to Tax in any jurisdiction other than the jurisdiction in which it is organized, by virtue of having a permanent establishment, fixed place of business or, to the Knowledge of Aspen, otherwise. As of the date hereof, no claim has been made by a Governmental Authority in a jurisdiction where Aspen or any of its Subsidiaries does not file Tax Returns that Aspen or any of its Subsidiaries is or may be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(k) Aspen is not and has not been a United States real property holding corporation within the meaning of Section 897(c)(2) of the Code in the last five (5) years. </w:t>
      </w:r>
    </w:p>
    <w:p>
      <w:pPr>
        <w:pStyle w:val="TextBody"/>
        <w:bidi w:val="0"/>
        <w:spacing w:before="240" w:after="0"/>
        <w:jc w:val="left"/>
        <w:rPr>
          <w:rFonts w:ascii="Times New Roman" w:hAnsi="Times New Roman"/>
          <w:sz w:val="20"/>
        </w:rPr>
      </w:pPr>
      <w:r>
        <w:rPr>
          <w:rFonts w:ascii="Times New Roman" w:hAnsi="Times New Roman"/>
          <w:sz w:val="20"/>
        </w:rPr>
        <w:t xml:space="preserve">(l) Neither Aspen nor any of its Subsidiaries is aware of any facts or circumstances or has taken or agreed to take or refrain from taking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259" w:name="annxa770053_61"/>
      <w:bookmarkEnd w:id="259"/>
      <w:r>
        <w:rPr>
          <w:rFonts w:ascii="Times New Roman" w:hAnsi="Times New Roman"/>
          <w:sz w:val="20"/>
        </w:rPr>
        <w:t xml:space="preserve">4.17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Aspen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Aspen, taken as a whole. Aspen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 </w:t>
      </w:r>
    </w:p>
    <w:p>
      <w:pPr>
        <w:pStyle w:val="TextBody"/>
        <w:bidi w:val="0"/>
        <w:spacing w:before="240" w:after="0"/>
        <w:jc w:val="left"/>
        <w:rPr>
          <w:rFonts w:ascii="Times New Roman" w:hAnsi="Times New Roman"/>
          <w:sz w:val="20"/>
        </w:rPr>
      </w:pPr>
      <w:r>
        <w:rPr>
          <w:rFonts w:ascii="Times New Roman" w:hAnsi="Times New Roman"/>
          <w:sz w:val="20"/>
        </w:rPr>
        <w:t xml:space="preserve">(b) Aspen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Aspen and, as of the date hereof, there is not, to the Knowledge of Aspen, any attempt to organize any employees of Aspen for the purpose of forming or joining a labor union or works council. Since January 1, 2021 to the date hereof, there has been no strike, slowdown, picketing, lockout, job action, work stoppage, union organizing activity or other labor dispute, or, to the Knowledge of Aspen, any threat thereof, affecting Aspen or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not, and since January 1, 2021 has not been, any Legal Proceeding pending, or to the Knowledge of Aspen,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employee of Aspen, including unfair labor practices, misclassification of independent contractors or consultants, unlawful retaliation, discrimination or harassment complaints, in each case that is material to Aspen, taken as a whole. </w:t>
      </w:r>
    </w:p>
    <w:p>
      <w:pPr>
        <w:pStyle w:val="TextBody"/>
        <w:bidi w:val="0"/>
        <w:spacing w:before="240" w:after="0"/>
        <w:jc w:val="left"/>
        <w:rPr>
          <w:rFonts w:ascii="Times New Roman" w:hAnsi="Times New Roman"/>
          <w:sz w:val="20"/>
        </w:rPr>
      </w:pPr>
      <w:r>
        <w:rPr>
          <w:rFonts w:ascii="Times New Roman" w:hAnsi="Times New Roman"/>
          <w:sz w:val="20"/>
        </w:rPr>
        <w:t>(d) Within the past three (3) years, Aspen has not implemented any plant closing or layoff of employees that (in either case) violated the United States Worker Adjustment and Retraining Notification Act, as amended, or any similar state, local or foreign law (together, “</w:t>
      </w:r>
      <w:r>
        <w:rPr>
          <w:rFonts w:ascii="Times New Roman" w:hAnsi="Times New Roman"/>
          <w:sz w:val="20"/>
          <w:u w:val="single"/>
        </w:rPr>
        <w:t>WARN</w:t>
      </w:r>
      <w:r>
        <w:rPr>
          <w:rFonts w:ascii="Times New Roman" w:hAnsi="Times New Roman"/>
          <w:sz w:val="20"/>
        </w:rPr>
        <w:t xml:space="preserve">”) and Aspen has not incurred any material liability under WARN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4.17(e)</w:t>
      </w:r>
      <w:r>
        <w:rPr>
          <w:rFonts w:ascii="Times New Roman" w:hAnsi="Times New Roman"/>
          <w:sz w:val="20"/>
        </w:rPr>
        <w:t xml:space="preserve"> of the Aspen Disclosure Schedule sets forth a correct and complete list of each material Aspen Employee Plan. Aspen has made available to Company, with respect to each material Aspen Employee Plan, accurate and complete copies (as applicable) of: (i) all plan documents and all amendments thereto, and all related trust or other funding documents, and in the case of unwritten material Aspen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Aspen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Each Aspen Employee Plan that is intended to be qualified under Section 401(a) of the Code has received or is permitted to rely upon a favorable determination or opinion letter that it is so qualified, and to the Knowledge of Aspen, there are no circumstances that would reasonably be expected to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is not, and would not reasonably be expected to be, individually or in the aggregate, material to Aspen and its Subsidiaries, taken as a whole, each Aspen Employee Plan has been operated, maintained and administered in compliance with its terms and with the requirements prescribed by applicable Laws, including ERISA and the Code. As of the date hereof, no Legal Proceeding or governmental audit is pending with respect to any Aspen Employee Plan (other than routine claims for benefits) and, to the Knowledge of the Aspen, no such Legal Proceeding or governmental audit is threatened; and there are no governmental investigations pending or, to the Knowledge of the Aspen, threatened in connection with any Aspen Employee Plan, the assets of any trust under any Aspen Employee Plan or the plan sponsor, the plan administrator or any fiduciary under any Aspen Employee Plan. </w:t>
      </w:r>
    </w:p>
    <w:p>
      <w:pPr>
        <w:pStyle w:val="TextBody"/>
        <w:bidi w:val="0"/>
        <w:spacing w:before="240" w:after="0"/>
        <w:jc w:val="left"/>
        <w:rPr>
          <w:rFonts w:ascii="Times New Roman" w:hAnsi="Times New Roman"/>
          <w:sz w:val="20"/>
        </w:rPr>
      </w:pPr>
      <w:r>
        <w:rPr>
          <w:rFonts w:ascii="Times New Roman" w:hAnsi="Times New Roman"/>
          <w:sz w:val="20"/>
        </w:rPr>
        <w:t xml:space="preserve">(h) Neither Aspen nor any of its respective directors, officers, employees or agents has, with respect to any Aspen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Aspen or any Aspen Employee Plan or for which Aspen has any future indemnification obligation, except, in each case, as would not reasonably be expected, individually or in the aggregate, to result in material liability to Aspen. </w:t>
      </w:r>
    </w:p>
    <w:p>
      <w:pPr>
        <w:pStyle w:val="TextBody"/>
        <w:bidi w:val="0"/>
        <w:spacing w:before="240" w:after="0"/>
        <w:jc w:val="left"/>
        <w:rPr>
          <w:rFonts w:ascii="Times New Roman" w:hAnsi="Times New Roman"/>
          <w:sz w:val="20"/>
        </w:rPr>
      </w:pPr>
      <w:r>
        <w:rPr>
          <w:rFonts w:ascii="Times New Roman" w:hAnsi="Times New Roman"/>
          <w:sz w:val="20"/>
        </w:rPr>
        <w:t xml:space="preserve">(i) None of Aspen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No Aspen Employee Plan provides for, and Aspen does not have any present or future obligation to provide, post-retirement or post-termination health, life insurance or other welfare benefits except as required under Part 6 of Subtitle B of Title I of ERISA or Section 4980B of the Code or similar state Law. </w:t>
      </w:r>
    </w:p>
    <w:p>
      <w:pPr>
        <w:pStyle w:val="TextBody"/>
        <w:bidi w:val="0"/>
        <w:spacing w:before="240" w:after="0"/>
        <w:jc w:val="left"/>
        <w:rPr>
          <w:rFonts w:ascii="Times New Roman" w:hAnsi="Times New Roman"/>
          <w:sz w:val="20"/>
        </w:rPr>
      </w:pPr>
      <w:r>
        <w:rPr>
          <w:rFonts w:ascii="Times New Roman" w:hAnsi="Times New Roman"/>
          <w:sz w:val="20"/>
        </w:rPr>
        <w:t xml:space="preserve">(k) Aspen does not have any obligation to pay or provide any tax “gross-up” or similar “make-whole” payments or indemnities to any current or former employee, officer, director or other service provider of Aspen.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applicable, all Aspen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Aspen. </w:t>
      </w:r>
    </w:p>
    <w:p>
      <w:pPr>
        <w:pStyle w:val="TextBody"/>
        <w:bidi w:val="0"/>
        <w:spacing w:before="240" w:after="0"/>
        <w:jc w:val="left"/>
        <w:rPr>
          <w:rFonts w:ascii="Times New Roman" w:hAnsi="Times New Roman"/>
          <w:sz w:val="20"/>
        </w:rPr>
      </w:pPr>
      <w:r>
        <w:rPr>
          <w:rFonts w:ascii="Times New Roman" w:hAnsi="Times New Roman"/>
          <w:sz w:val="20"/>
        </w:rPr>
        <w:t xml:space="preserve">(m) 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Aspen of any payment or benefit that is or could be characterized as a “parachute payment” (within the meaning of Section 280G of the Code), determined without regard to the application of Section 280G(b)(5) of the Code. </w:t>
      </w:r>
    </w:p>
    <w:p>
      <w:pPr>
        <w:pStyle w:val="TextBody"/>
        <w:bidi w:val="0"/>
        <w:spacing w:before="240" w:after="0"/>
        <w:jc w:val="left"/>
        <w:rPr>
          <w:rFonts w:ascii="Times New Roman" w:hAnsi="Times New Roman"/>
          <w:sz w:val="20"/>
        </w:rPr>
      </w:pPr>
      <w:r>
        <w:rPr>
          <w:rFonts w:ascii="Times New Roman" w:hAnsi="Times New Roman"/>
          <w:sz w:val="20"/>
        </w:rPr>
        <w:t xml:space="preserve">(n) Each Aspen Employee Plan that is a “nonqualified deferred compensation plan” (as such term is defined under Section 409A(d)(1) of the Code and the guidance thereunder) has been operated and maintained in compliance in all material respects with the requirements of Section 409A of the Code and the applicable guidance thereunder. </w:t>
      </w:r>
    </w:p>
    <w:p>
      <w:pPr>
        <w:pStyle w:val="TextBody"/>
        <w:bidi w:val="0"/>
        <w:spacing w:before="240" w:after="0"/>
        <w:jc w:val="left"/>
        <w:rPr>
          <w:rFonts w:ascii="Times New Roman" w:hAnsi="Times New Roman"/>
          <w:sz w:val="20"/>
        </w:rPr>
      </w:pPr>
      <w:bookmarkStart w:id="260" w:name="annxa770053_62"/>
      <w:bookmarkEnd w:id="260"/>
      <w:r>
        <w:rPr>
          <w:rFonts w:ascii="Times New Roman" w:hAnsi="Times New Roman"/>
          <w:sz w:val="20"/>
        </w:rPr>
        <w:t xml:space="preserve">4.18 </w:t>
      </w:r>
      <w:r>
        <w:rPr>
          <w:rFonts w:ascii="Times New Roman" w:hAnsi="Times New Roman"/>
          <w:sz w:val="20"/>
          <w:u w:val="single"/>
        </w:rPr>
        <w:t>Environmental Matters</w:t>
      </w:r>
      <w:r>
        <w:rPr>
          <w:rFonts w:ascii="Times New Roman" w:hAnsi="Times New Roman"/>
          <w:sz w:val="20"/>
        </w:rPr>
        <w:t xml:space="preserve">. Since January 1, 2022, Aspen and each of its Subsidiaries has complied with all applicable Environmental Laws, which compliance includes the possession by Aspen of all permits and other Governmental Authorizations required under applicable Environmental Laws and compliance with the terms and conditions thereof, except for any failure to be in compliance that, individually or in the aggregate, would not result in an Aspen Material Adverse Effect. Neither Aspen nor any of its Subsidiaries has received since January 1, 2022, any written notice or other communication (in writing or otherwise), whether from a Governmental Authority, citizens group, employee or otherwise, that alleges that Aspen or any of its Subsidiaries is not in compliance with any Environmental Law, and, to the Knowledge of Aspen, there are no circumstances that may prevent or interfere with Aspen’s or any of its Subsidiaries’ compliance with any Environmental Law in the future, except where such failure to comply would not reasonably be expected to have an Aspen Material Adverse Effect. To the Knowledge of Aspen: (i) no current or prior owner of any property leased or controlled by Aspen or any of its Subsidiaries has received since January 1, 2022, any written notice or other communication relating to property owned or leased at any time by Aspen or any of its Subsidiaries, whether from a Governmental Authority, citizens group, employee or otherwise, that alleges that such current or prior owner or Aspen or any of its Subsidiaries is not in compliance with or violated any Environmental Law relating to such property and (ii) neither Aspen nor any of its Subsidiaries has any material liability under any Environmental Law. </w:t>
      </w:r>
    </w:p>
    <w:p>
      <w:pPr>
        <w:pStyle w:val="TextBody"/>
        <w:bidi w:val="0"/>
        <w:spacing w:before="240" w:after="0"/>
        <w:jc w:val="left"/>
        <w:rPr>
          <w:rFonts w:ascii="Times New Roman" w:hAnsi="Times New Roman"/>
          <w:sz w:val="20"/>
        </w:rPr>
      </w:pPr>
      <w:bookmarkStart w:id="261" w:name="annxa770053_63"/>
      <w:bookmarkEnd w:id="261"/>
      <w:r>
        <w:rPr>
          <w:rFonts w:ascii="Times New Roman" w:hAnsi="Times New Roman"/>
          <w:sz w:val="20"/>
        </w:rPr>
        <w:t xml:space="preserve">4.19 </w:t>
      </w:r>
      <w:r>
        <w:rPr>
          <w:rFonts w:ascii="Times New Roman" w:hAnsi="Times New Roman"/>
          <w:sz w:val="20"/>
          <w:u w:val="single"/>
        </w:rPr>
        <w:t>Insurance</w:t>
      </w:r>
      <w:r>
        <w:rPr>
          <w:rFonts w:ascii="Times New Roman" w:hAnsi="Times New Roman"/>
          <w:sz w:val="20"/>
        </w:rPr>
        <w:t xml:space="preserve">. Aspen has made available to the Company accurate and complete copies or summaries of all material insurance policies and all material self-insurance programs and arrangements relating to the business, assets, liabilities and operations of Aspen and its Subsidiaries (including Merger Sub). Each of such insurance policies is in full force and effect and Aspen and its Subsidiaries (including Merger Sub) are in compliance in all material respects with the terms thereof. Other than customary end of policy notifications from insurance carriers, since January 1, 2022, neither Aspen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policy. Each of Aspen and its Subsidiaries (including Merger Sub) has provided timely written notice to the appropriate insurance carrier(s) of each Legal Proceeding pending against Aspen or such Subsidiary for which Aspen or such Subsidiary has insurance coverage, and no such carrier has issued a denial of coverage or a reservation of rights with respect to any such Legal Proceeding, or informed Aspen or any of its Subsidiaries of its intent to do so. </w:t>
      </w:r>
    </w:p>
    <w:p>
      <w:pPr>
        <w:pStyle w:val="TextBody"/>
        <w:bidi w:val="0"/>
        <w:spacing w:before="240" w:after="0"/>
        <w:jc w:val="left"/>
        <w:rPr>
          <w:rFonts w:ascii="Times New Roman" w:hAnsi="Times New Roman"/>
          <w:sz w:val="20"/>
        </w:rPr>
      </w:pPr>
      <w:bookmarkStart w:id="262" w:name="annxa770053_64"/>
      <w:bookmarkEnd w:id="262"/>
      <w:r>
        <w:rPr>
          <w:rFonts w:ascii="Times New Roman" w:hAnsi="Times New Roman"/>
          <w:sz w:val="20"/>
        </w:rPr>
        <w:t xml:space="preserve">4.20 </w:t>
      </w:r>
      <w:r>
        <w:rPr>
          <w:rFonts w:ascii="Times New Roman" w:hAnsi="Times New Roman"/>
          <w:sz w:val="20"/>
          <w:u w:val="single"/>
        </w:rPr>
        <w:t>Transactions with Affiliates</w:t>
      </w:r>
      <w:r>
        <w:rPr>
          <w:rFonts w:ascii="Times New Roman" w:hAnsi="Times New Roman"/>
          <w:sz w:val="20"/>
        </w:rPr>
        <w:t xml:space="preserve">. Except as set forth in the Aspen SEC Documents filed prior to the date of this Agreement, since the date of Aspen’s last proxy statement filed in 2023 with the SEC, no event has occurred that would be required to be reported by Aspen pursuant to Item 404 of Regulation S-K promulgated by the SEC. </w:t>
      </w:r>
      <w:r>
        <w:rPr>
          <w:rFonts w:ascii="Times New Roman" w:hAnsi="Times New Roman"/>
          <w:sz w:val="20"/>
          <w:u w:val="single"/>
        </w:rPr>
        <w:t>Section 4.20</w:t>
      </w:r>
      <w:r>
        <w:rPr>
          <w:rFonts w:ascii="Times New Roman" w:hAnsi="Times New Roman"/>
          <w:sz w:val="20"/>
        </w:rPr>
        <w:t xml:space="preserve"> of the Aspen Disclosure Schedule identifies each Person who is (or who may be deemed to be) an Affiliate of Aspen as of the date of this Agreement. </w:t>
      </w:r>
    </w:p>
    <w:p>
      <w:pPr>
        <w:pStyle w:val="TextBody"/>
        <w:bidi w:val="0"/>
        <w:spacing w:before="240" w:after="0"/>
        <w:jc w:val="left"/>
        <w:rPr>
          <w:rFonts w:ascii="Times New Roman" w:hAnsi="Times New Roman"/>
          <w:sz w:val="20"/>
        </w:rPr>
      </w:pPr>
      <w:bookmarkStart w:id="263" w:name="annxa770053_65"/>
      <w:bookmarkEnd w:id="263"/>
      <w:r>
        <w:rPr>
          <w:rFonts w:ascii="Times New Roman" w:hAnsi="Times New Roman"/>
          <w:sz w:val="20"/>
        </w:rPr>
        <w:t>4.21</w:t>
      </w:r>
      <w:r>
        <w:rPr>
          <w:rFonts w:ascii="Times New Roman" w:hAnsi="Times New Roman"/>
          <w:sz w:val="20"/>
          <w:u w:val="single"/>
        </w:rPr>
        <w:t xml:space="preserve"> No Financial Advisors</w:t>
      </w:r>
      <w:r>
        <w:rPr>
          <w:rFonts w:ascii="Times New Roman" w:hAnsi="Times New Roman"/>
          <w:sz w:val="20"/>
        </w:rPr>
        <w:t xml:space="preserve">. Except as set forth on </w:t>
      </w:r>
      <w:r>
        <w:rPr>
          <w:rFonts w:ascii="Times New Roman" w:hAnsi="Times New Roman"/>
          <w:sz w:val="20"/>
          <w:u w:val="single"/>
        </w:rPr>
        <w:t>Section 4.21</w:t>
      </w:r>
      <w:r>
        <w:rPr>
          <w:rFonts w:ascii="Times New Roman" w:hAnsi="Times New Roman"/>
          <w:sz w:val="20"/>
        </w:rPr>
        <w:t xml:space="preserve"> of the Aspen Disclosure Schedule, no broker, finder or investment banker is entitled to any brokerage fee, finder’s fee, opinion fee, success fee, transaction fee or other fee or commission in connection with the Contemplated Transactions based upon arrangements made by or on behalf of Aspen. </w:t>
      </w:r>
    </w:p>
    <w:p>
      <w:pPr>
        <w:pStyle w:val="TextBody"/>
        <w:bidi w:val="0"/>
        <w:spacing w:before="240" w:after="0"/>
        <w:jc w:val="left"/>
        <w:rPr>
          <w:rFonts w:ascii="Times New Roman" w:hAnsi="Times New Roman"/>
          <w:sz w:val="20"/>
        </w:rPr>
      </w:pPr>
      <w:bookmarkStart w:id="264" w:name="annxa770053_66"/>
      <w:bookmarkEnd w:id="264"/>
      <w:r>
        <w:rPr>
          <w:rFonts w:ascii="Times New Roman" w:hAnsi="Times New Roman"/>
          <w:sz w:val="20"/>
        </w:rPr>
        <w:t xml:space="preserve">4.22 </w:t>
      </w:r>
      <w:r>
        <w:rPr>
          <w:rFonts w:ascii="Times New Roman" w:hAnsi="Times New Roman"/>
          <w:sz w:val="20"/>
          <w:u w:val="single"/>
        </w:rPr>
        <w:t>Valid Issuance</w:t>
      </w:r>
      <w:r>
        <w:rPr>
          <w:rFonts w:ascii="Times New Roman" w:hAnsi="Times New Roman"/>
          <w:sz w:val="20"/>
        </w:rPr>
        <w:t xml:space="preserve">. The Aspen Common Stock to be issued in the Merger will, when issued in accordance with the provisions of this Agreement, be validly issued, fully paid and nonassessable. </w:t>
      </w:r>
    </w:p>
    <w:p>
      <w:pPr>
        <w:pStyle w:val="TextBody"/>
        <w:bidi w:val="0"/>
        <w:spacing w:before="240" w:after="0"/>
        <w:jc w:val="left"/>
        <w:rPr>
          <w:rFonts w:ascii="Times New Roman" w:hAnsi="Times New Roman"/>
          <w:sz w:val="20"/>
        </w:rPr>
      </w:pPr>
      <w:bookmarkStart w:id="265" w:name="annxa770053_67"/>
      <w:bookmarkEnd w:id="265"/>
      <w:r>
        <w:rPr>
          <w:rFonts w:ascii="Times New Roman" w:hAnsi="Times New Roman"/>
          <w:sz w:val="20"/>
        </w:rPr>
        <w:t xml:space="preserve">4.23 </w:t>
      </w:r>
      <w:r>
        <w:rPr>
          <w:rFonts w:ascii="Times New Roman" w:hAnsi="Times New Roman"/>
          <w:sz w:val="20"/>
          <w:u w:val="single"/>
        </w:rPr>
        <w:t>Privacy and Data Security</w:t>
      </w:r>
      <w:r>
        <w:rPr>
          <w:rFonts w:ascii="Times New Roman" w:hAnsi="Times New Roman"/>
          <w:sz w:val="20"/>
        </w:rPr>
        <w:t xml:space="preserve">. Since January 1, 2021, each of Aspen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Aspen and its Subsidiaries, taken as a whole. Since January 1, 2021, Aspen and its Subsidiaries have complied in all material respects with each of their respective Privacy Policies, if applicable and required. Aspen and its Subsidiaries maintain commercially reasonable policies, procedures and security measures with respect to the physical and electronic security and privacy of Personal Information that are designed to achieve compliance in all material respects with Privacy Laws, and Aspen and its Subsidiaries are in compliance in all material respects with such policies and procedures. To the Knowledge of Aspen, there have been no material breaches or material violations of any security measures of Aspen and its Subsidiaries, or any material unauthorized access, use or disclosure of any Personal Information. None of Aspen and its Subsidiaries has received written notice (or, to the Knowledge of Aspen, any other communication) of (a) any material violation or breach, or alleged material violation or breach, of Privacy Laws and/or Privacy Policies, or (b) any claims against any of Aspen and its Subsidiaries by any Person, and there is no Legal Proceeding pending or, to Knowledge of Aspen, threatened against any of Aspen and its Subsidiaries, alleging a violation or breach of Privacy Laws and/or Privacy Policies, except in each case as would not be material to Aspen and its Subsidiaries, taken as a whole. </w:t>
      </w:r>
    </w:p>
    <w:p>
      <w:pPr>
        <w:pStyle w:val="TextBody"/>
        <w:bidi w:val="0"/>
        <w:spacing w:before="240" w:after="0"/>
        <w:jc w:val="left"/>
        <w:rPr>
          <w:rFonts w:ascii="Times New Roman" w:hAnsi="Times New Roman"/>
          <w:sz w:val="20"/>
        </w:rPr>
      </w:pPr>
      <w:bookmarkStart w:id="266" w:name="annxa770053_68"/>
      <w:bookmarkEnd w:id="266"/>
      <w:r>
        <w:rPr>
          <w:rFonts w:ascii="Times New Roman" w:hAnsi="Times New Roman"/>
          <w:sz w:val="20"/>
        </w:rPr>
        <w:t xml:space="preserve">4.24 </w:t>
      </w:r>
      <w:r>
        <w:rPr>
          <w:rFonts w:ascii="Times New Roman" w:hAnsi="Times New Roman"/>
          <w:sz w:val="20"/>
          <w:u w:val="single"/>
        </w:rPr>
        <w:t>Anti-Corruption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Aspen nor Merger Sub, nor any director or officer or, to the Knowledge of Aspen, any employee of Aspen or Merger Sub (acting in the capacity of a director, officer or employee of Aspen or Merger Sub) or, to the Knowledge of Aspen or Merger Sub, any representative or agent of Aspen or Merger Sub (acting in the capacity of a representative or agent of Aspen or Merger Sub), has directly or indirectly (i) given any funds (whether of Aspen or Merger Sub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campaigns or solicited or accepted any such payment or thing of value, or (iii) violated any provision of any Anti-Corruption Law.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Merger Sub), has not received any written communication (or, to the Knowledge of Aspen, any other communication) that alleges any of the foregoing. To the Knowledge of Aspen, Aspen has disclosed to the Company any and all allegations that have been made of any potential wrongdoing by Aspen, Merger Sub, or by any director, officer, employee, agent or representative of Aspen or Merger Sub (acting in the capacity of a director, officer, employee, agent or representative of Aspen or Merger Sub) with respect to any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(b) There are not, and since January 1, 2021, there have not been, any Legal Proceedings with respect to any Anti-Corruption Law pending or, to the Knowledge of Aspen, threatened in writing against Aspen, Merger Sub,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has made any disclosure (voluntary or otherwise) to any Governmental Authority with respect to any alleged irregularity, misstatement, omission or other potential violation or liability arising under or relating to any Anti-Corruption Law. </w:t>
      </w:r>
    </w:p>
    <w:p>
      <w:pPr>
        <w:pStyle w:val="TextBody"/>
        <w:bidi w:val="0"/>
        <w:spacing w:before="240" w:after="0"/>
        <w:jc w:val="left"/>
        <w:rPr>
          <w:rFonts w:ascii="Times New Roman" w:hAnsi="Times New Roman"/>
          <w:sz w:val="20"/>
        </w:rPr>
      </w:pPr>
      <w:bookmarkStart w:id="267" w:name="annxa770053_69"/>
      <w:bookmarkEnd w:id="267"/>
      <w:r>
        <w:rPr>
          <w:rFonts w:ascii="Times New Roman" w:hAnsi="Times New Roman"/>
          <w:sz w:val="20"/>
        </w:rPr>
        <w:t xml:space="preserve">4.25 </w:t>
      </w:r>
      <w:r>
        <w:rPr>
          <w:rFonts w:ascii="Times New Roman" w:hAnsi="Times New Roman"/>
          <w:sz w:val="20"/>
          <w:u w:val="single"/>
        </w:rPr>
        <w:t>Sanctions Laws</w:t>
      </w:r>
      <w:r>
        <w:rPr>
          <w:rFonts w:ascii="Times New Roman" w:hAnsi="Times New Roman"/>
          <w:sz w:val="20"/>
        </w:rPr>
        <w:t xml:space="preserve">. Since January 1, 2021, neither Aspen nor Merger Sub, nor any director or officer or, to the Knowledge of Aspen, any employee of Aspen nor Merger Sub (acting in the capacity of a director, officer or employee of Aspen or Merger Sub) or, to the Knowledge of Aspen, any representative or agent of Aspen nor Merger Sub (acting in the capacity of a representative or agent of Aspen nor Merger Sub),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since January 1, 2021, there have not been, any Legal Proceedings, allegations, investigations or inquiries concerning any actual or suspected violations of any Sanctions Law pending or to the Knowledge of Aspen threatened in writing against Aspen, any director or officer or, to the Knowledge of Aspen, any employee of Aspen nor Merger Sub (acting in the capacity of a director, officer or employee of Aspen nor Merger Sub) or, to the Knowledge of Aspen, any representative or agent of Aspen nor Merger Sub (acting in the capacity of a representative or agent of Aspen nor Merger Sub). Neither Aspen nor Merger Sub, nor any director, officer or employee of any of Aspen or Merger Sub, is a Sanctioned Person. Since January 1, 2021, neither Aspen nor Merger Sub has had, directly or indirectly, any unlawful transactions with or unlawful investments in any Sanctioned Person or Sanctioned Country. </w:t>
      </w:r>
    </w:p>
    <w:p>
      <w:pPr>
        <w:pStyle w:val="TextBody"/>
        <w:bidi w:val="0"/>
        <w:spacing w:before="240" w:after="0"/>
        <w:jc w:val="left"/>
        <w:rPr>
          <w:rFonts w:ascii="Times New Roman" w:hAnsi="Times New Roman"/>
          <w:sz w:val="20"/>
        </w:rPr>
      </w:pPr>
      <w:bookmarkStart w:id="268" w:name="annxa770053_70"/>
      <w:bookmarkEnd w:id="268"/>
      <w:r>
        <w:rPr>
          <w:rFonts w:ascii="Times New Roman" w:hAnsi="Times New Roman"/>
          <w:sz w:val="20"/>
        </w:rPr>
        <w:t>4.26</w:t>
      </w:r>
      <w:r>
        <w:rPr>
          <w:rFonts w:ascii="Times New Roman" w:hAnsi="Times New Roman"/>
          <w:sz w:val="20"/>
          <w:u w:val="single"/>
        </w:rPr>
        <w:t xml:space="preserve"> No Other Representations or Warranties</w:t>
      </w:r>
      <w:r>
        <w:rPr>
          <w:rFonts w:ascii="Times New Roman" w:hAnsi="Times New Roman"/>
          <w:sz w:val="20"/>
        </w:rPr>
        <w:t xml:space="preserve">. Aspen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Aspen, Merger Sub or stockholders or any of their respective Affiliates in connection with the Contemplated Transactions, and (subject to the express representations and warranties of the Company set forth in </w:t>
      </w:r>
      <w:r>
        <w:rPr>
          <w:rFonts w:ascii="Times New Roman" w:hAnsi="Times New Roman"/>
          <w:sz w:val="20"/>
          <w:u w:val="single"/>
        </w:rPr>
        <w:t>Section 3</w:t>
      </w:r>
      <w:r>
        <w:rPr>
          <w:rFonts w:ascii="Times New Roman" w:hAnsi="Times New Roman"/>
          <w:sz w:val="20"/>
        </w:rPr>
        <w:t xml:space="preserve"> (in each case as qualified and limited by the Company Disclosure Schedule)) none of Aspen, Merger Sub nor any of their respective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269" w:name="annxa770053_71"/>
      <w:bookmarkEnd w:id="269"/>
      <w:r>
        <w:rPr>
          <w:rFonts w:ascii="Times New Roman" w:hAnsi="Times New Roman"/>
          <w:sz w:val="20"/>
        </w:rPr>
        <w:t xml:space="preserve">Section 5. </w:t>
      </w:r>
      <w:r>
        <w:rPr>
          <w:rFonts w:ascii="Times New Roman" w:hAnsi="Times New Roman"/>
          <w:sz w:val="20"/>
          <w:u w:val="single"/>
        </w:rPr>
        <w:t>Certain Covenants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70" w:name="annxa770053_72"/>
      <w:bookmarkEnd w:id="270"/>
      <w:r>
        <w:rPr>
          <w:rFonts w:ascii="Times New Roman" w:hAnsi="Times New Roman"/>
          <w:sz w:val="20"/>
        </w:rPr>
        <w:t xml:space="preserve">5.1 </w:t>
      </w:r>
      <w:r>
        <w:rPr>
          <w:rFonts w:ascii="Times New Roman" w:hAnsi="Times New Roman"/>
          <w:sz w:val="20"/>
          <w:u w:val="single"/>
        </w:rPr>
        <w:t>Operation of Aspen’s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(ii) as set forth on Section 5.1(a) of the Aspen Disclosure Schedule, (iii) as required by applicable Law, or (iv) with the prior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 of the Company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Section 10</w:t>
      </w:r>
      <w:r>
        <w:rPr>
          <w:rFonts w:ascii="Times New Roman" w:hAnsi="Times New Roman"/>
          <w:sz w:val="20"/>
        </w:rPr>
        <w:t xml:space="preserve"> and the Effective Time (the “</w:t>
      </w:r>
      <w:r>
        <w:rPr>
          <w:rFonts w:ascii="Times New Roman" w:hAnsi="Times New Roman"/>
          <w:b/>
          <w:sz w:val="20"/>
        </w:rPr>
        <w:t>Pre-Closing Period</w:t>
      </w:r>
      <w:r>
        <w:rPr>
          <w:rFonts w:ascii="Times New Roman" w:hAnsi="Times New Roman"/>
          <w:sz w:val="20"/>
        </w:rPr>
        <w:t xml:space="preserve">”), Aspen shall, and shall cause its Subsidiaries to, use commercially reasonable efforts to (x) conduct its business and operations in the Ordinary Course of Business and in material compliance with all applicable Law and the requirements of all Contracts that constitute Aspen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5.1(b)</w:t>
      </w:r>
      <w:r>
        <w:rPr>
          <w:rFonts w:ascii="Times New Roman" w:hAnsi="Times New Roman"/>
          <w:sz w:val="20"/>
        </w:rPr>
        <w:t xml:space="preserve"> of the Aspen Disclosure Schedule, (iii) as required by applicable Law, or (iv) with the prior written consent of the Company (which consent shall not be unreasonably withheld, delayed or conditioned), at all times during the Pre-Closing Period, Aspen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Aspen Common Stock from terminated employees, directors or consultants of Aspen); </w:t>
      </w:r>
    </w:p>
    <w:p>
      <w:pPr>
        <w:pStyle w:val="TextBody"/>
        <w:bidi w:val="0"/>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(except for Aspen Common Stock issued upon the valid exercise or settlement of outstanding Aspen Options or Aspen Restricted Stock Units, as applicable),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Aspen Employee Plan, including, for avoidance of doubt, any equity awards plans, (B) cause or permit any Aspen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 (D) increase or amend the severance or change of control benefits offered to any current or new employees, directors or consultants, or (E) hire or engage any officer, or, employee; provided, however, that consultants may be retained on terms permitting termination by Aspen without notice to provide supplemental support services as reasonably may be needed by Aspen, or to fill vacancies to the extent such positions are existing as of the date hereof and which vacancies occur after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(ix) (A) make, change or revoke any material Tax election; (B) file any amended income or other material Tax Return; (C) adopt or change any material accounting method in respect of Taxes; (D) enter into any material Tax closing agreement, settle any material Tax claim or assessment; (E)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any extension or waiver of the limitation period applicable to or relating to any material Tax claim or assessment (other than as a result of any extension to file a Tax Return that is automatically granted); or (F) apply for or surrender any claim for Tax refund; </w:t>
      </w:r>
    </w:p>
    <w:p>
      <w:pPr>
        <w:pStyle w:val="TextBody"/>
        <w:bidi w:val="0"/>
        <w:spacing w:before="120" w:after="0"/>
        <w:jc w:val="left"/>
        <w:rPr>
          <w:rFonts w:ascii="Times New Roman" w:hAnsi="Times New Roman"/>
          <w:sz w:val="20"/>
        </w:rPr>
      </w:pPr>
      <w:r>
        <w:rPr>
          <w:rFonts w:ascii="Times New Roman" w:hAnsi="Times New Roman"/>
          <w:sz w:val="20"/>
        </w:rPr>
        <w:t xml:space="preserve">(x) waive, settle or compromise any pending or threatened Legal Proceeding against Aspen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Aspen or its Subsidiaries, taken as a whole, or any equitable relief on, or the admission of wrongdoing by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(xi) delay or fail to repay when due any material obligation, including accounts payable and accrued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accounts payable or accrued expenses need not be paid if the validity or amount thereof shall at the time be contested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(xiv) (A) materially change pricing or royalties or other payments set or charged by Aspen or any of its Subsidiaries to its customers or licensees or (B) agree to materially change pricing or royalties or other payments set or charged by Persons who have licensed Intellectual Property to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enter into, amend or terminate any Aspen Material Contract except as permitted under subparagraph (c) below;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Aspen prior to the Effective Time. Prior to the Effective Time, Aspen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5.1</w:t>
      </w:r>
      <w:r>
        <w:rPr>
          <w:rFonts w:ascii="Times New Roman" w:hAnsi="Times New Roman"/>
          <w:sz w:val="20"/>
        </w:rPr>
        <w:t>), Aspen may engage in the sale, license, transfer, disposition, divestiture or other monetization transaction (i.e., a royalty transaction) and/or winding down of Aspen’s business or operations as they exist prior to the Closing or the sale, license, transfer, disposition, divestiture or other monetization transaction (i.e., a royalty transaction) or other disposition of any Aspen Pre-Closing Asset (each, an “</w:t>
      </w:r>
      <w:r>
        <w:rPr>
          <w:rFonts w:ascii="Times New Roman" w:hAnsi="Times New Roman"/>
          <w:b/>
          <w:sz w:val="20"/>
        </w:rPr>
        <w:t>Aspen Pre-Closing Transaction</w:t>
      </w:r>
      <w:r>
        <w:rPr>
          <w:rFonts w:ascii="Times New Roman" w:hAnsi="Times New Roman"/>
          <w:sz w:val="20"/>
        </w:rPr>
        <w:t xml:space="preserve">”), including entering into Contracts or amending or terminating Contracts in connection with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Aspen Pre-Closing Transaction results in obligations of Aspen that will extend after Closing, then such terms shall be reasonably acceptable to Company. </w:t>
      </w:r>
    </w:p>
    <w:p>
      <w:pPr>
        <w:pStyle w:val="TextBody"/>
        <w:bidi w:val="0"/>
        <w:spacing w:before="240" w:after="0"/>
        <w:jc w:val="left"/>
        <w:rPr>
          <w:rFonts w:ascii="Times New Roman" w:hAnsi="Times New Roman"/>
          <w:sz w:val="20"/>
        </w:rPr>
      </w:pPr>
      <w:bookmarkStart w:id="271" w:name="annxa770053_73"/>
      <w:bookmarkEnd w:id="271"/>
      <w:r>
        <w:rPr>
          <w:rFonts w:ascii="Times New Roman" w:hAnsi="Times New Roman"/>
          <w:sz w:val="20"/>
        </w:rPr>
        <w:t xml:space="preserve">5.2 </w:t>
      </w:r>
      <w:r>
        <w:rPr>
          <w:rFonts w:ascii="Times New Roman" w:hAnsi="Times New Roman"/>
          <w:sz w:val="20"/>
          <w:u w:val="single"/>
        </w:rPr>
        <w:t>Operation of the Company’s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including the Subscription Agreement, (ii) as set forth in </w:t>
      </w:r>
      <w:r>
        <w:rPr>
          <w:rFonts w:ascii="Times New Roman" w:hAnsi="Times New Roman"/>
          <w:sz w:val="20"/>
          <w:u w:val="single"/>
        </w:rPr>
        <w:t>Section 5.2(a</w:t>
      </w:r>
      <w:r>
        <w:rPr>
          <w:rFonts w:ascii="Times New Roman" w:hAnsi="Times New Roman"/>
          <w:sz w:val="20"/>
        </w:rPr>
        <w:t xml:space="preserve">) of the Company Disclosure Schedule, (iii) as required by applicable Law, or (iv) with the prior written consent of Aspen (which consent shall not be unreasonably withheld, delayed or conditioned), during the Pre-Closing Period the Company shall, and shall cause its Subsidiaries to, use commercially reasonable efforts to conduct its business and operations in the Ordinary Course of Business and in material compliance with all applicable Law and the requirements of all Contracts that constitute Company Material Contracts.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including the Subscription Agreement, (ii) as set forth in </w:t>
      </w:r>
      <w:r>
        <w:rPr>
          <w:rFonts w:ascii="Times New Roman" w:hAnsi="Times New Roman"/>
          <w:sz w:val="20"/>
          <w:u w:val="single"/>
        </w:rPr>
        <w:t>Section 5.2(b)</w:t>
      </w:r>
      <w:r>
        <w:rPr>
          <w:rFonts w:ascii="Times New Roman" w:hAnsi="Times New Roman"/>
          <w:sz w:val="20"/>
        </w:rPr>
        <w:t xml:space="preserve"> of the Company Disclosure Schedule, (iii)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applicable Law, or (iv) with the prior written consent of Aspen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sell, issue, grant, pledge or otherwise dispose of or encumber or authorize any of the foregoing actions with respect to: (A) any capital stock or other security of the Company or any of its Subsidiaries (except for shares of outstanding Company Common Stock issued upon the valid exercise of Company Options), (B) any option, warrant or right to acquire any capital stock or any other security or (C) any instrument convertible into or exchangeable for any capital stock or other security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in excess of $500,000;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Company Employee Plan, including, for the avoidance of doubt, any equity awards plans, (B) cause or permit any Company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 (D) increase or amend the severance or change of control benefits offered to any current or new employees, directors or consultants, or (E) hire or engage any officer or employee;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Encumbrance with respect to such assets or properties in excess of $250,000,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sell, assign, transfer, license, sublicense or otherwise dispose of any material Company Intellectual Property (other than pursuant to non-exclusive licenses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(other than as a result of any extension to file a Tax Return that is automatically granted); or (F) apply for or surrender any claim for Tax refund;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Legal Proceeding against the Company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businesses of the Company or its Subsidiaries, taken as a whole, or any equitable relief on, or the admission of wrongdoing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delay or fail to repay when due any material obligation, including accounts payable and accrued expenses (provided, however, that any such accounts payable or accrued expenses need not be paid if the validity or amount thereof shall at the time be contested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(xiv)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 enter into, amend or terminate any Company Material Contract, except in the Ordinary Course of Business in a manner that would not otherwise require Aspen’s consent pursuant to this </w:t>
      </w:r>
      <w:r>
        <w:rPr>
          <w:rFonts w:ascii="Times New Roman" w:hAnsi="Times New Roman"/>
          <w:sz w:val="20"/>
          <w:u w:val="single"/>
        </w:rPr>
        <w:t>Section 5.2</w:t>
      </w:r>
      <w:r>
        <w:rPr>
          <w:rFonts w:ascii="Times New Roman" w:hAnsi="Times New Roman"/>
          <w:sz w:val="20"/>
        </w:rPr>
        <w:t xml:space="preserve"> and would not reasonably be expected to prevent or to materially impede or delay the consummation of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(xvii)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Aspen,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272" w:name="annxa770053_74"/>
      <w:bookmarkEnd w:id="272"/>
      <w:r>
        <w:rPr>
          <w:rFonts w:ascii="Times New Roman" w:hAnsi="Times New Roman"/>
          <w:sz w:val="20"/>
        </w:rPr>
        <w:t xml:space="preserve">5.3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notice, Aspen,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Aspen or the Company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business of the other Party. Aspen shall not be required to provide any information or documents pursuant to this </w:t>
      </w:r>
      <w:r>
        <w:rPr>
          <w:rFonts w:ascii="Times New Roman" w:hAnsi="Times New Roman"/>
          <w:sz w:val="20"/>
          <w:u w:val="single"/>
        </w:rPr>
        <w:t>Section 5.3</w:t>
      </w:r>
      <w:r>
        <w:rPr>
          <w:rFonts w:ascii="Times New Roman" w:hAnsi="Times New Roman"/>
          <w:sz w:val="20"/>
        </w:rPr>
        <w:t xml:space="preserve"> relating to any Acquisition Transaction or Acquisition Inquiry.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5.3</w:t>
      </w:r>
      <w:r>
        <w:rPr>
          <w:rFonts w:ascii="Times New Roman" w:hAnsi="Times New Roman"/>
          <w:sz w:val="20"/>
        </w:rPr>
        <w:t xml:space="preserve">, no access or examination contemplated by this </w:t>
      </w:r>
      <w:r>
        <w:rPr>
          <w:rFonts w:ascii="Times New Roman" w:hAnsi="Times New Roman"/>
          <w:sz w:val="20"/>
          <w:u w:val="single"/>
        </w:rPr>
        <w:t>Section 5.3</w:t>
      </w:r>
      <w:r>
        <w:rPr>
          <w:rFonts w:ascii="Times New Roman" w:hAnsi="Times New Roman"/>
          <w:sz w:val="20"/>
        </w:rPr>
        <w:t xml:space="preserve"> shall be permitted to the extent that it would require any Party or its Subsidiaries to waive the attorney-client privilege or attorney work product privilege, or violate any applicable Law; </w:t>
      </w:r>
      <w:r>
        <w:rPr>
          <w:rFonts w:ascii="Times New Roman" w:hAnsi="Times New Roman"/>
          <w:sz w:val="20"/>
          <w:u w:val="single"/>
        </w:rPr>
        <w:t>provided</w:t>
      </w:r>
      <w:r>
        <w:rPr>
          <w:rFonts w:ascii="Times New Roman" w:hAnsi="Times New Roman"/>
          <w:sz w:val="20"/>
        </w:rPr>
        <w:t xml:space="preserve">, that such Party or its Subsidiary (i) shall be entitled to withhold only such information that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left"/>
        <w:rPr>
          <w:rFonts w:ascii="Times New Roman" w:hAnsi="Times New Roman"/>
          <w:sz w:val="20"/>
        </w:rPr>
      </w:pPr>
      <w:bookmarkStart w:id="273" w:name="annxa770053_75"/>
      <w:bookmarkEnd w:id="273"/>
      <w:r>
        <w:rPr>
          <w:rFonts w:ascii="Times New Roman" w:hAnsi="Times New Roman"/>
          <w:sz w:val="20"/>
        </w:rPr>
        <w:t xml:space="preserve">5.4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or submission of any Acquisition Proposal or Acquisition Inquiry, (ii) furnish any non-public information regarding Aspen or the Company (as applicable) to any Person in connection with or in response to an Acquisition Proposal or Acquisition Inquiry, (iii) engage in discussions or negotiations (other than to inform any Person of the existence of the provisions of this Agreement) with any Person with respect to any Acquisition Proposal or Acquisition Inquiry, (iv) approve, endorse or recommend any Acquisition Proposal (except as provided in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(v) execute or enter into any letter of intent or any Contract contemplating or otherwise relating to any Acquisition Transaction (except as provided in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or (vi) publicly propose, resolve or agree to do any of the foregoing (except as provided in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contained in this </w:t>
      </w:r>
      <w:r>
        <w:rPr>
          <w:rFonts w:ascii="Times New Roman" w:hAnsi="Times New Roman"/>
          <w:sz w:val="20"/>
          <w:u w:val="single"/>
        </w:rPr>
        <w:t>Section 5.4</w:t>
      </w:r>
      <w:r>
        <w:rPr>
          <w:rFonts w:ascii="Times New Roman" w:hAnsi="Times New Roman"/>
          <w:sz w:val="20"/>
        </w:rPr>
        <w:t xml:space="preserve"> and subject to compliance with this </w:t>
      </w:r>
      <w:r>
        <w:rPr>
          <w:rFonts w:ascii="Times New Roman" w:hAnsi="Times New Roman"/>
          <w:sz w:val="20"/>
          <w:u w:val="single"/>
        </w:rPr>
        <w:t>Section 5.4</w:t>
      </w:r>
      <w:r>
        <w:rPr>
          <w:rFonts w:ascii="Times New Roman" w:hAnsi="Times New Roman"/>
          <w:sz w:val="20"/>
        </w:rPr>
        <w:t xml:space="preserve">, prior to the receipt of the Required Aspen Stockholder Vote as to Aspen or prior to the receipt of the Required Company Stockholder Vote, as to the Company, each Party may furnish non-public information regarding itself and its Subsidiaries to, and enter into discussions or negotiations with, any Person in response to a bona fide written Acquisition Proposal by such Person which that Party’s Board (or a committee thereof) determines in good faith, after consultation with its financial advisors and outside legal counsel, constitutes, or is reasonably likely to constitute or result in, a Superior Offer (and is not withdrawn) if: (A) such Party and the Representatives of such Party shall not have breached this </w:t>
      </w:r>
      <w:r>
        <w:rPr>
          <w:rFonts w:ascii="Times New Roman" w:hAnsi="Times New Roman"/>
          <w:sz w:val="20"/>
          <w:u w:val="single"/>
        </w:rPr>
        <w:t>Section 5.4</w:t>
      </w:r>
      <w:r>
        <w:rPr>
          <w:rFonts w:ascii="Times New Roman" w:hAnsi="Times New Roman"/>
          <w:sz w:val="20"/>
        </w:rPr>
        <w:t xml:space="preserve"> in any material respect, (B) the Party’s Board (or a committee thereof) concludes in good faith based on the advice of outside legal counsel, that the failure to take such action would be inconsistent with such Party’s Board’s fiduciary duties under applicable Law, (C) prior to providing any non-public information about itself, the Party receives from such Person an executed Acceptable Confidentiality Agreement (the negotiation of which shall not be prohibited by this Agreement) and (D) simultaneous with furnishing any such non-public information to such Person, the Party furnishes such non-public information to the other Party (to the extent such information has not been previously furnished to the other Party). Without limiting the generality of </w:t>
      </w:r>
    </w:p>
    <w:p>
      <w:pPr>
        <w:pStyle w:val="TextBody"/>
        <w:bidi w:val="0"/>
        <w:spacing w:before="0" w:after="0"/>
        <w:jc w:val="left"/>
        <w:rPr>
          <w:rFonts w:ascii="Times New Roman" w:hAnsi="Times New Roman"/>
          <w:sz w:val="20"/>
        </w:rPr>
      </w:pPr>
      <w:r>
        <w:rPr>
          <w:rFonts w:ascii="Times New Roman" w:hAnsi="Times New Roman"/>
          <w:sz w:val="20"/>
        </w:rPr>
        <w:t xml:space="preserve">the foregoing, each of Aspen and the Company acknowledges and agrees that, in the event any of its Representative takes any action with its consent that, if taken by such Party, would constitute a breach of this </w:t>
      </w:r>
      <w:r>
        <w:rPr>
          <w:rFonts w:ascii="Times New Roman" w:hAnsi="Times New Roman"/>
          <w:sz w:val="20"/>
          <w:u w:val="single"/>
        </w:rPr>
        <w:t>Section 5.4</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5.4</w:t>
      </w:r>
      <w:r>
        <w:rPr>
          <w:rFonts w:ascii="Times New Roman" w:hAnsi="Times New Roman"/>
          <w:sz w:val="20"/>
        </w:rPr>
        <w:t xml:space="preserve"> by such Party for purposes of this Agreement. Notwithstanding anything to the contrary in this Agreement, (a) each of Aspen and the Company may (i) grant any waiver with respect to, or release, any standstill provision or similar restriction in order to permit a third party to make an Acquisition Proposal or Acquisition Inquiry or (ii) contact any Person that has made an Acquisition Proposal or Acquisition Inquiry after the date hereof to clarify the terms thereof so that the receiving Party’s Board (or a committee thereof) may inform itself of such Acquisition Proposal or Acquisition Inquiry and (b) nothing in this </w:t>
      </w:r>
      <w:r>
        <w:rPr>
          <w:rFonts w:ascii="Times New Roman" w:hAnsi="Times New Roman"/>
          <w:sz w:val="20"/>
          <w:u w:val="single"/>
        </w:rPr>
        <w:t>Section 5.4</w:t>
      </w:r>
      <w:r>
        <w:rPr>
          <w:rFonts w:ascii="Times New Roman" w:hAnsi="Times New Roman"/>
          <w:sz w:val="20"/>
        </w:rPr>
        <w:t xml:space="preserve"> shall prohibit the Company from contacting any Person for the purposes of entering into transactions for capital raising purposes that are otherwise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such Acquisition Proposal or Acquisition Inquiry and any material modification or material proposed modification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t>
      </w:r>
    </w:p>
    <w:p>
      <w:pPr>
        <w:pStyle w:val="TextBody"/>
        <w:bidi w:val="0"/>
        <w:spacing w:before="240" w:after="0"/>
        <w:jc w:val="left"/>
        <w:rPr>
          <w:rFonts w:ascii="Times New Roman" w:hAnsi="Times New Roman"/>
          <w:sz w:val="20"/>
        </w:rPr>
      </w:pPr>
      <w:bookmarkStart w:id="274" w:name="annxa770053_76"/>
      <w:bookmarkEnd w:id="274"/>
      <w:r>
        <w:rPr>
          <w:rFonts w:ascii="Times New Roman" w:hAnsi="Times New Roman"/>
          <w:sz w:val="20"/>
        </w:rPr>
        <w:t xml:space="preserve">5.5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Aspen,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Aspen Key Employee or Company Key Employee (as applicable)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as applicable, impossible or materially less likely. No such notice shall be deemed to supplement or amend the Company Disclosure Schedule or the Aspen Disclosure Schedule for the purpose of (x) determining the accuracy of any of the representations and warranties made by the Company in this Agreement or (y) determining whether any condition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5.5</w:t>
      </w:r>
      <w:r>
        <w:rPr>
          <w:rFonts w:ascii="Times New Roman" w:hAnsi="Times New Roman"/>
          <w:sz w:val="20"/>
        </w:rPr>
        <w:t xml:space="preserve"> shall not be deemed to be a breach for purposes of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bookmarkStart w:id="275" w:name="annxa770053_77"/>
      <w:bookmarkEnd w:id="275"/>
      <w:r>
        <w:rPr>
          <w:rFonts w:ascii="Times New Roman" w:hAnsi="Times New Roman"/>
          <w:sz w:val="20"/>
        </w:rPr>
        <w:t xml:space="preserve">Section 6. </w:t>
      </w:r>
      <w:r>
        <w:rPr>
          <w:rFonts w:ascii="Times New Roman" w:hAnsi="Times New Roman"/>
          <w:sz w:val="20"/>
          <w:u w:val="single"/>
        </w:rPr>
        <w:t>Additional Agreements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76" w:name="annxa770053_78"/>
      <w:bookmarkEnd w:id="276"/>
      <w:r>
        <w:rPr>
          <w:rFonts w:ascii="Times New Roman" w:hAnsi="Times New Roman"/>
          <w:sz w:val="20"/>
        </w:rPr>
        <w:t xml:space="preserve">6.1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date of this Agreement, (i) Aspen shall prepare and file with the SEC a proxy statement relating to the Aspen Stockholder Meeting to be held in connection with the Merger (together with any amendments thereof or supplements thereto, the “</w:t>
      </w:r>
      <w:r>
        <w:rPr>
          <w:rFonts w:ascii="Times New Roman" w:hAnsi="Times New Roman"/>
          <w:b/>
          <w:sz w:val="20"/>
        </w:rPr>
        <w:t>Proxy Statement</w:t>
      </w:r>
      <w:r>
        <w:rPr>
          <w:rFonts w:ascii="Times New Roman" w:hAnsi="Times New Roman"/>
          <w:sz w:val="20"/>
        </w:rPr>
        <w:t>”) and (ii) Aspen, in cooperation with the Company, shall prepare and file with the SEC a registration statement on Form S-4 (the “</w:t>
      </w:r>
      <w:r>
        <w:rPr>
          <w:rFonts w:ascii="Times New Roman" w:hAnsi="Times New Roman"/>
          <w:b/>
          <w:sz w:val="20"/>
        </w:rPr>
        <w:t>Form S-4</w:t>
      </w:r>
      <w:r>
        <w:rPr>
          <w:rFonts w:ascii="Times New Roman" w:hAnsi="Times New Roman"/>
          <w:sz w:val="20"/>
        </w:rPr>
        <w:t>”), in which the Proxy Statement shall be included as a part (the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registration under the Securities Act of the shares of Aspen Common Stock to be issued by virtue of the Contemplated Transactions. Aspen shall use commercially reasonable efforts to (i) cause the Registration Statement to comply with applicable rules and regulations promulgated by the SEC, (ii) cause the Registration Statement to become effective as promptly as practicable, (iii) respond promptly to any comments or requests of the SEC or its staff related to the Registration Statement. Aspen shall take all or any action required under any applicable federal, state, securities and other Laws in connection with the issuance of shares of Aspen Common Stock pursuant to the Contemplated Transactions.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Aspen covenants and agrees that the Registration Statement (and the letter to stockholders, notice of meeting and form of proxy included therewith) will (i) comply as to form in all material respects with the requirements of applicable U.S. federal securities laws and the DGCL as well as the SEC form requirements, and (ii) will not contain any untrue statement of a material fact or omit to state any material fact required to be stated therein or necessary in order to make the statements made therein, in light of the circumstances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they were made, not misleading. The Company covenants and agrees that the information supplied by or on behalf of the Company to Aspen for inclusion in the Registration Statement (including the Company Financials)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Aspen shall use commercially reasonable efforts to cause the Proxy Statement to be mailed to Aspen’s stockholders as promptly as practicable after the Registration Statement is declared effective under the Securities Act. If at any time before the Effective Time, (i) Aspen,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Aspen filing such amendment or supplement with the SEC (and, if appropriate, in mailing such amendment or supplement to the Aspen stockholders) or otherwise addressing such SEC request or comments and each Party and shall use their commercially reasonable efforts to cause any such amendment to become effective, if required. Aspen shall promptly notify the Company if it becomes aware (1) that the Registration Statement has become effective, (2) of the issuance of any stop order or suspension of the qualification or registration of the Aspen Common Stock issuable in connection with the Contemplated Transactions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240" w:after="0"/>
        <w:jc w:val="left"/>
        <w:rPr>
          <w:rFonts w:ascii="Times New Roman" w:hAnsi="Times New Roman"/>
          <w:sz w:val="20"/>
        </w:rPr>
      </w:pPr>
      <w:r>
        <w:rPr>
          <w:rFonts w:ascii="Times New Roman" w:hAnsi="Times New Roman"/>
          <w:sz w:val="20"/>
        </w:rPr>
        <w:t>(d) The Company shall reasonably cooperate with Aspen and provide, and cause its Representatives to provide, Aspen and its Representatives, with all true, correct and complete information regarding the Company that is required by Law to be included in the Registration Statement or reasonably requested by Aspen to be included in the Registration Statement (collectively, the “</w:t>
      </w:r>
      <w:r>
        <w:rPr>
          <w:rFonts w:ascii="Times New Roman" w:hAnsi="Times New Roman"/>
          <w:b/>
          <w:sz w:val="20"/>
        </w:rPr>
        <w:t>Company Required S-4 Information</w:t>
      </w:r>
      <w:r>
        <w:rPr>
          <w:rFonts w:ascii="Times New Roman" w:hAnsi="Times New Roman"/>
          <w:sz w:val="20"/>
        </w:rPr>
        <w:t xml:space="preserve">”). Without limiting the foregoing, the Company will use commercially reasonable efforts to cause to be delivered to Aspen a consent letter of the Company’s independent accounting firm, dated no more than three (3) Business Days before the date on which the Registration Statement is filed with the SEC (and reasonably satisfactory in form and substance to Aspen),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Aspen may not file the Registration Statement, or any amendment or supplement thereto, without the prior consent of the Company, </w:t>
      </w:r>
      <w:r>
        <w:rPr>
          <w:rFonts w:ascii="Times New Roman" w:hAnsi="Times New Roman"/>
          <w:sz w:val="20"/>
          <w:u w:val="single"/>
        </w:rPr>
        <w:t>provided</w:t>
      </w:r>
      <w:r>
        <w:rPr>
          <w:rFonts w:ascii="Times New Roman" w:hAnsi="Times New Roman"/>
          <w:sz w:val="20"/>
        </w:rPr>
        <w:t xml:space="preserve"> that Aspen has included the Company Required S-4 Information in the Registration Statement in substantially the same form as it was provided to Aspen by the Company pursuant to this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prior consent of the Company is not obtained then, notwithstanding anything else herein, the Company makes no covenant or representation regarding the portion of such information supplied by or on behalf of the Company to Aspen for inclusion in such Registration Statement that the Company reasonably identifies prior to such filing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As promptly as reasonably practicable following the date of this Agreement, the Company will furnish to Aspen (i) audited financial statements for each of its fiscal years required to be included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Registration Statement (the “</w:t>
      </w:r>
      <w:r>
        <w:rPr>
          <w:rFonts w:ascii="Times New Roman" w:hAnsi="Times New Roman"/>
          <w:b/>
          <w:sz w:val="20"/>
        </w:rPr>
        <w:t>Company Audited Financial Statements</w:t>
      </w:r>
      <w:r>
        <w:rPr>
          <w:rFonts w:ascii="Times New Roman" w:hAnsi="Times New Roman"/>
          <w:sz w:val="20"/>
        </w:rPr>
        <w:t>”) and (ii)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hAnsi="Times New Roman"/>
          <w:b/>
          <w:sz w:val="20"/>
        </w:rPr>
        <w:t>Company Interim Financial Statements</w:t>
      </w:r>
      <w:r>
        <w:rPr>
          <w:rFonts w:ascii="Times New Roman" w:hAnsi="Times New Roman"/>
          <w:sz w:val="20"/>
        </w:rPr>
        <w:t xml:space="preserve">”).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w:t>
      </w:r>
    </w:p>
    <w:p>
      <w:pPr>
        <w:pStyle w:val="TextBody"/>
        <w:bidi w:val="0"/>
        <w:spacing w:before="240" w:after="0"/>
        <w:jc w:val="left"/>
        <w:rPr>
          <w:rFonts w:ascii="Times New Roman" w:hAnsi="Times New Roman"/>
          <w:sz w:val="20"/>
        </w:rPr>
      </w:pPr>
      <w:bookmarkStart w:id="277" w:name="annxa770053_79"/>
      <w:bookmarkEnd w:id="277"/>
      <w:r>
        <w:rPr>
          <w:rFonts w:ascii="Times New Roman" w:hAnsi="Times New Roman"/>
          <w:sz w:val="20"/>
        </w:rPr>
        <w:t xml:space="preserve">6.2 </w:t>
      </w:r>
      <w:r>
        <w:rPr>
          <w:rFonts w:ascii="Times New Roman" w:hAnsi="Times New Roman"/>
          <w:sz w:val="20"/>
          <w:u w:val="single"/>
        </w:rPr>
        <w:t>Company Stockholder Written Consent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Promptly after the Registration Statement has been declared effective under the Securities Act, and in any event no later than four (4) Business Days thereafter, the Company shall have obtained the approval by written consent from Company stockholders representing no less than 88% of the voting power of the Company, which is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 copy of which will be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hAnsi="Times New Roman"/>
          <w:b/>
          <w:sz w:val="20"/>
        </w:rPr>
        <w:t>Company Stockholder Written Consents</w:t>
      </w:r>
      <w:r>
        <w:rPr>
          <w:rFonts w:ascii="Times New Roman" w:hAnsi="Times New Roman"/>
          <w:sz w:val="20"/>
        </w:rPr>
        <w:t xml:space="preserve">”). Under no circumstances shall the Company assert that any other approval or consent is necessary by its stockholders to approve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As promptly as reasonably practicable following receipt of the Required Company Stockholder Vote, the Company shall prepare and mail a notice (the “</w:t>
      </w:r>
      <w:r>
        <w:rPr>
          <w:rFonts w:ascii="Times New Roman" w:hAnsi="Times New Roman"/>
          <w:b/>
          <w:sz w:val="20"/>
        </w:rPr>
        <w:t>Stockholder Notice</w:t>
      </w:r>
      <w:r>
        <w:rPr>
          <w:rFonts w:ascii="Times New Roman" w:hAnsi="Times New Roman"/>
          <w:sz w:val="20"/>
        </w:rPr>
        <w:t xml:space="preserve">”) to every stockholder of the Company that did not execute the Company Stockholder Written Consent.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hAnsi="Times New Roman"/>
          <w:sz w:val="20"/>
          <w:u w:val="single"/>
        </w:rPr>
        <w:t>Section 6.2(b)</w:t>
      </w:r>
      <w:r>
        <w:rPr>
          <w:rFonts w:ascii="Times New Roman" w:hAnsi="Times New Roman"/>
          <w:sz w:val="20"/>
        </w:rPr>
        <w:t xml:space="preserve"> shall be subject to Aspen’s advance review and reasonable approval. </w:t>
      </w:r>
    </w:p>
    <w:p>
      <w:pPr>
        <w:pStyle w:val="TextBody"/>
        <w:bidi w:val="0"/>
        <w:spacing w:before="240" w:after="0"/>
        <w:jc w:val="left"/>
        <w:rPr>
          <w:rFonts w:ascii="Times New Roman" w:hAnsi="Times New Roman"/>
          <w:sz w:val="20"/>
        </w:rPr>
      </w:pPr>
      <w:r>
        <w:rPr>
          <w:rFonts w:ascii="Times New Roman" w:hAnsi="Times New Roman"/>
          <w:sz w:val="20"/>
        </w:rPr>
        <w:t>(c) The Company agrees that: (i) the Company Board shall recommend that the Company’s stockholders vote to adopt and approve this Agreement and the Contemplated Transactions (the recommendation of the Company Board that the Company’s stockholders vote to adopt and approve this Agreement being referred to as the “</w:t>
      </w:r>
      <w:r>
        <w:rPr>
          <w:rFonts w:ascii="Times New Roman" w:hAnsi="Times New Roman"/>
          <w:b/>
          <w:sz w:val="20"/>
        </w:rPr>
        <w:t>Company Board Recommendation</w:t>
      </w:r>
      <w:r>
        <w:rPr>
          <w:rFonts w:ascii="Times New Roman" w:hAnsi="Times New Roman"/>
          <w:sz w:val="20"/>
        </w:rPr>
        <w:t xml:space="preserve">”) and (ii) except as provided in Section 6.2(d), the Company Board Recommendation shall not be withdrawn or modified (and the Company Board shall not publicly propose to withdraw or modify the Company Board Recommendation) in a manner adverse to Aspen, and no resolution by the Company Board or any committee thereof to withdraw or modify the Company Board Recommendation in a manner adverse to Aspen or to adopt, approve or recommend (or publicly propose to adopt, approve or recommend) any Acquisition Proposal shall be adopted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6.2(c)</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if at any time prior to approval and adoption of this Agreement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Required Company Stockholder Vote, the Company receives a Superior Offer, the Company Board may withhold, amend, withdraw or modify the Company Board Recommendation (or publicly propose to withhold, amend, withdraw or modify the Company Board Recommendation) in a manner adverse to Aspen (collectively, a “</w:t>
      </w:r>
      <w:r>
        <w:rPr>
          <w:rFonts w:ascii="Times New Roman" w:hAnsi="Times New Roman"/>
          <w:b/>
          <w:sz w:val="20"/>
        </w:rPr>
        <w:t>Company Board Adverse Recommendation Change</w:t>
      </w:r>
      <w:r>
        <w:rPr>
          <w:rFonts w:ascii="Times New Roman" w:hAnsi="Times New Roman"/>
          <w:sz w:val="20"/>
        </w:rPr>
        <w:t>”), if, but only if, following the receipt of and on account of such Superior Offer, (i) the Company Board (or a committee thereof) determines in good faith, after consultation with its outside legal counsel, that the failure to take such action would be inconsistent with its fiduciary duties under applicable Law, (ii) the Company has, and has caused its financial advisors and outside legal counsel to, during the Company Notice Period (as defined below) negotiated with Aspen to the extent required by clause (y) below and (iii) if after Aspen shall have delivered to the Company a written offer to alter the terms or conditions of this Agreement during the Company Notice Period pursuant to clause (y) of the proviso to this sentence, the Company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provided that (x) Aspen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b/>
          <w:sz w:val="20"/>
        </w:rPr>
        <w:t>Company 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Aspen shall be entitled to deliver to the Company one or more counterproposals to such Acquisition Proposal and the Company will, and cause its Representatives to, negotiate with Aspen in good faith (to the extent Aspen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Company’s stockholders would receive as a result of such potential Superior Offer), the Company shall be required to provide Aspen with notice of such material amendment and the Company Notice Period shall be extended, if applicable, to ensure that at least three (3) Business Days remain in the Company Notice Period following such notification during which the parties shall comply again with the requirements of this Section 6.2(d) and the Company Board shall not make a Company Board Adverse Recommendation Change prior to the end of such Company Notice Period as so extended (it being understood that there may be multiple extensions).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Company’s obligation to solicit the consent of its stockholders to sign the Company Stockholder Written Consents in accordance with </w:t>
      </w:r>
      <w:r>
        <w:rPr>
          <w:rFonts w:ascii="Times New Roman" w:hAnsi="Times New Roman"/>
          <w:sz w:val="20"/>
          <w:u w:val="single"/>
        </w:rPr>
        <w:t>Section 6.2(a)</w:t>
      </w:r>
      <w:r>
        <w:rPr>
          <w:rFonts w:ascii="Times New Roman" w:hAnsi="Times New Roman"/>
          <w:sz w:val="20"/>
        </w:rPr>
        <w:t xml:space="preserve"> shall not be limited or otherwise affected by the commencement, disclosure, announcement or submission of any Acquisition Inquiry, Acquisition Proposal or Company Board Adverse Recommendation Change. </w:t>
      </w:r>
    </w:p>
    <w:p>
      <w:pPr>
        <w:pStyle w:val="TextBody"/>
        <w:bidi w:val="0"/>
        <w:spacing w:before="240" w:after="0"/>
        <w:jc w:val="left"/>
        <w:rPr>
          <w:rFonts w:ascii="Times New Roman" w:hAnsi="Times New Roman"/>
          <w:sz w:val="20"/>
        </w:rPr>
      </w:pPr>
      <w:bookmarkStart w:id="278" w:name="annxa770053_80"/>
      <w:bookmarkEnd w:id="278"/>
      <w:r>
        <w:rPr>
          <w:rFonts w:ascii="Times New Roman" w:hAnsi="Times New Roman"/>
          <w:sz w:val="20"/>
        </w:rPr>
        <w:t xml:space="preserve">6.3 </w:t>
      </w:r>
      <w:r>
        <w:rPr>
          <w:rFonts w:ascii="Times New Roman" w:hAnsi="Times New Roman"/>
          <w:sz w:val="20"/>
          <w:u w:val="single"/>
        </w:rPr>
        <w:t>Aspen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Aspen shall take all action necessary under applicable Law to call, give notice of and hold a meeting of the holders of Aspen Common Stock to consider and vote upon the Aspen Stockholder Matters and, if mutually agreed between the parties, the routine annual meeting approvals in compliance with Nasdaq (the “</w:t>
      </w:r>
      <w:r>
        <w:rPr>
          <w:rFonts w:ascii="Times New Roman" w:hAnsi="Times New Roman"/>
          <w:b/>
          <w:sz w:val="20"/>
        </w:rPr>
        <w:t>Aspen Stockholder Meeting</w:t>
      </w:r>
      <w:r>
        <w:rPr>
          <w:rFonts w:ascii="Times New Roman" w:hAnsi="Times New Roman"/>
          <w:sz w:val="20"/>
        </w:rPr>
        <w:t xml:space="preserve">”). The Aspen Stockholder Meeting shall be held as promptly as practicable after the date that the Registration Statement is declared effective under the Securities Act, and in any event, no later than forty-five (45) days after the effective date of the Registration Statement. Aspen shall take reasonable measures to ensure that all proxies solicited in connection with the Aspen Stockholder Meeting are solicited in compliance with all applicable Law. Notwithstanding anything to the contrary contained herein, if on the date of the Aspen Stockholder Meeting, or a date preceding the date on which the Aspen Stockholder Meeting is scheduled, Aspen reasonably believes that (i) it will not receive proxies sufficient to obtain the Required Aspen Stockholder Vote, whether or not a quorum would be present, or (ii) it will not have sufficient shares of Aspen Common Stock represented (whether in person or by proxy) to constitute a quorum necessary to conduct the business of the Aspen Stockholder Meeting, Aspen may postpone or adjourn, or make one or more successive postponements or adjournments of, the Aspen Stockholder Meeting as long as the date of the Aspen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is not postponed or adjourned more than an aggregate of forty-five (45) days in connection with any postponements or adjournments,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more than one postponement or adjournment shall not be permitted without the Company’s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6.3</w:t>
      </w:r>
      <w:r>
        <w:rPr>
          <w:rFonts w:ascii="Times New Roman" w:hAnsi="Times New Roman"/>
          <w:sz w:val="20"/>
        </w:rPr>
        <w:t>, Aspen agrees that (i) the Aspen Board shall recommend that the holders of Aspen Common Stock vote to approve the Specified Aspen Stockholder Matters and (ii) the Proxy Statement shall include a statement to the effect that the Aspen Board recommends that Aspen’s stockholders vote to approve the Specified Aspen Stockholder Matters (such recommendation of the Aspen Board being referred to as the “</w:t>
      </w:r>
      <w:r>
        <w:rPr>
          <w:rFonts w:ascii="Times New Roman" w:hAnsi="Times New Roman"/>
          <w:b/>
          <w:sz w:val="20"/>
        </w:rPr>
        <w:t>Aspen Board Recommendation</w:t>
      </w:r>
      <w:r>
        <w:rPr>
          <w:rFonts w:ascii="Times New Roman" w:hAnsi="Times New Roman"/>
          <w:sz w:val="20"/>
        </w:rPr>
        <w:t>”). In addition, the Aspen Board shall recommend that the holders of Aspen Common Stock vote to approve the other Aspen Stockholder Matters (the “</w:t>
      </w:r>
      <w:r>
        <w:rPr>
          <w:rFonts w:ascii="Times New Roman" w:hAnsi="Times New Roman"/>
          <w:b/>
          <w:sz w:val="20"/>
        </w:rPr>
        <w:t>Aspen Second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6.3(b)</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this </w:t>
      </w:r>
      <w:r>
        <w:rPr>
          <w:rFonts w:ascii="Times New Roman" w:hAnsi="Times New Roman"/>
          <w:sz w:val="20"/>
          <w:u w:val="single"/>
        </w:rPr>
        <w:t>Section 6.3(c)</w:t>
      </w:r>
      <w:r>
        <w:rPr>
          <w:rFonts w:ascii="Times New Roman" w:hAnsi="Times New Roman"/>
          <w:sz w:val="20"/>
        </w:rPr>
        <w:t>, if at any time prior to approval and adoption of this Agreement by the Required Aspen Stockholder Vote, if Aspen receives a Superior Offer, the Aspen Board may withhold, amend, withdraw or modify the Aspen Board Recommendation (or publicly propose to withhold, amend, withdraw or modify the Aspen Board Recommendation) in a manner adverse to the Company (collectively, a “</w:t>
      </w:r>
      <w:r>
        <w:rPr>
          <w:rFonts w:ascii="Times New Roman" w:hAnsi="Times New Roman"/>
          <w:b/>
          <w:sz w:val="20"/>
        </w:rPr>
        <w:t>Aspen Board Adverse Recommendation Change</w:t>
      </w:r>
      <w:r>
        <w:rPr>
          <w:rFonts w:ascii="Times New Roman" w:hAnsi="Times New Roman"/>
          <w:sz w:val="20"/>
        </w:rPr>
        <w:t xml:space="preserve">”), approve, endorse or recommend an Acquisition Proposal that constitutes a Superior Offer or enter into any agreement or other Contract contemplating or otherwise relating to an Acquisition Proposal that constitutes a Superior Offer, if, but only if, following the receipt of and on account of such Superior Offer: (i) the Aspen Board (or a committee thereof) determines in good faith, after consultation with its outside legal counsel, that the failure to take such action would be inconsistent with its fiduciary duties under applicable Law, (ii) Aspen has, and has caused its financial advisors and outside legal counsel to, during the Aspen Notice Period (as defined below) negotiated with the Company to the extent required by clause (y) below, and (iii) if after the Company shall have delivered to the Company a written offer to alter the terms or conditions of this Agreement during the Aspen Notice Period pursuant to clause (y) of the proviso to this sentence, the Aspen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Aspen confirming that the Aspen Board has determined to change its recommendation at least four (4) Business Days in advance of the Aspen Board Adverse Recommendation Change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Aspen Board Adverse Recommendation Change, and written copies of any relevant proposed transaction agreements with any party making a potential Superior Offer, (y) during any Aspen Notice Period, the Company shall be entitled to deliver to Aspen one or more counterproposals to such Acquisition Proposal and Aspen will, and cause its Representatives to, negotiate with the Company in good faith (to the extent the Company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Aspen’s stockholders would receive as a result of such potential Superior Offer), Aspen shall be required to provide the Company with notice of such material amendment and the Aspen Notice Period shall be extended, if applicable, to ensure that at least three (3) Business Days remain in the Aspen Notice Period following such notification during which the parties shall comply again with the requirements of this </w:t>
      </w:r>
      <w:r>
        <w:rPr>
          <w:rFonts w:ascii="Times New Roman" w:hAnsi="Times New Roman"/>
          <w:sz w:val="20"/>
          <w:u w:val="single"/>
        </w:rPr>
        <w:t>Section 6.3(c)</w:t>
      </w:r>
      <w:r>
        <w:rPr>
          <w:rFonts w:ascii="Times New Roman" w:hAnsi="Times New Roman"/>
          <w:sz w:val="20"/>
        </w:rPr>
        <w:t xml:space="preserve"> and the Aspen Board shall not make an Aspen Board Adverse Recommendation Change prior to the end of such Aspen Notice Period as so extended (it being understood that there may be multiple extensions). In addition, notwithstanding anything to the contrary in </w:t>
      </w:r>
      <w:r>
        <w:rPr>
          <w:rFonts w:ascii="Times New Roman" w:hAnsi="Times New Roman"/>
          <w:sz w:val="20"/>
          <w:u w:val="single"/>
        </w:rPr>
        <w:t>Section 6.3(b)</w:t>
      </w:r>
      <w:r>
        <w:rPr>
          <w:rFonts w:ascii="Times New Roman" w:hAnsi="Times New Roman"/>
          <w:sz w:val="20"/>
        </w:rPr>
        <w:t xml:space="preserve">, at any time prior to the adoption of this Agreement by the Required Aspen Stockholder Vote, the Aspen Board may withhold, amend, withdraw or modify the Aspen Second Board Recommendation in its exercise of its fiduciary duties.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in this Agreement shall prohibit Aspen or the Aspen Board (or a committee thereof) from complying with Rules 14d-9 and 14e-2(a) promulgated under the Exchange Act;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however, that in no event shall this Section 6.3(d) permit a definitive Aspen Board Adverse Recommendation Change without complying with the provisions of this </w:t>
      </w:r>
      <w:r>
        <w:rPr>
          <w:rFonts w:ascii="Times New Roman" w:hAnsi="Times New Roman"/>
          <w:sz w:val="20"/>
          <w:u w:val="single"/>
        </w:rPr>
        <w:t>Section 6.3</w:t>
      </w:r>
      <w:r>
        <w:rPr>
          <w:rFonts w:ascii="Times New Roman" w:hAnsi="Times New Roman"/>
          <w:sz w:val="20"/>
        </w:rPr>
        <w:t xml:space="preserve">. For the avoidance of doubt, no statement that Aspen is unable to take a position or is considering its position or a “stop, look and listen” communication shall constitute an Aspen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Aspen’s obligation to call, give notice of and hold the Aspen Stockholder Meeting in accordance with </w:t>
      </w:r>
      <w:r>
        <w:rPr>
          <w:rFonts w:ascii="Times New Roman" w:hAnsi="Times New Roman"/>
          <w:sz w:val="20"/>
          <w:u w:val="single"/>
        </w:rPr>
        <w:t>Section 6.3(a)</w:t>
      </w:r>
      <w:r>
        <w:rPr>
          <w:rFonts w:ascii="Times New Roman" w:hAnsi="Times New Roman"/>
          <w:sz w:val="20"/>
        </w:rPr>
        <w:t xml:space="preserve"> shall not be limited or otherwise affected by the commencement, disclosure, announcement or submission of any Superior Offer or Acquisition Proposal, or by any Aspen Board Adverse Recommendation Change (unless this Agreement is terminated in connection therewith). </w:t>
      </w:r>
    </w:p>
    <w:p>
      <w:pPr>
        <w:pStyle w:val="TextBody"/>
        <w:bidi w:val="0"/>
        <w:spacing w:before="240" w:after="0"/>
        <w:jc w:val="left"/>
        <w:rPr>
          <w:rFonts w:ascii="Times New Roman" w:hAnsi="Times New Roman"/>
          <w:sz w:val="20"/>
        </w:rPr>
      </w:pPr>
      <w:bookmarkStart w:id="279" w:name="annxa770053_81"/>
      <w:bookmarkEnd w:id="279"/>
      <w:r>
        <w:rPr>
          <w:rFonts w:ascii="Times New Roman" w:hAnsi="Times New Roman"/>
          <w:sz w:val="20"/>
        </w:rPr>
        <w:t xml:space="preserve">6.4 </w:t>
      </w:r>
      <w:r>
        <w:rPr>
          <w:rFonts w:ascii="Times New Roman" w:hAnsi="Times New Roman"/>
          <w:sz w:val="20"/>
          <w:u w:val="single"/>
        </w:rPr>
        <w:t>Efforts;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Aspen shall give the Company prompt written notice of any litigation against Aspen and/or its directors relating to this Agreement or the Contemplated Transactions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Transaction Litigation</w:t>
      </w:r>
      <w:r>
        <w:rPr>
          <w:rFonts w:ascii="Times New Roman" w:hAnsi="Times New Roman"/>
          <w:sz w:val="20"/>
        </w:rPr>
        <w:t xml:space="preserve">”) (including by providing copies of all pleadings with respect thereto) and keep Company reasonably informed with respect to the status thereof. Aspen will (i) give the Company the opportunity to participate in, but not control, the defense, settlement or prosecution of any Aspen Transaction Litigation (to the extent that the attorney-client privilege is not waived, undermined, or otherwise adversely affected; </w:t>
      </w:r>
      <w:r>
        <w:rPr>
          <w:rFonts w:ascii="Times New Roman" w:hAnsi="Times New Roman"/>
          <w:sz w:val="20"/>
          <w:u w:val="single"/>
        </w:rPr>
        <w:t>provided</w:t>
      </w:r>
      <w:r>
        <w:rPr>
          <w:rFonts w:ascii="Times New Roman" w:hAnsi="Times New Roman"/>
          <w:sz w:val="20"/>
        </w:rPr>
        <w:t xml:space="preserve"> that Aspen and the Company will use commercially reasonable efforts to find alternative solutions to not undermine or adversely effect the privilege such as entering into common interest agreements, joint defense agreements or similar agreements), (ii) consult with the Company with respect to the defense, settlement and prosecution of any Aspen Transaction Litigation and (iii) consider in good faith the Company’s advice with respect to such Aspen Transaction Litigation. Aspen will obtain the prior written consent of the Company (such consent not to be unreasonably withheld, conditioned or delayed) prior to settling or satisfying any such claim. Without otherwise limiting the D&amp;O Indemnified Parties’ rights with regard to the right to counsel, following the Effective Time, the D&amp;O Indemnified Parties shall be entitled to continue to retain Goodwin Procter LLP or such other counsel selected by such Indemnified Parties to defend any Aspen Transaction Litigation. Prior to the Closing, the Company shall have the right to control the defense and settlement of any litigation brought against the Company and/or its directors, and not against Aspen and/or any of Aspen’s directors, related to this Agreement or the Contemplated Transactions (“</w:t>
      </w:r>
      <w:r>
        <w:rPr>
          <w:rFonts w:ascii="Times New Roman" w:hAnsi="Times New Roman"/>
          <w:b/>
          <w:sz w:val="20"/>
        </w:rPr>
        <w:t>Company Transaction Litigation</w:t>
      </w:r>
      <w:r>
        <w:rPr>
          <w:rFonts w:ascii="Times New Roman" w:hAnsi="Times New Roman"/>
          <w:sz w:val="20"/>
        </w:rPr>
        <w:t xml:space="preserve">”), but shall reasonably consult with and permit Aspen and its Representatives to participate in consideration to the Company’s advice with respect to such Company Transaction Litigation. The Company shall promptly advise Aspen of the initiation of, and shall keep Aspen reasonably apprised of any material developments in connection with, any such Company Transaction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bidi w:val="0"/>
        <w:jc w:val="left"/>
        <w:rPr/>
      </w:pPr>
      <w:r>
        <w:rPr/>
      </w:r>
    </w:p>
    <w:p>
      <w:pPr>
        <w:pStyle w:val="TextBody"/>
        <w:bidi w:val="0"/>
        <w:spacing w:before="0" w:after="0"/>
        <w:jc w:val="left"/>
        <w:rPr>
          <w:rFonts w:ascii="Times New Roman" w:hAnsi="Times New Roman"/>
          <w:sz w:val="20"/>
        </w:rPr>
      </w:pPr>
      <w:bookmarkStart w:id="280" w:name="annxa770053_82"/>
      <w:bookmarkEnd w:id="280"/>
      <w:r>
        <w:rPr>
          <w:rFonts w:ascii="Times New Roman" w:hAnsi="Times New Roman"/>
          <w:sz w:val="20"/>
        </w:rPr>
        <w:t xml:space="preserve">6.5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Effective Time, Aspen shall assume the Company Equity Incentive Plan and each Company Option, whether vested or unvested, that is outstanding immediately prior to the Effective Time shall, at the Effective Time, cease to represent a right to acquire shares of Company Common Stock and shall be converted, at the Effective Time, into an option to purchase shares of Aspen Common Stock (an “</w:t>
      </w:r>
      <w:r>
        <w:rPr>
          <w:rFonts w:ascii="Times New Roman" w:hAnsi="Times New Roman"/>
          <w:b/>
          <w:sz w:val="20"/>
        </w:rPr>
        <w:t>Assumed Option</w:t>
      </w:r>
      <w:r>
        <w:rPr>
          <w:rFonts w:ascii="Times New Roman" w:hAnsi="Times New Roman"/>
          <w:sz w:val="20"/>
        </w:rPr>
        <w:t xml:space="preserve">”), on the same terms and conditions (including any vesting provisions and any provisions providing for accelerated vesting upon certain events) as were applicable under such Company Option as of immediately prior to the Effective Time, except for administrative or ministerial changes as determined by the Company Board (or, following the Effective Time, the Aspen Board or compensation committee). The number of shares of Aspen Common Stock subject to each such Assumed Option shall be equal to (i) the number of shares of Company Common Stock subject to the respective Company Option immediately prior to the Effective Time </w:t>
      </w:r>
      <w:r>
        <w:rPr>
          <w:rFonts w:ascii="Times New Roman" w:hAnsi="Times New Roman"/>
          <w:i/>
          <w:sz w:val="20"/>
          <w:u w:val="single"/>
        </w:rPr>
        <w:t>multiplied by</w:t>
      </w:r>
      <w:r>
        <w:rPr>
          <w:rFonts w:ascii="Times New Roman" w:hAnsi="Times New Roman"/>
          <w:sz w:val="20"/>
        </w:rPr>
        <w:t xml:space="preserve"> (ii) the Exchange Ratio, rounded down, if necessary, to the nearest whole share of Aspen Common Stock, and such Assumed Option shall have an exercise price per share (rounded up to the nearest whole cent) equal to (A) the exercise price per share of the Company Common Stock otherwise purchasable pursuant to the respective Company Option immediately prior to the Effective Time </w:t>
      </w:r>
      <w:r>
        <w:rPr>
          <w:rFonts w:ascii="Times New Roman" w:hAnsi="Times New Roman"/>
          <w:i/>
          <w:sz w:val="20"/>
          <w:u w:val="single"/>
        </w:rPr>
        <w:t>divided by</w:t>
      </w:r>
      <w:r>
        <w:rPr>
          <w:rFonts w:ascii="Times New Roman" w:hAnsi="Times New Roman"/>
          <w:sz w:val="20"/>
        </w:rPr>
        <w:t xml:space="preserve"> (B) the Exchange Ratio; </w:t>
      </w:r>
      <w:r>
        <w:rPr>
          <w:rFonts w:ascii="Times New Roman" w:hAnsi="Times New Roman"/>
          <w:sz w:val="20"/>
          <w:u w:val="single"/>
        </w:rPr>
        <w:t>provided</w:t>
      </w:r>
      <w:r>
        <w:rPr>
          <w:rFonts w:ascii="Times New Roman" w:hAnsi="Times New Roman"/>
          <w:sz w:val="20"/>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Aspen Common Stock subject to such option and the terms and conditions of exercise of such option shall be determined in a manner consistent with the requirements of Section 424(a) of the Code;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any Assumed Option to which Section 409A of the Code applies as of the Effective Time, the exercise price, the number of shares of Aspen Common Stock subject to such option and the terms and conditions of exercise of such option shall be determined in a manner consistent with the requirements of Section 409A of the Code in order to avoid the imposition of any additional taxes thereunder.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Board shall, prior to the Effective Time, take all actions necessary to effect the foregoing, and the Company shall ensure that there will be no “single-trigger” accelerated vesting of any Company Options triggered at and as of the consummation of any of the transactions contemplated hereby. </w:t>
      </w:r>
    </w:p>
    <w:p>
      <w:pPr>
        <w:pStyle w:val="TextBody"/>
        <w:bidi w:val="0"/>
        <w:spacing w:before="240" w:after="0"/>
        <w:jc w:val="left"/>
        <w:rPr>
          <w:rFonts w:ascii="Times New Roman" w:hAnsi="Times New Roman"/>
          <w:sz w:val="20"/>
        </w:rPr>
      </w:pPr>
      <w:bookmarkStart w:id="281" w:name="annxa770053_83"/>
      <w:bookmarkEnd w:id="281"/>
      <w:r>
        <w:rPr>
          <w:rFonts w:ascii="Times New Roman" w:hAnsi="Times New Roman"/>
          <w:sz w:val="20"/>
        </w:rPr>
        <w:t xml:space="preserve">6.6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Aspen shall comply with the terms of any employment, severance, retention, change of control, or similar agreement specified on </w:t>
      </w:r>
      <w:r>
        <w:rPr>
          <w:rFonts w:ascii="Times New Roman" w:hAnsi="Times New Roman"/>
          <w:sz w:val="20"/>
          <w:u w:val="single"/>
        </w:rPr>
        <w:t>Section 4.17(d)</w:t>
      </w:r>
      <w:r>
        <w:rPr>
          <w:rFonts w:ascii="Times New Roman" w:hAnsi="Times New Roman"/>
          <w:sz w:val="20"/>
        </w:rPr>
        <w:t xml:space="preserve"> or contemplated by </w:t>
      </w:r>
      <w:r>
        <w:rPr>
          <w:rFonts w:ascii="Times New Roman" w:hAnsi="Times New Roman"/>
          <w:sz w:val="20"/>
          <w:u w:val="single"/>
        </w:rPr>
        <w:t>Section 5.1(b)</w:t>
      </w:r>
      <w:r>
        <w:rPr>
          <w:rFonts w:ascii="Times New Roman" w:hAnsi="Times New Roman"/>
          <w:sz w:val="20"/>
        </w:rPr>
        <w:t xml:space="preserve"> of the Aspen Disclosure Schedule, subject to the provisions of such agreements. </w:t>
      </w:r>
    </w:p>
    <w:p>
      <w:pPr>
        <w:pStyle w:val="TextBody"/>
        <w:bidi w:val="0"/>
        <w:spacing w:before="240" w:after="0"/>
        <w:jc w:val="left"/>
        <w:rPr>
          <w:rFonts w:ascii="Times New Roman" w:hAnsi="Times New Roman"/>
          <w:sz w:val="20"/>
        </w:rPr>
      </w:pPr>
      <w:r>
        <w:rPr>
          <w:rFonts w:ascii="Times New Roman" w:hAnsi="Times New Roman"/>
          <w:sz w:val="20"/>
        </w:rPr>
        <w:t>(b) From and after the Effective Time, with respect to each benefit plan maintained by Aspen or the Surviving Corporation that is an “employee welfare benefit plan” as defined in Section 3(1) of ERISA (each, a “</w:t>
      </w:r>
      <w:r>
        <w:rPr>
          <w:rFonts w:ascii="Times New Roman" w:hAnsi="Times New Roman"/>
          <w:b/>
          <w:sz w:val="20"/>
        </w:rPr>
        <w:t>Post-Closing Welfare Plan</w:t>
      </w:r>
      <w:r>
        <w:rPr>
          <w:rFonts w:ascii="Times New Roman" w:hAnsi="Times New Roman"/>
          <w:sz w:val="20"/>
        </w:rPr>
        <w:t xml:space="preserve">”) in which any current or former employee of Aspen or the Company is or becomes eligible to participate (including under COBRA), Aspen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Aspen or Company employee and his or her eligible dependents to the same extent that such pre-existing conditions, waiting periods, required physical examinations and exclusions would not have applied or would have been waived under the corresponding Aspen Employee Plan or Company Employee Plan, as applicable, in which such current or former Aspen or Company employee was a participant immediately prior to his or her commencement of participation in such Post-Closing Welfare Plan, and (ii) provide each such current or former Aspen or Company employee and his or her eligible dependents with credit for any co-payments and deductibles paid in the plan year that includes the Effective Time, and prior to the date that, such current or former Aspen or Company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Aspen Employee Plan or Company Employee Plan,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This </w:t>
      </w:r>
      <w:r>
        <w:rPr>
          <w:rFonts w:ascii="Times New Roman" w:hAnsi="Times New Roman"/>
          <w:sz w:val="20"/>
          <w:u w:val="single"/>
        </w:rPr>
        <w:t>Section 6.6</w:t>
      </w:r>
      <w:r>
        <w:rPr>
          <w:rFonts w:ascii="Times New Roman" w:hAnsi="Times New Roman"/>
          <w:sz w:val="20"/>
        </w:rPr>
        <w:t xml:space="preserve"> shall be binding upon and inure solely to the benefit of each of the parties to this Agreement, and nothing in this </w:t>
      </w:r>
      <w:r>
        <w:rPr>
          <w:rFonts w:ascii="Times New Roman" w:hAnsi="Times New Roman"/>
          <w:sz w:val="20"/>
          <w:u w:val="single"/>
        </w:rPr>
        <w:t>Section 6.6</w:t>
      </w:r>
      <w:r>
        <w:rPr>
          <w:rFonts w:ascii="Times New Roman" w:hAnsi="Times New Roman"/>
          <w:sz w:val="20"/>
        </w:rPr>
        <w:t xml:space="preserve"> shall confer upon any other Person any rights or remedies of any nature whatsoever. Nothing contained herein shall be construed to establish, amend or modify any benefit plan, program, agreement, or arrangement. The parties hereto acknowledge and agree that the terms set forth in this </w:t>
      </w:r>
      <w:r>
        <w:rPr>
          <w:rFonts w:ascii="Times New Roman" w:hAnsi="Times New Roman"/>
          <w:sz w:val="20"/>
          <w:u w:val="single"/>
        </w:rPr>
        <w:t>Section 6.6</w:t>
      </w:r>
      <w:r>
        <w:rPr>
          <w:rFonts w:ascii="Times New Roman" w:hAnsi="Times New Roman"/>
          <w:sz w:val="20"/>
        </w:rPr>
        <w:t xml:space="preserve"> shall not create any right in any employee or any other Person to any continued employment with the Company, the Surviving Corporation, Aspen or any of their respective Affiliates or compensation or benefits of any nature or kind whatsoever. </w:t>
      </w:r>
    </w:p>
    <w:p>
      <w:pPr>
        <w:pStyle w:val="TextBody"/>
        <w:bidi w:val="0"/>
        <w:spacing w:before="240" w:after="0"/>
        <w:jc w:val="left"/>
        <w:rPr>
          <w:rFonts w:ascii="Times New Roman" w:hAnsi="Times New Roman"/>
          <w:sz w:val="20"/>
        </w:rPr>
      </w:pPr>
      <w:bookmarkStart w:id="282" w:name="annxa770053_84"/>
      <w:bookmarkEnd w:id="282"/>
      <w:r>
        <w:rPr>
          <w:rFonts w:ascii="Times New Roman" w:hAnsi="Times New Roman"/>
          <w:sz w:val="20"/>
        </w:rPr>
        <w:t xml:space="preserve">6.7 </w:t>
      </w:r>
      <w:r>
        <w:rPr>
          <w:rFonts w:ascii="Times New Roman" w:hAnsi="Times New Roman"/>
          <w:sz w:val="20"/>
          <w:u w:val="single"/>
        </w:rPr>
        <w:t>Aspen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Aspen Options</w:t>
      </w:r>
      <w:r>
        <w:rPr>
          <w:rFonts w:ascii="Times New Roman" w:hAnsi="Times New Roman"/>
          <w:sz w:val="20"/>
        </w:rPr>
        <w:t xml:space="preserve">. Prior to the Closing, the Aspen Board shall have adopted appropriate resolutions and taken all other actions necessary and appropriate to provide that (i) the vesting and exercisability of each unexpired, unexercised and unvested In the Money Aspen Option outstanding as of immediately prior to the Effective Time (A) that is held by a current employee, director, or consultant of Aspen as of the date hereof shall be accelerated in full effective as of immediately prior to the Effective Time, and (B) each In the Money Aspen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and (ii) the vesting and exercisability of 50% of all unexpired, unexercised and unvested Aspen Options set forth on </w:t>
      </w:r>
      <w:r>
        <w:rPr>
          <w:rFonts w:ascii="Times New Roman" w:hAnsi="Times New Roman"/>
          <w:sz w:val="20"/>
          <w:u w:val="single"/>
        </w:rPr>
        <w:t>Section 6.7(a)</w:t>
      </w:r>
      <w:r>
        <w:rPr>
          <w:rFonts w:ascii="Times New Roman" w:hAnsi="Times New Roman"/>
          <w:sz w:val="20"/>
        </w:rPr>
        <w:t xml:space="preserve"> of the Aspen Disclosure Schedule and that remain outstanding as of immediately prior to the Effective Time (the “</w:t>
      </w:r>
      <w:r>
        <w:rPr>
          <w:rFonts w:ascii="Times New Roman" w:hAnsi="Times New Roman"/>
          <w:sz w:val="20"/>
          <w:u w:val="single"/>
        </w:rPr>
        <w:t>Specified Options</w:t>
      </w:r>
      <w:r>
        <w:rPr>
          <w:rFonts w:ascii="Times New Roman" w:hAnsi="Times New Roman"/>
          <w:sz w:val="20"/>
        </w:rPr>
        <w:t xml:space="preserve">”) (A) that is held by a current employee, director, or consultant of Aspen as of the date hereof shall be accelerated in full effective as of immediately prior to the Effective Time, and (B) each Specified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(for the avoidance of doubt, no Specified Options shall be included in the total number of shares of Aspen Common Stock outstanding for purposes of determining the Aspen Outstanding Shares). Except as otherwise provided by this </w:t>
      </w:r>
      <w:r>
        <w:rPr>
          <w:rFonts w:ascii="Times New Roman" w:hAnsi="Times New Roman"/>
          <w:sz w:val="20"/>
          <w:u w:val="single"/>
        </w:rPr>
        <w:t>Section 6.7(a)</w:t>
      </w:r>
      <w:r>
        <w:rPr>
          <w:rFonts w:ascii="Times New Roman" w:hAnsi="Times New Roman"/>
          <w:sz w:val="20"/>
        </w:rPr>
        <w:t xml:space="preserve">, each Aspen Option shall continue to be subject to the same terms and conditions after the Effective Time as were applicable under such Aspen Option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Aspen Restricted Stock Units</w:t>
      </w:r>
      <w:r>
        <w:rPr>
          <w:rFonts w:ascii="Times New Roman" w:hAnsi="Times New Roman"/>
          <w:sz w:val="20"/>
        </w:rPr>
        <w:t xml:space="preserve">. Prior to the Closing, the Aspen Board shall have adopted appropriate resolutions and taken all other actions necessary and appropriate to provide that (i) the vesting of each outstanding and unvested Aspen Restricted Stock Unit that vests solely on the basis of time shall be accelerated in full effective as of immediately prior to the Effective Time, contingent on the occurrence of the Effective Time, and (ii) for each outstanding and unsettled Aspen Restricted Stock Unit that vests solely on the basis of time (including any Aspen Restricted Stock Units accelerated under </w:t>
      </w:r>
      <w:r>
        <w:rPr>
          <w:rFonts w:ascii="Times New Roman" w:hAnsi="Times New Roman"/>
          <w:sz w:val="20"/>
          <w:u w:val="single"/>
        </w:rPr>
        <w:t>Section 6.7(b)(i)</w:t>
      </w:r>
      <w:r>
        <w:rPr>
          <w:rFonts w:ascii="Times New Roman" w:hAnsi="Times New Roman"/>
          <w:sz w:val="20"/>
        </w:rPr>
        <w:t xml:space="preserve"> above) the holder thereof shall receive, immediately prior to the Effective Time, a number of shares of Aspen Common Stock equal to the number of vested and unsettled shares underlying such Aspen Restricted Stock Units. Notwithstanding anything herein to the contrary, the tax withholding obligations for each holder receiving shares of Aspen Common Stock in accordance with the preceding sentence shall be satisfied by Aspen withholding from issuance that number of shares of Aspen Common Stock calculated by multiplying the legally-required withholding rate for such holder in connection with such issuance by the number of shares of Aspen Common Stock to be issued in accordance with the preceding sentence, and rounding up to the nearest whole share and remitting such withholding in cash to the appropriate taxing authorities. For the avoidance of doubt, any Aspen Restricted Stock Unit that vests in whole or in part based on the achievement of performance goals shall not be impacted by this </w:t>
      </w:r>
      <w:r>
        <w:rPr>
          <w:rFonts w:ascii="Times New Roman" w:hAnsi="Times New Roman"/>
          <w:sz w:val="20"/>
          <w:u w:val="single"/>
        </w:rPr>
        <w:t>Section 6.7(b)</w:t>
      </w:r>
      <w:r>
        <w:rPr>
          <w:rFonts w:ascii="Times New Roman" w:hAnsi="Times New Roman"/>
          <w:sz w:val="20"/>
        </w:rPr>
        <w:t xml:space="preserve"> and shall remain in effect in accordance with their terms. </w:t>
      </w:r>
    </w:p>
    <w:p>
      <w:pPr>
        <w:pStyle w:val="TextBody"/>
        <w:bidi w:val="0"/>
        <w:spacing w:before="240" w:after="0"/>
        <w:jc w:val="left"/>
        <w:rPr>
          <w:rFonts w:ascii="Times New Roman" w:hAnsi="Times New Roman"/>
          <w:sz w:val="20"/>
        </w:rPr>
      </w:pPr>
      <w:bookmarkStart w:id="283" w:name="annxa770053_85"/>
      <w:bookmarkEnd w:id="283"/>
      <w:r>
        <w:rPr>
          <w:rFonts w:ascii="Times New Roman" w:hAnsi="Times New Roman"/>
          <w:sz w:val="20"/>
        </w:rPr>
        <w:t xml:space="preserve">6.8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Effective Time through the sixth anniversary of the date on which the Effective Time occurs, each of Aspen and the Surviving Corporation shall indemnify and hold harmless each person who is now,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has been at any time prior to the date hereof, or who becomes prior to the Effective Time, a director or officer of Aspen or the Company,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incurred in connection with any claim, action, suit, proceeding or investigation (each a “</w:t>
      </w:r>
      <w:r>
        <w:rPr>
          <w:rFonts w:ascii="Times New Roman" w:hAnsi="Times New Roman"/>
          <w:b/>
          <w:sz w:val="20"/>
        </w:rPr>
        <w:t>Proceeding</w:t>
      </w:r>
      <w:r>
        <w:rPr>
          <w:rFonts w:ascii="Times New Roman" w:hAnsi="Times New Roman"/>
          <w:sz w:val="20"/>
        </w:rPr>
        <w:t xml:space="preserve">”), whether formal or informal, civil, criminal, administrative or investigative, arising out of or pertaining to the fact that the D&amp;O Indemnified Party is or was (i) a director or officer of Aspen or of the Company, respectively, or (ii) by reason of such D&amp;O Indemnified Party’s service in connection with any other corporation or organization for which he or she serves or has served as a director, officer, employee, agent trustee or fiduciary at the request of the Company or Aspen, respectively (including in any capacity with respect to any employee benefit plan), whether asserted or claimed prior to, at or after the Effective Time, in each case, to the fullest extent permitted under the DGCL; </w:t>
      </w:r>
      <w:r>
        <w:rPr>
          <w:rFonts w:ascii="Times New Roman" w:hAnsi="Times New Roman"/>
          <w:sz w:val="20"/>
          <w:u w:val="single"/>
        </w:rPr>
        <w:t>provided</w:t>
      </w:r>
      <w:r>
        <w:rPr>
          <w:rFonts w:ascii="Times New Roman" w:hAnsi="Times New Roman"/>
          <w:sz w:val="20"/>
        </w:rPr>
        <w:t xml:space="preserve"> that all rights to being held harmless, indemnification and advancement of expenses in respect of any Proceeding asserted or made, and for which a D&amp;O Indemnified Party delivers a written notice to Aspen or the Surviving Corporation within such six (6) year period asserting a claim for such protections pursuant to this </w:t>
      </w:r>
      <w:r>
        <w:rPr>
          <w:rFonts w:ascii="Times New Roman" w:hAnsi="Times New Roman"/>
          <w:sz w:val="20"/>
          <w:u w:val="single"/>
        </w:rPr>
        <w:t>Section 6.8</w:t>
      </w:r>
      <w:r>
        <w:rPr>
          <w:rFonts w:ascii="Times New Roman" w:hAnsi="Times New Roman"/>
          <w:sz w:val="20"/>
        </w:rPr>
        <w:t xml:space="preserve"> shall continue until the final disposition of such Proceeding. Each D&amp;O Indemnified Party will be entitled to advancement of expenses incurred in the defense of any such Proceeding from each of Aspen and the Surviving Corporation, jointly and severally, upon receipt by Aspen or the Surviving Corporation from the D&amp;O Indemnified Party of a request therefor; </w:t>
      </w:r>
      <w:r>
        <w:rPr>
          <w:rFonts w:ascii="Times New Roman" w:hAnsi="Times New Roman"/>
          <w:sz w:val="20"/>
          <w:u w:val="single"/>
        </w:rPr>
        <w:t>provided</w:t>
      </w:r>
      <w:r>
        <w:rPr>
          <w:rFonts w:ascii="Times New Roman" w:hAnsi="Times New Roman"/>
          <w:sz w:val="20"/>
        </w:rPr>
        <w:t xml:space="preserve"> that any such person to whom expenses are advanced provides an undertaking to Aspen, to the extent then required by the DGCL, to repay such advances if it is ultimately determined that such person is not entitled to indemnification (such undertaking shall be unsecured and made without reference to such D&amp;O Indemnified Party’s ultimate entitlement to indemnification or ability to repay such advances (and no other form of undertaking shall be required)). Without otherwise limiting the D&amp;O Indemnified Parties’ rights with regards to counsel, following the Effective Time, the D&amp;O Indemnified Parties shall be entitled to continue to retain Goodwin Procter LLP or such other counsel selected by the D&amp;O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the Organizational Documents of Aspen with respect to indemnification, advancement of expenses and exculpation of present and former directors and officers of Aspen that are presently set forth in the Organizational Documents of Aspen shall not be amended, modified or repealed for a period of six (6) years from the Effective Time in a manner that would adversely affect the rights thereunder of individuals who, at or prior to the Effective Time, were officers or directors of Aspen, unless such modification is required by applicable Law. The Organizational Documents of the Surviving Corporation shall contain, and Aspen shall cause the Organizational Documents of the Surviving Corporation to so contain, provisions no less favorable with respect to indemnification, advancement of expenses and exculpation of present and former directors and officers as those presently set forth in the Organizational Documents of Aspen.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Aspen shall fulfill and honor in all respects the obligations of Aspen to its D&amp;O Indemnified Parties as of immediately prior to the Closing pursuant to any indemnification provisions under Aspen’s Organizational Documents and pursuant to any indemnification agreements between Aspen and such D&amp;O Indemnified Parties, with respect to claims arising out of matters occurring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Effective Time, the Surviving Corporation shall maintain directors’ and officers’ liability insurance policies, with an effective date as of the Closing Date, on commercially reasonable terms and conditions and with coverage limits customary for U.S. public companies similarly situated to Aspen. In addition, Aspen shall purchase, prior to the Effective Time, six (6) year prepaid “D&amp;O tail policies” for the non-cancelable extension of the directors’ and officers’ liability coverage of Aspen’s existing directors’ and officers’ insurance policies for a claims reporting or discovery period of at least six (6) years from and after the Effective Time with respect to any claim related to any act, error or omission occurring at or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Time with terms, conditions, retentions and limits of liability that are no less favorable than the coverage provided under Aspen’s existing policies as of the date of this Agreement, except that Aspen will not commit or spend on such “D&amp;O tail policies” annual premiums in excess of 350% of the annual premiums paid by Aspen prior to the Effective Time for Aspen’s policies of directors’ and officers’ liability insurance and fiduciary liability insurance, and if such premiums for such “D&amp;O tail policies” would exceed 350% of a premium, then Aspen shall purchase such “D&amp;O tail policies” that provide the maximum coverage available at an annual premium equal to 350% of such annual premium. Aspen and the Surviving Corporation shall maintain such “D&amp;O tail policies” in full force and effect for their full term and continue to honor the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Effective Time, the Surviving Corporation shall pay all expenses, including reasonable attorneys’ fees, that are incurred by the persons referred to in this </w:t>
      </w:r>
      <w:r>
        <w:rPr>
          <w:rFonts w:ascii="Times New Roman" w:hAnsi="Times New Roman"/>
          <w:sz w:val="20"/>
          <w:u w:val="single"/>
        </w:rPr>
        <w:t>Section 6.8</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6.8</w:t>
      </w:r>
      <w:r>
        <w:rPr>
          <w:rFonts w:ascii="Times New Roman" w:hAnsi="Times New Roman"/>
          <w:sz w:val="20"/>
        </w:rPr>
        <w:t xml:space="preserve"> are intended to be in addition to the rights otherwise available to the current and former officers and directors of Aspen and the Company by Law, charter, statute, 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Aspen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Aspen or the Surviving Corporation, as the case may be, shall succeed to the obligations set forth in this </w:t>
      </w:r>
      <w:r>
        <w:rPr>
          <w:rFonts w:ascii="Times New Roman" w:hAnsi="Times New Roman"/>
          <w:sz w:val="20"/>
          <w:u w:val="single"/>
        </w:rPr>
        <w:t>Section 6.8</w:t>
      </w:r>
      <w:r>
        <w:rPr>
          <w:rFonts w:ascii="Times New Roman" w:hAnsi="Times New Roman"/>
          <w:sz w:val="20"/>
        </w:rPr>
        <w:t xml:space="preserve">. Aspen shall cause the Surviving Corporation to perform all of the obligations of the Surviving Corporation under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84" w:name="annxa770053_86"/>
      <w:bookmarkEnd w:id="284"/>
      <w:r>
        <w:rPr>
          <w:rFonts w:ascii="Times New Roman" w:hAnsi="Times New Roman"/>
          <w:sz w:val="20"/>
        </w:rPr>
        <w:t xml:space="preserve">6.9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Aspen’s Current Report on Form 8-K announcing the execution and delivery of this Agreement.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Aspen may make any public statement in response to specific questions by the press, analysts, investors or those attending industry conferences or financial analyst conference calls, or internal employee communications, so long as in each case any such statements or internal employee communications are consistent with previous press releases, public disclosures or public statements made by the Company or Aspen in compliance with this </w:t>
      </w:r>
      <w:r>
        <w:rPr>
          <w:rFonts w:ascii="Times New Roman" w:hAnsi="Times New Roman"/>
          <w:sz w:val="20"/>
          <w:u w:val="single"/>
        </w:rPr>
        <w:t>Section 6.9</w:t>
      </w:r>
      <w:r>
        <w:rPr>
          <w:rFonts w:ascii="Times New Roman" w:hAnsi="Times New Roman"/>
          <w:sz w:val="20"/>
        </w:rPr>
        <w:t xml:space="preserve">. Notwithstanding the foregoing, Aspen and Merger Sub need not consult with the Company in connection with such portion of any press release, public statement or filing to be issued or made pursuant to </w:t>
      </w:r>
      <w:r>
        <w:rPr>
          <w:rFonts w:ascii="Times New Roman" w:hAnsi="Times New Roman"/>
          <w:sz w:val="20"/>
          <w:u w:val="single"/>
        </w:rPr>
        <w:t>Section 6.3</w:t>
      </w:r>
      <w:r>
        <w:rPr>
          <w:rFonts w:ascii="Times New Roman" w:hAnsi="Times New Roman"/>
          <w:sz w:val="20"/>
        </w:rPr>
        <w:t xml:space="preserve"> or relating thereto. </w:t>
      </w:r>
    </w:p>
    <w:p>
      <w:pPr>
        <w:pStyle w:val="TextBody"/>
        <w:bidi w:val="0"/>
        <w:spacing w:before="240" w:after="0"/>
        <w:jc w:val="left"/>
        <w:rPr>
          <w:rFonts w:ascii="Times New Roman" w:hAnsi="Times New Roman"/>
          <w:sz w:val="20"/>
        </w:rPr>
      </w:pPr>
      <w:bookmarkStart w:id="285" w:name="annxa770053_87"/>
      <w:bookmarkEnd w:id="285"/>
      <w:r>
        <w:rPr>
          <w:rFonts w:ascii="Times New Roman" w:hAnsi="Times New Roman"/>
          <w:sz w:val="20"/>
        </w:rPr>
        <w:t xml:space="preserve">6.10 </w:t>
      </w:r>
      <w:r>
        <w:rPr>
          <w:rFonts w:ascii="Times New Roman" w:hAnsi="Times New Roman"/>
          <w:sz w:val="20"/>
          <w:u w:val="single"/>
        </w:rPr>
        <w:t>Listing</w:t>
      </w:r>
      <w:r>
        <w:rPr>
          <w:rFonts w:ascii="Times New Roman" w:hAnsi="Times New Roman"/>
          <w:sz w:val="20"/>
        </w:rPr>
        <w:t xml:space="preserve">. At or prior to the Effective Time, Aspen shall use its commercially reasonable efforts to (a) maintain its listing on Nasdaq until the Effective Time and to obtain approval of the listing of the combined corporation on Nasdaq, (b) to the extent required by the rules and regulations of Nasdaq, prepare and submit to Nasdaq a notification form for the listing of the shares of Aspen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Aspen’s certificate of incorporation effecting the Nasdaq Reverse Split, certified by the Secretary of State of the State of Delaware, to Nasdaq on the Closing Date; and (d)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extent required by Nasdaq Listing Rule 5110, assist the Company in preparing and filing an initial listing application for the Aspen Common Stock on Nasdaq (the “</w:t>
      </w:r>
      <w:r>
        <w:rPr>
          <w:rFonts w:ascii="Times New Roman" w:hAnsi="Times New Roman"/>
          <w:b/>
          <w:sz w:val="20"/>
        </w:rPr>
        <w:t>Nasdaq Listing Application</w:t>
      </w:r>
      <w:r>
        <w:rPr>
          <w:rFonts w:ascii="Times New Roman" w:hAnsi="Times New Roman"/>
          <w:sz w:val="20"/>
        </w:rPr>
        <w:t xml:space="preserve">”)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hAnsi="Times New Roman"/>
          <w:sz w:val="20"/>
          <w:u w:val="single"/>
        </w:rPr>
        <w:t>Section 6.10</w:t>
      </w:r>
      <w:r>
        <w:rPr>
          <w:rFonts w:ascii="Times New Roman" w:hAnsi="Times New Roman"/>
          <w:sz w:val="20"/>
        </w:rPr>
        <w:t xml:space="preserve">. All Nasdaq fees associated with any action contemplated by this </w:t>
      </w:r>
      <w:r>
        <w:rPr>
          <w:rFonts w:ascii="Times New Roman" w:hAnsi="Times New Roman"/>
          <w:sz w:val="20"/>
          <w:u w:val="single"/>
        </w:rPr>
        <w:t>Section 6.10</w:t>
      </w:r>
      <w:r>
        <w:rPr>
          <w:rFonts w:ascii="Times New Roman" w:hAnsi="Times New Roman"/>
          <w:sz w:val="20"/>
        </w:rPr>
        <w:t xml:space="preserve"> (the “</w:t>
      </w:r>
      <w:r>
        <w:rPr>
          <w:rFonts w:ascii="Times New Roman" w:hAnsi="Times New Roman"/>
          <w:b/>
          <w:sz w:val="20"/>
        </w:rPr>
        <w:t>Nasdaq Fees</w:t>
      </w:r>
      <w:r>
        <w:rPr>
          <w:rFonts w:ascii="Times New Roman" w:hAnsi="Times New Roman"/>
          <w:sz w:val="20"/>
        </w:rPr>
        <w:t xml:space="preserve">”) shall be shared equally by the Company and Aspen. </w:t>
      </w:r>
    </w:p>
    <w:p>
      <w:pPr>
        <w:pStyle w:val="TextBody"/>
        <w:bidi w:val="0"/>
        <w:spacing w:before="240" w:after="0"/>
        <w:jc w:val="left"/>
        <w:rPr>
          <w:rFonts w:ascii="Times New Roman" w:hAnsi="Times New Roman"/>
          <w:sz w:val="20"/>
        </w:rPr>
      </w:pPr>
      <w:bookmarkStart w:id="286" w:name="annxa770053_88"/>
      <w:bookmarkEnd w:id="286"/>
      <w:r>
        <w:rPr>
          <w:rFonts w:ascii="Times New Roman" w:hAnsi="Times New Roman"/>
          <w:sz w:val="20"/>
        </w:rPr>
        <w:t xml:space="preserve">6.11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Merger from qualifying for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including, but not limited to, those set forth in Treasury Regulation Section 1.368-3. </w:t>
      </w:r>
    </w:p>
    <w:p>
      <w:pPr>
        <w:pStyle w:val="TextBody"/>
        <w:bidi w:val="0"/>
        <w:spacing w:before="240" w:after="0"/>
        <w:jc w:val="left"/>
        <w:rPr>
          <w:rFonts w:ascii="Times New Roman" w:hAnsi="Times New Roman"/>
          <w:sz w:val="20"/>
        </w:rPr>
      </w:pPr>
      <w:r>
        <w:rPr>
          <w:rFonts w:ascii="Times New Roman" w:hAnsi="Times New Roman"/>
          <w:sz w:val="20"/>
        </w:rPr>
        <w:t xml:space="preserve">(b) Aspen shall promptly notify the Company if, at any time before the Effective Time, Aspen becomes aware of any fact or circumstance that would reasonably be expected to prevent, cause a failure of, or impede the Merger from qualifying for the Intended Tax Treatment. The Company shall promptly notify Aspen if, at any time before the Effective Time, the Company becomes aware of any fact or circumstance that would reasonably be expected to prevent, cause a failure of, or impede the Merger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(c) If, after good faith efforts by Aspen, in cooperation with the Company, to respond to any comments from the SEC requiring or requesting that an opinion with respect to the Intended Tax Treatment be prepared and submitted in connection with the Registration Statement and Proxy Statement (or any other filing required by applicable Law) or the SEC’s review thereof (“</w:t>
      </w:r>
      <w:r>
        <w:rPr>
          <w:rFonts w:ascii="Times New Roman" w:hAnsi="Times New Roman"/>
          <w:b/>
          <w:sz w:val="20"/>
        </w:rPr>
        <w:t>Tax Opinion</w:t>
      </w:r>
      <w:r>
        <w:rPr>
          <w:rFonts w:ascii="Times New Roman" w:hAnsi="Times New Roman"/>
          <w:sz w:val="20"/>
        </w:rPr>
        <w:t>”), the SEC continues to request or require that a Tax Opinion be prepared and submitted, (i) each of Aspen and the Company shall cause Goodwin Procter LLP (or such other nationally recognized law or accounting firm reasonably satisfactory to Aspen and the Company) and Cooley LLP (or such other nationally recognized law or accounting firm reasonably satisfactory to the Company and Aspen), respectively, to furnish such opinions (as so required or requested and subject to customary assumptions and limitations) and (ii) Aspen and the Company shall each deliver to Goodwin Procter LLP (or such other nationally recognized law or accounting firm reasonably satisfactory to Aspen and the Company) and Cooley LLP (or such other nationally recognized law or accounting firm reasonably satisfactory to the Company and Aspen) a Tax certificate, dated as of the date the Registration Statement and Proxy Statement (or such other filing if required by applicable Law) shall have been declared effective by the SEC and signed by an officer of Aspen or the Company, as applicable, containing customary representations and covenants reasonably acceptable to the Company and Aspen, as applicable, in each case, as reasonably necessary and appropriate to enable such advisors to render such opinion (the “</w:t>
      </w:r>
      <w:r>
        <w:rPr>
          <w:rFonts w:ascii="Times New Roman" w:hAnsi="Times New Roman"/>
          <w:b/>
          <w:sz w:val="20"/>
        </w:rPr>
        <w:t>Tax Certificates</w:t>
      </w:r>
      <w:r>
        <w:rPr>
          <w:rFonts w:ascii="Times New Roman" w:hAnsi="Times New Roman"/>
          <w:sz w:val="20"/>
        </w:rPr>
        <w:t xml:space="preserve">”). Each of Aspen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Aspen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Aspen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generality of </w:t>
      </w:r>
      <w:r>
        <w:rPr>
          <w:rFonts w:ascii="Times New Roman" w:hAnsi="Times New Roman"/>
          <w:sz w:val="20"/>
          <w:u w:val="single"/>
        </w:rPr>
        <w:t>Section 6.11(a)</w:t>
      </w:r>
      <w:r>
        <w:rPr>
          <w:rFonts w:ascii="Times New Roman" w:hAnsi="Times New Roman"/>
          <w:sz w:val="20"/>
        </w:rPr>
        <w:t>, if the Company or Aspen reasonably determines on advice of its counsel that there is a material risk that the Merger will not qualify for the Intended Tax Treatment, but would be reasonably expected to so qualify if a second-step merger of the Surviving Corporation into a limited liability company directly and wholly owned by Aspen that is disregarded as an entity for U.S. federal income tax purposes were consummated (such second-step merger, the “</w:t>
      </w:r>
      <w:r>
        <w:rPr>
          <w:rFonts w:ascii="Times New Roman" w:hAnsi="Times New Roman"/>
          <w:b/>
          <w:sz w:val="20"/>
        </w:rPr>
        <w:t>Second Merger</w:t>
      </w:r>
      <w:r>
        <w:rPr>
          <w:rFonts w:ascii="Times New Roman" w:hAnsi="Times New Roman"/>
          <w:sz w:val="20"/>
        </w:rPr>
        <w:t xml:space="preserve">”), then the Company and Aspen shall cause the Second Merger to be so consummated; provided, that if such Second Merger occurs, (i) the Merger and the Second Merger shall be treated as one integrated transaction for U.S. federal income tax purposes, (ii) the Second Merger shall be consummated in accordance with Delaware Law and as promptly as practicable following the Merger, and (iii) references to Aspen or the Surviving Corporation (in each case, after the effective time of the Second Merger) and all other provisions of this Agreement shall be interpreted </w:t>
      </w:r>
      <w:r>
        <w:rPr>
          <w:rFonts w:ascii="Times New Roman" w:hAnsi="Times New Roman"/>
          <w:i/>
          <w:sz w:val="20"/>
        </w:rPr>
        <w:t>mutatis mutandis</w:t>
      </w:r>
      <w:r>
        <w:rPr>
          <w:rFonts w:ascii="Times New Roman" w:hAnsi="Times New Roman"/>
          <w:sz w:val="20"/>
        </w:rPr>
        <w:t xml:space="preserve"> to take into account the change in structure of the business combination. For the avoidance of doubt, any such amendment described in this </w:t>
      </w:r>
      <w:r>
        <w:rPr>
          <w:rFonts w:ascii="Times New Roman" w:hAnsi="Times New Roman"/>
          <w:sz w:val="20"/>
          <w:u w:val="single"/>
        </w:rPr>
        <w:t>Section 6.11(e)</w:t>
      </w:r>
      <w:r>
        <w:rPr>
          <w:rFonts w:ascii="Times New Roman" w:hAnsi="Times New Roman"/>
          <w:sz w:val="20"/>
        </w:rPr>
        <w:t xml:space="preserve"> shall not alter or change the amount, nature or mix of the Merger Consideration. </w:t>
      </w:r>
    </w:p>
    <w:p>
      <w:pPr>
        <w:pStyle w:val="TextBody"/>
        <w:bidi w:val="0"/>
        <w:spacing w:before="240" w:after="0"/>
        <w:jc w:val="left"/>
        <w:rPr>
          <w:rFonts w:ascii="Times New Roman" w:hAnsi="Times New Roman"/>
          <w:sz w:val="20"/>
        </w:rPr>
      </w:pPr>
      <w:bookmarkStart w:id="287" w:name="annxa770053_89"/>
      <w:bookmarkEnd w:id="287"/>
      <w:r>
        <w:rPr>
          <w:rFonts w:ascii="Times New Roman" w:hAnsi="Times New Roman"/>
          <w:sz w:val="20"/>
        </w:rPr>
        <w:t xml:space="preserve">6.12 </w:t>
      </w:r>
      <w:r>
        <w:rPr>
          <w:rFonts w:ascii="Times New Roman" w:hAnsi="Times New Roman"/>
          <w:sz w:val="20"/>
          <w:u w:val="single"/>
        </w:rPr>
        <w:t>Legends</w:t>
      </w:r>
      <w:r>
        <w:rPr>
          <w:rFonts w:ascii="Times New Roman" w:hAnsi="Times New Roman"/>
          <w:sz w:val="20"/>
        </w:rPr>
        <w:t xml:space="preserve">. Aspen shall be entitled to place appropriate legends on the book entries and/or certificates evidencing any shares of Aspen Common Stock to be received in the Merger by equityholders of the Company who may be considered “affiliates” of Aspen for purposes of Rules 144 and 145 under the Securities Act reflecting the restrictions set forth in Rules 144 and 145 and to issue appropriate stop transfer instructions to the transfer agent for Aspen Common Stock. </w:t>
      </w:r>
    </w:p>
    <w:p>
      <w:pPr>
        <w:pStyle w:val="TextBody"/>
        <w:bidi w:val="0"/>
        <w:spacing w:before="240" w:after="0"/>
        <w:jc w:val="left"/>
        <w:rPr>
          <w:rFonts w:ascii="Times New Roman" w:hAnsi="Times New Roman"/>
          <w:sz w:val="20"/>
        </w:rPr>
      </w:pPr>
      <w:bookmarkStart w:id="288" w:name="annxa770053_90"/>
      <w:bookmarkEnd w:id="288"/>
      <w:r>
        <w:rPr>
          <w:rFonts w:ascii="Times New Roman" w:hAnsi="Times New Roman"/>
          <w:sz w:val="20"/>
        </w:rPr>
        <w:t xml:space="preserve">6.13 </w:t>
      </w:r>
      <w:r>
        <w:rPr>
          <w:rFonts w:ascii="Times New Roman" w:hAnsi="Times New Roman"/>
          <w:sz w:val="20"/>
          <w:u w:val="single"/>
        </w:rPr>
        <w:t>Officers and Directors</w:t>
      </w:r>
      <w:r>
        <w:rPr>
          <w:rFonts w:ascii="Times New Roman" w:hAnsi="Times New Roman"/>
          <w:sz w:val="20"/>
        </w:rPr>
        <w:t xml:space="preserve">. Until successors are duly elected or appointed and qualified in accordance with applicable Law, the Parties shall use commercially reasonable efforts and take all necessary action so that the Persons listed on </w:t>
      </w:r>
      <w:r>
        <w:rPr>
          <w:rFonts w:ascii="Times New Roman" w:hAnsi="Times New Roman"/>
          <w:sz w:val="20"/>
          <w:u w:val="single"/>
        </w:rPr>
        <w:t>Section 6.13</w:t>
      </w:r>
      <w:r>
        <w:rPr>
          <w:rFonts w:ascii="Times New Roman" w:hAnsi="Times New Roman"/>
          <w:sz w:val="20"/>
        </w:rPr>
        <w:t xml:space="preserve"> of the Aspen Disclosure Schedule are elected or appointed, as applicable, to the positions of officers or directors of Aspen and the Surviving Corporation, as set forth therein, to serve in such positions effective as of the Effective Time. If any Person listed on </w:t>
      </w:r>
      <w:r>
        <w:rPr>
          <w:rFonts w:ascii="Times New Roman" w:hAnsi="Times New Roman"/>
          <w:sz w:val="20"/>
          <w:u w:val="single"/>
        </w:rPr>
        <w:t>Section 6.13</w:t>
      </w:r>
      <w:r>
        <w:rPr>
          <w:rFonts w:ascii="Times New Roman" w:hAnsi="Times New Roman"/>
          <w:sz w:val="20"/>
        </w:rPr>
        <w:t xml:space="preserve"> of the Aspen Disclosure Schedule is unable or unwilling to serve as officer or director of Aspen or the Surviving Corporation, as set forth therein, the Party appointing such Person (as set forth on </w:t>
      </w:r>
      <w:r>
        <w:rPr>
          <w:rFonts w:ascii="Times New Roman" w:hAnsi="Times New Roman"/>
          <w:sz w:val="20"/>
          <w:u w:val="single"/>
        </w:rPr>
        <w:t>Section 6.13</w:t>
      </w:r>
      <w:r>
        <w:rPr>
          <w:rFonts w:ascii="Times New Roman" w:hAnsi="Times New Roman"/>
          <w:sz w:val="20"/>
        </w:rPr>
        <w:t xml:space="preserve"> of the Aspen Disclosure Schedule) shall designate a successor. The Parties shall use reasonable best efforts to have each of the Persons that will serve as directors and officers of the Aspen following the Closing to execute and deliver a Lock-Up Agreement prior to Closing. </w:t>
      </w:r>
    </w:p>
    <w:p>
      <w:pPr>
        <w:pStyle w:val="TextBody"/>
        <w:bidi w:val="0"/>
        <w:spacing w:before="240" w:after="0"/>
        <w:jc w:val="left"/>
        <w:rPr>
          <w:rFonts w:ascii="Times New Roman" w:hAnsi="Times New Roman"/>
          <w:sz w:val="20"/>
        </w:rPr>
      </w:pPr>
      <w:bookmarkStart w:id="289" w:name="annxa770053_91"/>
      <w:bookmarkEnd w:id="289"/>
      <w:r>
        <w:rPr>
          <w:rFonts w:ascii="Times New Roman" w:hAnsi="Times New Roman"/>
          <w:sz w:val="20"/>
        </w:rPr>
        <w:t xml:space="preserve">6.14 </w:t>
      </w:r>
      <w:r>
        <w:rPr>
          <w:rFonts w:ascii="Times New Roman" w:hAnsi="Times New Roman"/>
          <w:sz w:val="20"/>
          <w:u w:val="single"/>
        </w:rPr>
        <w:t>Termination of Certain Agreements and Rights</w:t>
      </w:r>
      <w:r>
        <w:rPr>
          <w:rFonts w:ascii="Times New Roman" w:hAnsi="Times New Roman"/>
          <w:sz w:val="20"/>
        </w:rPr>
        <w:t xml:space="preserve">. Except as set forth on </w:t>
      </w:r>
      <w:r>
        <w:rPr>
          <w:rFonts w:ascii="Times New Roman" w:hAnsi="Times New Roman"/>
          <w:sz w:val="20"/>
          <w:u w:val="single"/>
        </w:rPr>
        <w:t>Section 6.14</w:t>
      </w:r>
      <w:r>
        <w:rPr>
          <w:rFonts w:ascii="Times New Roman" w:hAnsi="Times New Roman"/>
          <w:sz w:val="20"/>
        </w:rPr>
        <w:t xml:space="preserve"> of the Aspen Disclosure Schedule, each of Aspen and the Company shall use commercially reasonable efforts to cause any stockholder agreements, voting agreements, registration rights agreements, co-sale agreements and any other similar Contracts between either Aspen or the Company and any holders of Aspen Common Stock or Company Capital Stock, respectively, including any such Contract granting any Person investor rights, rights of first refusal, registration rights or director registration rights, to be terminated immediately prior to the Effective Time, without any liability being imposed on the part of Aspen or the Surviving Corporation. </w:t>
      </w:r>
    </w:p>
    <w:p>
      <w:pPr>
        <w:pStyle w:val="TextBody"/>
        <w:bidi w:val="0"/>
        <w:spacing w:before="240" w:after="0"/>
        <w:jc w:val="left"/>
        <w:rPr>
          <w:rFonts w:ascii="Times New Roman" w:hAnsi="Times New Roman"/>
          <w:sz w:val="20"/>
        </w:rPr>
      </w:pPr>
      <w:bookmarkStart w:id="290" w:name="annxa770053_92"/>
      <w:bookmarkEnd w:id="290"/>
      <w:r>
        <w:rPr>
          <w:rFonts w:ascii="Times New Roman" w:hAnsi="Times New Roman"/>
          <w:sz w:val="20"/>
        </w:rPr>
        <w:t xml:space="preserve">6.15 </w:t>
      </w:r>
      <w:r>
        <w:rPr>
          <w:rFonts w:ascii="Times New Roman" w:hAnsi="Times New Roman"/>
          <w:sz w:val="20"/>
          <w:u w:val="single"/>
        </w:rPr>
        <w:t>Section 16 Matters</w:t>
      </w:r>
      <w:r>
        <w:rPr>
          <w:rFonts w:ascii="Times New Roman" w:hAnsi="Times New Roman"/>
          <w:sz w:val="20"/>
        </w:rPr>
        <w:t xml:space="preserve">. Prior to the Effective Time, Aspen shall take all such steps as may be required to cause any acquisitions of Aspen Common Stock and any options to purchase Aspen Common Stock in connection with the Contemplated Transactions, by each individual who is reasonably expected to become subject to the reporting requirements of Section 16(a) of the Exchange Act with respect to Aspen, to be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bidi w:val="0"/>
        <w:jc w:val="left"/>
        <w:rPr/>
      </w:pPr>
      <w:r>
        <w:rPr/>
      </w:r>
    </w:p>
    <w:p>
      <w:pPr>
        <w:pStyle w:val="TextBody"/>
        <w:bidi w:val="0"/>
        <w:spacing w:before="0" w:after="0"/>
        <w:jc w:val="left"/>
        <w:rPr>
          <w:rFonts w:ascii="Times New Roman" w:hAnsi="Times New Roman"/>
          <w:sz w:val="20"/>
        </w:rPr>
      </w:pPr>
      <w:bookmarkStart w:id="291" w:name="annxa770053_93"/>
      <w:bookmarkEnd w:id="291"/>
      <w:r>
        <w:rPr>
          <w:rFonts w:ascii="Times New Roman" w:hAnsi="Times New Roman"/>
          <w:sz w:val="20"/>
        </w:rPr>
        <w:t xml:space="preserve">6.16 </w:t>
      </w:r>
      <w:r>
        <w:rPr>
          <w:rFonts w:ascii="Times New Roman" w:hAnsi="Times New Roman"/>
          <w:sz w:val="20"/>
          <w:u w:val="single"/>
        </w:rPr>
        <w:t>Allocation Certificate</w:t>
      </w:r>
      <w:r>
        <w:rPr>
          <w:rFonts w:ascii="Times New Roman" w:hAnsi="Times New Roman"/>
          <w:sz w:val="20"/>
        </w:rPr>
        <w:t>. The Company will prepare and deliver to Aspen at least five (5) Business Days prior to the Closing Date a certificate signed by the Company’s Chief Executive Officer in a form reasonably acceptable to Aspen setting forth (as of immediately prior to the Effective Time and after giving effect to the Company SAFEs Conversion and the Company Preferred Stock Conversion) (a) each holder of Company Capital Stock and Company Options, (b) such holder’s name and address, (c) the number and type of Company Capital Stock held as of immediately prior to the Effective Time for each such holder or, with respect to each Company Option, the grant date of such Company Option and the number of shares of Company Capital Stock subject to such Company Option, (d) the number of shares of Aspen Common Stock to be issued to such holder pursuant to this Agreement in respect of the Company Capital Stock held by such holder as of immediately prior to the Effective Time (after giving effect to the Company SAFEs Conversion and the Company Preferred Stock Conversion) or, with respect to each Company Option, the number of shares of Aspen Common Stock to be subject to the applicable Assumed Option immediately following the conversion of such Company Option into an Assumed Option in accordance with this Agreement, and (e) the name and address of each Concurrent Investor, the total investment to be made by such Concurrent Investor in the Concurrent Investment, the percentage of the Concurrent Investment Proceeds represented by such Concurrent Investor’s investment in the Concurrent Investment, and the number of shares of Aspen Common Stock to be issued to such Concurrent Investor pursuant to this Agreement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92" w:name="annxa770053_94"/>
      <w:bookmarkEnd w:id="292"/>
      <w:r>
        <w:rPr>
          <w:rFonts w:ascii="Times New Roman" w:hAnsi="Times New Roman"/>
          <w:sz w:val="20"/>
        </w:rPr>
        <w:t xml:space="preserve">6.17 </w:t>
      </w:r>
      <w:r>
        <w:rPr>
          <w:rFonts w:ascii="Times New Roman" w:hAnsi="Times New Roman"/>
          <w:sz w:val="20"/>
          <w:u w:val="single"/>
        </w:rPr>
        <w:t>Obligations of Merger Sub</w:t>
      </w:r>
      <w:r>
        <w:rPr>
          <w:rFonts w:ascii="Times New Roman" w:hAnsi="Times New Roman"/>
          <w:sz w:val="20"/>
        </w:rPr>
        <w:t xml:space="preserve">. Aspen will take all action necessary to cause Merger Sub to perform their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293" w:name="annxa770053_95"/>
      <w:bookmarkEnd w:id="293"/>
      <w:r>
        <w:rPr>
          <w:rFonts w:ascii="Times New Roman" w:hAnsi="Times New Roman"/>
          <w:sz w:val="20"/>
        </w:rPr>
        <w:t xml:space="preserve">6.18 </w:t>
      </w:r>
      <w:r>
        <w:rPr>
          <w:rFonts w:ascii="Times New Roman" w:hAnsi="Times New Roman"/>
          <w:sz w:val="20"/>
          <w:u w:val="single"/>
        </w:rPr>
        <w:t>Covenants Regarding Concurrent Investment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take, or cause to be taken, all actions and do, or cause to be done, all things necessary, proper or advisable to enforce its rights under each Concurrent Investment Agreement in the event that all conditions in such Concurrent Investment Agreement (other than conditions whose satisfaction is controlled by the Parties or any of their Affiliates and other than conditions that by their nature are to be satisfied at the Closing) have been satisfied, and to cause the applicable Concurrent Investors to pay (to the extent not already paid) the applicable portion of the Concurrent Investment Amount set forth in the applicable Concurrent Investment Agreement in accordance with its terms. Without limiting the generality of the foregoing, the Company shall give Aspen prompt (and, in any event, within one (1) Business Day) written notice: (A) of any request from an Concurrent Investor for any amendment to its Concurrent Investment Agreement (other than as a result of any assignments or transfers contemplated therein or otherwise permitted thereby); (B) of any breach or default (or any event or circumstance that, with or without notice, lapse of time or both, would reasonably be expected to give rise to any breach or default) by any Concurrent Investor under the applicable Concurrent Investment Agreement, to the extent known by the Company; and (C) of the receipt of any written notice or other written communication from any party to a Concurrent Investment Agreement with respect to any actual, potential, threatened or claimed expiration, lapse, withdrawal, breach, default, termination or repudiation by any Concurrent Investor under a Concurrent Investment Agreement or any related agreement. The Company shall deliver all notices they are required to deliver under the Concurrent Investment Agreements on a timely basis in order to cause the Subscription Agreement Concurrent Investors to consummate the Subscription Agreement Concurrent Investment immediately prior to the Effective Time and to cause the occurrence of the Company SAFEs Conversion immediately following the Company Preferred Stock Conversion and immediately prior to the Subscription Agreement Concurrent Investment and at the Specified Time.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initial execution of the Concurrent Investment Agreements, the Company shall not amend, modify or waive any provisions of a Concurrent Investment Agreement without the prior written consent of Aspen if such termination, amendment, modification, waiver or replacement (i) reduces the aggregate Concurrent Investment Amount or (ii) imposes new or additional conditions or otherwise expands, amends or modifies any of the conditions to the receipt of the Concurrent Investment, or otherwise expands, amends or modifies any other provision of the applicable Concurrent Investment Agreement, in a manner that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(x) delay or prevent the funding of the Concurrent Investment or the funding in full of the Concurrent Investment Amount (or satisfaction of the conditions to the Concurrent Investment) at or substantially simultaneously with the Closing or (y) adversely impact the ability of the Company to enforce its rights against other parties to the applicable Concurrent Investment Agreement. The Company shall promptly deliver to Aspen copies of any such termination, amendment, modification, waiver or replacement.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use commercially reasonable efforts to take such actions and cause the holders of Company Capital Stock to provide all documentation, including investor questionnaires in a manner that satisfies the requirements of Rule 506 of Regulation D under the Securities Act or Section 4(a)(2) under the Securities Act or Rule 902 of Regulation S, including certifications to Aspen: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Aspen Common Stock; and (iii) that unless the shares are registered for resale the Aspen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Section 5.2(b)(iii)(A) and (C), beginning on or after June 1, 2024, the Company shall be able to draw down on any Concurrent Investment, in no event exceeding $25,000,000 in the aggregate, for purposes of funding general operating expenses of the Company in the Ordinary Course of Business (for the avoidance of doubt in accordance with the Company’s obligations pursuant to Section 5.2(b)). Any such shares of Company Common Stock issued upon conversion of such drawdown(s) shall be issued by the Company in accordance with Section 2.5(g) applied on a </w:t>
      </w:r>
      <w:r>
        <w:rPr>
          <w:rFonts w:ascii="Times New Roman" w:hAnsi="Times New Roman"/>
          <w:i/>
          <w:sz w:val="20"/>
        </w:rPr>
        <w:t>mutatis mutandis</w:t>
      </w:r>
      <w:r>
        <w:rPr>
          <w:rFonts w:ascii="Times New Roman" w:hAnsi="Times New Roman"/>
          <w:sz w:val="20"/>
        </w:rPr>
        <w:t xml:space="preserve"> basis. </w:t>
      </w:r>
    </w:p>
    <w:p>
      <w:pPr>
        <w:pStyle w:val="TextBody"/>
        <w:bidi w:val="0"/>
        <w:spacing w:before="240" w:after="0"/>
        <w:jc w:val="left"/>
        <w:rPr>
          <w:rFonts w:ascii="Times New Roman" w:hAnsi="Times New Roman"/>
          <w:sz w:val="20"/>
        </w:rPr>
      </w:pPr>
      <w:bookmarkStart w:id="294" w:name="annxa770053_96"/>
      <w:bookmarkEnd w:id="294"/>
      <w:r>
        <w:rPr>
          <w:rFonts w:ascii="Times New Roman" w:hAnsi="Times New Roman"/>
          <w:sz w:val="20"/>
        </w:rPr>
        <w:t xml:space="preserve">Section 7. </w:t>
      </w:r>
      <w:r>
        <w:rPr>
          <w:rFonts w:ascii="Times New Roman" w:hAnsi="Times New Roman"/>
          <w:sz w:val="20"/>
          <w:u w:val="single"/>
        </w:rPr>
        <w:t>Conditions Precedent to Obligations of Each Party</w:t>
      </w:r>
      <w:r>
        <w:rPr>
          <w:rFonts w:ascii="Times New Roman" w:hAnsi="Times New Roman"/>
          <w:sz w:val="20"/>
        </w:rPr>
        <w:t xml:space="preserve">.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240" w:after="0"/>
        <w:jc w:val="left"/>
        <w:rPr>
          <w:rFonts w:ascii="Times New Roman" w:hAnsi="Times New Roman"/>
          <w:sz w:val="20"/>
        </w:rPr>
      </w:pPr>
      <w:bookmarkStart w:id="295" w:name="annxa770053_97"/>
      <w:bookmarkEnd w:id="295"/>
      <w:r>
        <w:rPr>
          <w:rFonts w:ascii="Times New Roman" w:hAnsi="Times New Roman"/>
          <w:sz w:val="20"/>
        </w:rPr>
        <w:t xml:space="preserve">7.1 </w:t>
      </w:r>
      <w:r>
        <w:rPr>
          <w:rFonts w:ascii="Times New Roman" w:hAnsi="Times New Roman"/>
          <w:sz w:val="20"/>
          <w:u w:val="single"/>
        </w:rPr>
        <w:t>Effectiveness of Registration Statement</w:t>
      </w:r>
      <w:r>
        <w:rPr>
          <w:rFonts w:ascii="Times New Roman" w:hAnsi="Times New Roman"/>
          <w:sz w:val="20"/>
        </w:rPr>
        <w:t xml:space="preserve">.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w:t>
      </w:r>
    </w:p>
    <w:p>
      <w:pPr>
        <w:pStyle w:val="TextBody"/>
        <w:bidi w:val="0"/>
        <w:spacing w:before="240" w:after="0"/>
        <w:jc w:val="left"/>
        <w:rPr>
          <w:rFonts w:ascii="Times New Roman" w:hAnsi="Times New Roman"/>
          <w:sz w:val="20"/>
        </w:rPr>
      </w:pPr>
      <w:bookmarkStart w:id="296" w:name="annxa770053_98"/>
      <w:bookmarkEnd w:id="296"/>
      <w:r>
        <w:rPr>
          <w:rFonts w:ascii="Times New Roman" w:hAnsi="Times New Roman"/>
          <w:sz w:val="20"/>
        </w:rPr>
        <w:t xml:space="preserve">7.2 </w:t>
      </w:r>
      <w:r>
        <w:rPr>
          <w:rFonts w:ascii="Times New Roman" w:hAnsi="Times New Roman"/>
          <w:sz w:val="20"/>
          <w:u w:val="single"/>
        </w:rPr>
        <w:t>No Restraints</w:t>
      </w:r>
      <w:r>
        <w:rPr>
          <w:rFonts w:ascii="Times New Roman" w:hAnsi="Times New Roman"/>
          <w:sz w:val="20"/>
        </w:rPr>
        <w:t xml:space="preserve">.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bookmarkStart w:id="297" w:name="annxa770053_99"/>
      <w:bookmarkEnd w:id="297"/>
      <w:r>
        <w:rPr>
          <w:rFonts w:ascii="Times New Roman" w:hAnsi="Times New Roman"/>
          <w:sz w:val="20"/>
        </w:rPr>
        <w:t xml:space="preserve">7.3 </w:t>
      </w:r>
      <w:r>
        <w:rPr>
          <w:rFonts w:ascii="Times New Roman" w:hAnsi="Times New Roman"/>
          <w:sz w:val="20"/>
          <w:u w:val="single"/>
        </w:rPr>
        <w:t>Stockholder Approval</w:t>
      </w:r>
      <w:r>
        <w:rPr>
          <w:rFonts w:ascii="Times New Roman" w:hAnsi="Times New Roman"/>
          <w:sz w:val="20"/>
        </w:rPr>
        <w:t xml:space="preserve">. (a) Aspen shall have obtained the Required Aspen Stockholder Vote with respect to the Specified Aspen Stockholder Matters and (b) the Company shall have obtained the Required Company Stockholder Vote. </w:t>
      </w:r>
    </w:p>
    <w:p>
      <w:pPr>
        <w:pStyle w:val="TextBody"/>
        <w:bidi w:val="0"/>
        <w:spacing w:before="240" w:after="0"/>
        <w:jc w:val="left"/>
        <w:rPr>
          <w:rFonts w:ascii="Times New Roman" w:hAnsi="Times New Roman"/>
          <w:sz w:val="20"/>
        </w:rPr>
      </w:pPr>
      <w:bookmarkStart w:id="298" w:name="annxa770053_100"/>
      <w:bookmarkEnd w:id="298"/>
      <w:r>
        <w:rPr>
          <w:rFonts w:ascii="Times New Roman" w:hAnsi="Times New Roman"/>
          <w:sz w:val="20"/>
        </w:rPr>
        <w:t xml:space="preserve">7.4 </w:t>
      </w:r>
      <w:r>
        <w:rPr>
          <w:rFonts w:ascii="Times New Roman" w:hAnsi="Times New Roman"/>
          <w:sz w:val="20"/>
          <w:u w:val="single"/>
        </w:rPr>
        <w:t>Listing</w:t>
      </w:r>
      <w:r>
        <w:rPr>
          <w:rFonts w:ascii="Times New Roman" w:hAnsi="Times New Roman"/>
          <w:sz w:val="20"/>
        </w:rPr>
        <w:t xml:space="preserve">. The approval of the listing of the additional shares of Aspen Common Stock on Nasdaq shall have been obtained and the shares of Aspen Common Stock to be issued in the Contemplated Transactions pursuant to this Agreement shall have been approved for listing (subject to official notice of issuance) on Nasdaq. </w:t>
      </w:r>
    </w:p>
    <w:p>
      <w:pPr>
        <w:pStyle w:val="TextBody"/>
        <w:bidi w:val="0"/>
        <w:spacing w:before="240" w:after="0"/>
        <w:jc w:val="left"/>
        <w:rPr>
          <w:rFonts w:ascii="Times New Roman" w:hAnsi="Times New Roman"/>
          <w:sz w:val="20"/>
        </w:rPr>
      </w:pPr>
      <w:bookmarkStart w:id="299" w:name="annxa770053_101"/>
      <w:bookmarkEnd w:id="299"/>
      <w:r>
        <w:rPr>
          <w:rFonts w:ascii="Times New Roman" w:hAnsi="Times New Roman"/>
          <w:sz w:val="20"/>
        </w:rPr>
        <w:t xml:space="preserve">7.5 </w:t>
      </w:r>
      <w:r>
        <w:rPr>
          <w:rFonts w:ascii="Times New Roman" w:hAnsi="Times New Roman"/>
          <w:sz w:val="20"/>
          <w:u w:val="single"/>
        </w:rPr>
        <w:t>Lock-Up Agreements</w:t>
      </w:r>
      <w:r>
        <w:rPr>
          <w:rFonts w:ascii="Times New Roman" w:hAnsi="Times New Roman"/>
          <w:sz w:val="20"/>
        </w:rPr>
        <w:t xml:space="preserve">. The Lock-Up Agreements shall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Concurrent Investment</w:t>
      </w:r>
      <w:r>
        <w:rPr>
          <w:rFonts w:ascii="Times New Roman" w:hAnsi="Times New Roman"/>
          <w:sz w:val="20"/>
        </w:rPr>
        <w:t xml:space="preserve">. Cash proceeds of not less than the Concurrent Investment Amount shall have been received by the Company, or will be received by the Company substantially simultaneously with the Closing, in connection with the consummation of the transactions contemplated by the Concurrent Investment Agreements; </w:t>
      </w:r>
      <w:r>
        <w:rPr>
          <w:rFonts w:ascii="Times New Roman" w:hAnsi="Times New Roman"/>
          <w:sz w:val="20"/>
          <w:u w:val="single"/>
        </w:rPr>
        <w:t>provided</w:t>
      </w:r>
      <w:r>
        <w:rPr>
          <w:rFonts w:ascii="Times New Roman" w:hAnsi="Times New Roman"/>
          <w:sz w:val="20"/>
        </w:rPr>
        <w:t xml:space="preserve"> that the condition in this </w:t>
      </w:r>
      <w:r>
        <w:rPr>
          <w:rFonts w:ascii="Times New Roman" w:hAnsi="Times New Roman"/>
          <w:sz w:val="20"/>
          <w:u w:val="single"/>
        </w:rPr>
        <w:t>Section 7.6</w:t>
      </w:r>
      <w:r>
        <w:rPr>
          <w:rFonts w:ascii="Times New Roman" w:hAnsi="Times New Roman"/>
          <w:sz w:val="20"/>
        </w:rPr>
        <w:t xml:space="preserve"> shall not be available to the Company if such cash proceeds in an amount not less than the Concurrent Investment Amount would have been received by the Company before or substantially simultaneously with the Closing, but for the breach or failure to perform by one or more Concurrent Investors that is a holder of Company Capital Stock or Company SAFEs as of the date hereof or an Affiliate thereof of the agreements or covenants required to be performed or complied with by such Concurrent Investor under the applicable Concurrent Investment Agreement. </w:t>
      </w:r>
    </w:p>
    <w:p>
      <w:pPr>
        <w:pStyle w:val="TextBody"/>
        <w:bidi w:val="0"/>
        <w:spacing w:before="240" w:after="0"/>
        <w:jc w:val="left"/>
        <w:rPr>
          <w:rFonts w:ascii="Times New Roman" w:hAnsi="Times New Roman"/>
          <w:sz w:val="20"/>
        </w:rPr>
      </w:pPr>
      <w:bookmarkStart w:id="300" w:name="annxa770053_102"/>
      <w:bookmarkEnd w:id="300"/>
      <w:r>
        <w:rPr>
          <w:rFonts w:ascii="Times New Roman" w:hAnsi="Times New Roman"/>
          <w:sz w:val="20"/>
        </w:rPr>
        <w:t xml:space="preserve">Section 8. </w:t>
      </w:r>
      <w:r>
        <w:rPr>
          <w:rFonts w:ascii="Times New Roman" w:hAnsi="Times New Roman"/>
          <w:sz w:val="20"/>
          <w:u w:val="single"/>
        </w:rPr>
        <w:t>Additional Conditions Precedent to Obligations of Aspen and Merger Sub</w:t>
      </w:r>
      <w:r>
        <w:rPr>
          <w:rFonts w:ascii="Times New Roman" w:hAnsi="Times New Roman"/>
          <w:sz w:val="20"/>
        </w:rPr>
        <w:t xml:space="preserve">. The obligations of Aspen and Merger Sub to effect the Merger and otherwise consummate the transactions to be consummated at the Closing are subject to the satisfaction or the written waiver by Aspen, at or prior to the Closing, of each of the following conditions: </w:t>
      </w:r>
    </w:p>
    <w:p>
      <w:pPr>
        <w:pStyle w:val="TextBody"/>
        <w:bidi w:val="0"/>
        <w:spacing w:before="240" w:after="0"/>
        <w:jc w:val="left"/>
        <w:rPr>
          <w:rFonts w:ascii="Times New Roman" w:hAnsi="Times New Roman"/>
          <w:sz w:val="20"/>
        </w:rPr>
      </w:pPr>
      <w:bookmarkStart w:id="301" w:name="annxa770053_103"/>
      <w:bookmarkEnd w:id="301"/>
      <w:r>
        <w:rPr>
          <w:rFonts w:ascii="Times New Roman" w:hAnsi="Times New Roman"/>
          <w:sz w:val="20"/>
        </w:rPr>
        <w:t xml:space="preserve">8.1 </w:t>
      </w:r>
      <w:r>
        <w:rPr>
          <w:rFonts w:ascii="Times New Roman" w:hAnsi="Times New Roman"/>
          <w:sz w:val="20"/>
          <w:u w:val="single"/>
        </w:rPr>
        <w:t>Accuracy of Representations</w:t>
      </w:r>
      <w:r>
        <w:rPr>
          <w:rFonts w:ascii="Times New Roman" w:hAnsi="Times New Roman"/>
          <w:sz w:val="20"/>
        </w:rPr>
        <w:t xml:space="preserve">. The Company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hAnsi="Times New Roman"/>
          <w:i/>
          <w:sz w:val="20"/>
        </w:rPr>
        <w:t>de minimis</w:t>
      </w:r>
      <w:r>
        <w:rPr>
          <w:rFonts w:ascii="Times New Roman" w:hAnsi="Times New Roman"/>
          <w:sz w:val="20"/>
        </w:rPr>
        <w:t xml:space="preserve">,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bookmarkStart w:id="302" w:name="annxa770053_104"/>
      <w:bookmarkEnd w:id="302"/>
      <w:r>
        <w:rPr>
          <w:rFonts w:ascii="Times New Roman" w:hAnsi="Times New Roman"/>
          <w:sz w:val="20"/>
        </w:rPr>
        <w:t xml:space="preserve">8.2 </w:t>
      </w:r>
      <w:r>
        <w:rPr>
          <w:rFonts w:ascii="Times New Roman" w:hAnsi="Times New Roman"/>
          <w:sz w:val="20"/>
          <w:u w:val="single"/>
        </w:rPr>
        <w:t>Performance of Covenants</w:t>
      </w:r>
      <w:r>
        <w:rPr>
          <w:rFonts w:ascii="Times New Roman" w:hAnsi="Times New Roman"/>
          <w:sz w:val="20"/>
        </w:rPr>
        <w:t xml:space="preserve">. The Company shall not have breached or failed to perform in any material respect any agreements or covenants required to be performed or complied with by it under this Agreement at or prior to the Effective Time. </w:t>
      </w:r>
    </w:p>
    <w:p>
      <w:pPr>
        <w:pStyle w:val="TextBody"/>
        <w:bidi w:val="0"/>
        <w:spacing w:before="240" w:after="0"/>
        <w:jc w:val="left"/>
        <w:rPr>
          <w:rFonts w:ascii="Times New Roman" w:hAnsi="Times New Roman"/>
          <w:sz w:val="20"/>
        </w:rPr>
      </w:pPr>
      <w:bookmarkStart w:id="303" w:name="annxa770053_105"/>
      <w:bookmarkEnd w:id="303"/>
      <w:r>
        <w:rPr>
          <w:rFonts w:ascii="Times New Roman" w:hAnsi="Times New Roman"/>
          <w:sz w:val="20"/>
        </w:rPr>
        <w:t xml:space="preserve">8.3 </w:t>
      </w:r>
      <w:r>
        <w:rPr>
          <w:rFonts w:ascii="Times New Roman" w:hAnsi="Times New Roman"/>
          <w:sz w:val="20"/>
          <w:u w:val="single"/>
        </w:rPr>
        <w:t>Documents</w:t>
      </w:r>
      <w:r>
        <w:rPr>
          <w:rFonts w:ascii="Times New Roman" w:hAnsi="Times New Roman"/>
          <w:sz w:val="20"/>
        </w:rPr>
        <w:t xml:space="preserve">. Aspen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the Chief Executive Officer or Chief Financial Officer of the Company certifying (i) that the conditions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have been duly satisfied and (ii) that the information (other than emails and addresses) set forth in the Allocation Certificate delivered by the company in accordance with </w:t>
      </w:r>
      <w:r>
        <w:rPr>
          <w:rFonts w:ascii="Times New Roman" w:hAnsi="Times New Roman"/>
          <w:sz w:val="20"/>
          <w:u w:val="single"/>
        </w:rPr>
        <w:t>Section 6.16</w:t>
      </w:r>
      <w:r>
        <w:rPr>
          <w:rFonts w:ascii="Times New Roman" w:hAnsi="Times New Roman"/>
          <w:sz w:val="20"/>
        </w:rPr>
        <w:t xml:space="preserve"> is true and accurate in all respects as of the Closing Date; and </w:t>
      </w:r>
    </w:p>
    <w:p>
      <w:pPr>
        <w:pStyle w:val="TextBody"/>
        <w:bidi w:val="0"/>
        <w:spacing w:before="240" w:after="0"/>
        <w:jc w:val="left"/>
        <w:rPr>
          <w:rFonts w:ascii="Times New Roman" w:hAnsi="Times New Roman"/>
          <w:sz w:val="20"/>
        </w:rPr>
      </w:pPr>
      <w:r>
        <w:rPr>
          <w:rFonts w:ascii="Times New Roman" w:hAnsi="Times New Roman"/>
          <w:sz w:val="20"/>
        </w:rPr>
        <w:t xml:space="preserve">(b) the Allocation Certificate. </w:t>
      </w:r>
    </w:p>
    <w:p>
      <w:pPr>
        <w:pStyle w:val="TextBody"/>
        <w:bidi w:val="0"/>
        <w:spacing w:before="240" w:after="0"/>
        <w:jc w:val="left"/>
        <w:rPr>
          <w:rFonts w:ascii="Times New Roman" w:hAnsi="Times New Roman"/>
          <w:sz w:val="20"/>
        </w:rPr>
      </w:pPr>
      <w:bookmarkStart w:id="304" w:name="annxa770053_106"/>
      <w:bookmarkEnd w:id="304"/>
      <w:r>
        <w:rPr>
          <w:rFonts w:ascii="Times New Roman" w:hAnsi="Times New Roman"/>
          <w:sz w:val="20"/>
        </w:rPr>
        <w:t xml:space="preserve">8.4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that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bidi w:val="0"/>
        <w:jc w:val="left"/>
        <w:rPr/>
      </w:pPr>
      <w:r>
        <w:rPr/>
      </w:r>
    </w:p>
    <w:p>
      <w:pPr>
        <w:pStyle w:val="TextBody"/>
        <w:bidi w:val="0"/>
        <w:spacing w:before="0" w:after="0"/>
        <w:jc w:val="left"/>
        <w:rPr>
          <w:rFonts w:ascii="Times New Roman" w:hAnsi="Times New Roman"/>
          <w:sz w:val="20"/>
        </w:rPr>
      </w:pPr>
      <w:bookmarkStart w:id="305" w:name="annxa770053_107"/>
      <w:bookmarkEnd w:id="305"/>
      <w:r>
        <w:rPr>
          <w:rFonts w:ascii="Times New Roman" w:hAnsi="Times New Roman"/>
          <w:sz w:val="20"/>
        </w:rPr>
        <w:t xml:space="preserve">8.5 </w:t>
      </w:r>
      <w:r>
        <w:rPr>
          <w:rFonts w:ascii="Times New Roman" w:hAnsi="Times New Roman"/>
          <w:sz w:val="20"/>
          <w:u w:val="single"/>
        </w:rPr>
        <w:t>Company Stockholder Written Consent</w:t>
      </w:r>
      <w:r>
        <w:rPr>
          <w:rFonts w:ascii="Times New Roman" w:hAnsi="Times New Roman"/>
          <w:sz w:val="20"/>
        </w:rPr>
        <w:t xml:space="preserve">. The Company Stockholder Written Consent executed by the stockholders of the Company shall be in full force and effect. </w:t>
      </w:r>
    </w:p>
    <w:p>
      <w:pPr>
        <w:pStyle w:val="TextBody"/>
        <w:bidi w:val="0"/>
        <w:spacing w:before="240" w:after="0"/>
        <w:jc w:val="left"/>
        <w:rPr>
          <w:rFonts w:ascii="Times New Roman" w:hAnsi="Times New Roman"/>
          <w:sz w:val="20"/>
        </w:rPr>
      </w:pPr>
      <w:bookmarkStart w:id="306" w:name="annxa770053_108"/>
      <w:bookmarkEnd w:id="306"/>
      <w:r>
        <w:rPr>
          <w:rFonts w:ascii="Times New Roman" w:hAnsi="Times New Roman"/>
          <w:sz w:val="20"/>
        </w:rPr>
        <w:t xml:space="preserve">8.6 </w:t>
      </w:r>
      <w:r>
        <w:rPr>
          <w:rFonts w:ascii="Times New Roman" w:hAnsi="Times New Roman"/>
          <w:sz w:val="20"/>
          <w:u w:val="single"/>
        </w:rPr>
        <w:t>FIRPTA Certificate</w:t>
      </w:r>
      <w:r>
        <w:rPr>
          <w:rFonts w:ascii="Times New Roman" w:hAnsi="Times New Roman"/>
          <w:sz w:val="20"/>
        </w:rPr>
        <w:t xml:space="preserve">. Aspen shall have received from the Company a certificate and accompanying notice to the IRS (together with written authorization for Aspen to deliver such notice to the Internal Revenue Service on behalf of the Company after the Closing), in each case duly executed by an executive officer of the Company and meeting the requirements of Treasury Regulations Section 1.1445-2(c)(3) and in accordance with the requirements of Treasury Regulations Section 1.897-2(h) and in substantially the form attached hereto as </w:t>
      </w:r>
      <w:r>
        <w:rPr>
          <w:rFonts w:ascii="Times New Roman" w:hAnsi="Times New Roman"/>
          <w:b/>
          <w:sz w:val="20"/>
          <w:u w:val="single"/>
        </w:rPr>
        <w:t>Exhibit 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07" w:name="annxa770053_109"/>
      <w:bookmarkEnd w:id="307"/>
      <w:r>
        <w:rPr>
          <w:rFonts w:ascii="Times New Roman" w:hAnsi="Times New Roman"/>
          <w:sz w:val="20"/>
        </w:rPr>
        <w:t xml:space="preserve">8.7 </w:t>
      </w:r>
      <w:r>
        <w:rPr>
          <w:rFonts w:ascii="Times New Roman" w:hAnsi="Times New Roman"/>
          <w:sz w:val="20"/>
          <w:u w:val="single"/>
        </w:rPr>
        <w:t>Company Conversions</w:t>
      </w:r>
      <w:r>
        <w:rPr>
          <w:rFonts w:ascii="Times New Roman" w:hAnsi="Times New Roman"/>
          <w:sz w:val="20"/>
        </w:rPr>
        <w:t xml:space="preserve">. The Company SAFEs Conversion and the Company Preferred Stock Conversion shall have been duly effected. </w:t>
      </w:r>
    </w:p>
    <w:p>
      <w:pPr>
        <w:pStyle w:val="TextBody"/>
        <w:bidi w:val="0"/>
        <w:spacing w:before="240" w:after="0"/>
        <w:jc w:val="left"/>
        <w:rPr>
          <w:rFonts w:ascii="Times New Roman" w:hAnsi="Times New Roman"/>
          <w:sz w:val="20"/>
        </w:rPr>
      </w:pPr>
      <w:bookmarkStart w:id="308" w:name="annxa770053_110"/>
      <w:bookmarkEnd w:id="308"/>
      <w:r>
        <w:rPr>
          <w:rFonts w:ascii="Times New Roman" w:hAnsi="Times New Roman"/>
          <w:sz w:val="20"/>
        </w:rPr>
        <w:t xml:space="preserve">Section 9. </w:t>
      </w:r>
      <w:r>
        <w:rPr>
          <w:rFonts w:ascii="Times New Roman" w:hAnsi="Times New Roman"/>
          <w:sz w:val="20"/>
          <w:u w:val="single"/>
        </w:rPr>
        <w:t>Additional 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240" w:after="0"/>
        <w:jc w:val="left"/>
        <w:rPr>
          <w:rFonts w:ascii="Times New Roman" w:hAnsi="Times New Roman"/>
          <w:sz w:val="20"/>
        </w:rPr>
      </w:pPr>
      <w:bookmarkStart w:id="309" w:name="annxa770053_111"/>
      <w:bookmarkEnd w:id="309"/>
      <w:r>
        <w:rPr>
          <w:rFonts w:ascii="Times New Roman" w:hAnsi="Times New Roman"/>
          <w:sz w:val="20"/>
        </w:rPr>
        <w:t xml:space="preserve">9.1 </w:t>
      </w:r>
      <w:r>
        <w:rPr>
          <w:rFonts w:ascii="Times New Roman" w:hAnsi="Times New Roman"/>
          <w:sz w:val="20"/>
          <w:u w:val="single"/>
        </w:rPr>
        <w:t>Accuracy of Representations</w:t>
      </w:r>
      <w:r>
        <w:rPr>
          <w:rFonts w:ascii="Times New Roman" w:hAnsi="Times New Roman"/>
          <w:sz w:val="20"/>
        </w:rPr>
        <w:t xml:space="preserve">. Each of the Aspen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Aspen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hAnsi="Times New Roman"/>
          <w:i/>
          <w:sz w:val="20"/>
        </w:rPr>
        <w:t>de minimis</w:t>
      </w:r>
      <w:r>
        <w:rPr>
          <w:rFonts w:ascii="Times New Roman" w:hAnsi="Times New Roman"/>
          <w:sz w:val="20"/>
        </w:rPr>
        <w:t xml:space="preserve">,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Aspen and Merger Sub contained in this Agreement (other than the Aspen Fundamental Representations and the Aspen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an Aspen Material Adverse Effect (without giving effect to any references therein to any Aspen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Aspen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bookmarkStart w:id="310" w:name="annxa770053_112"/>
      <w:bookmarkEnd w:id="310"/>
      <w:r>
        <w:rPr>
          <w:rFonts w:ascii="Times New Roman" w:hAnsi="Times New Roman"/>
          <w:sz w:val="20"/>
        </w:rPr>
        <w:t xml:space="preserve">9.2 </w:t>
      </w:r>
      <w:r>
        <w:rPr>
          <w:rFonts w:ascii="Times New Roman" w:hAnsi="Times New Roman"/>
          <w:sz w:val="20"/>
          <w:u w:val="single"/>
        </w:rPr>
        <w:t>Performance of Covenants</w:t>
      </w:r>
      <w:r>
        <w:rPr>
          <w:rFonts w:ascii="Times New Roman" w:hAnsi="Times New Roman"/>
          <w:sz w:val="20"/>
        </w:rPr>
        <w:t xml:space="preserve">. Aspen and Merger Sub shall not have breached or failed to perform in any material respect any agreements or covenants required to be performed or complied with by either of them under this Agreement at or prior to the Effective Time. </w:t>
      </w:r>
    </w:p>
    <w:p>
      <w:pPr>
        <w:pStyle w:val="TextBody"/>
        <w:bidi w:val="0"/>
        <w:spacing w:before="240" w:after="0"/>
        <w:jc w:val="left"/>
        <w:rPr>
          <w:rFonts w:ascii="Times New Roman" w:hAnsi="Times New Roman"/>
          <w:sz w:val="20"/>
        </w:rPr>
      </w:pPr>
      <w:bookmarkStart w:id="311" w:name="annxa770053_113"/>
      <w:bookmarkEnd w:id="311"/>
      <w:r>
        <w:rPr>
          <w:rFonts w:ascii="Times New Roman" w:hAnsi="Times New Roman"/>
          <w:sz w:val="20"/>
        </w:rPr>
        <w:t xml:space="preserve">9.3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an executive officer of Aspen certifying that the conditions set forth in </w:t>
      </w:r>
      <w:r>
        <w:rPr>
          <w:rFonts w:ascii="Times New Roman" w:hAnsi="Times New Roman"/>
          <w:sz w:val="20"/>
          <w:u w:val="single"/>
        </w:rPr>
        <w:t>Sections 9.1</w:t>
      </w:r>
      <w:r>
        <w:rPr>
          <w:rFonts w:ascii="Times New Roman" w:hAnsi="Times New Roman"/>
          <w:sz w:val="20"/>
        </w:rPr>
        <w:t xml:space="preserve">, </w:t>
      </w:r>
      <w:r>
        <w:rPr>
          <w:rFonts w:ascii="Times New Roman" w:hAnsi="Times New Roman"/>
          <w:sz w:val="20"/>
          <w:u w:val="single"/>
        </w:rPr>
        <w:t>9.2</w:t>
      </w:r>
      <w:r>
        <w:rPr>
          <w:rFonts w:ascii="Times New Roman" w:hAnsi="Times New Roman"/>
          <w:sz w:val="20"/>
        </w:rPr>
        <w:t xml:space="preserve"> and </w:t>
      </w:r>
      <w:r>
        <w:rPr>
          <w:rFonts w:ascii="Times New Roman" w:hAnsi="Times New Roman"/>
          <w:sz w:val="20"/>
          <w:u w:val="single"/>
        </w:rPr>
        <w:t>9.4</w:t>
      </w:r>
      <w:r>
        <w:rPr>
          <w:rFonts w:ascii="Times New Roman" w:hAnsi="Times New Roman"/>
          <w:sz w:val="20"/>
        </w:rPr>
        <w:t xml:space="preserve"> have been duly satisfied; </w:t>
      </w:r>
    </w:p>
    <w:p>
      <w:pPr>
        <w:pStyle w:val="TextBody"/>
        <w:bidi w:val="0"/>
        <w:spacing w:before="240" w:after="0"/>
        <w:jc w:val="left"/>
        <w:rPr>
          <w:rFonts w:ascii="Times New Roman" w:hAnsi="Times New Roman"/>
          <w:sz w:val="20"/>
        </w:rPr>
      </w:pPr>
      <w:r>
        <w:rPr>
          <w:rFonts w:ascii="Times New Roman" w:hAnsi="Times New Roman"/>
          <w:sz w:val="20"/>
        </w:rPr>
        <w:t xml:space="preserve">(b) written resignations in forms satisfactory to the Company, dated as of the Closing Date and effective as of the Closing executed by the officers and directors of Aspen who are not to continue as officers or directors of Aspen pursuant to </w:t>
      </w:r>
      <w:r>
        <w:rPr>
          <w:rFonts w:ascii="Times New Roman" w:hAnsi="Times New Roman"/>
          <w:sz w:val="20"/>
          <w:u w:val="single"/>
        </w:rPr>
        <w:t>Section 6.13</w:t>
      </w:r>
      <w:r>
        <w:rPr>
          <w:rFonts w:ascii="Times New Roman" w:hAnsi="Times New Roman"/>
          <w:sz w:val="20"/>
        </w:rPr>
        <w:t xml:space="preserve"> 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Aspen Net Cash Schedule. </w:t>
      </w:r>
    </w:p>
    <w:p>
      <w:pPr>
        <w:pStyle w:val="TextBody"/>
        <w:bidi w:val="0"/>
        <w:spacing w:before="240" w:after="0"/>
        <w:jc w:val="left"/>
        <w:rPr>
          <w:rFonts w:ascii="Times New Roman" w:hAnsi="Times New Roman"/>
          <w:sz w:val="20"/>
        </w:rPr>
      </w:pPr>
      <w:bookmarkStart w:id="312" w:name="annxa770053_114"/>
      <w:bookmarkEnd w:id="312"/>
      <w:r>
        <w:rPr>
          <w:rFonts w:ascii="Times New Roman" w:hAnsi="Times New Roman"/>
          <w:sz w:val="20"/>
        </w:rPr>
        <w:t xml:space="preserve">9.4 </w:t>
      </w:r>
      <w:r>
        <w:rPr>
          <w:rFonts w:ascii="Times New Roman" w:hAnsi="Times New Roman"/>
          <w:sz w:val="20"/>
          <w:u w:val="single"/>
        </w:rPr>
        <w:t>No Aspen Material Adverse Effect</w:t>
      </w:r>
      <w:r>
        <w:rPr>
          <w:rFonts w:ascii="Times New Roman" w:hAnsi="Times New Roman"/>
          <w:sz w:val="20"/>
        </w:rPr>
        <w:t xml:space="preserve">. Since the date of this Agreement, there shall not have occurred any Aspen Material Adverse Effect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Aspen Net Cash</w:t>
      </w:r>
      <w:r>
        <w:rPr>
          <w:rFonts w:ascii="Times New Roman" w:hAnsi="Times New Roman"/>
          <w:sz w:val="20"/>
        </w:rPr>
        <w:t xml:space="preserve">. Aspen Net Cash shall not be less than $50,000,000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Nasdaq Listing</w:t>
      </w:r>
      <w:r>
        <w:rPr>
          <w:rFonts w:ascii="Times New Roman" w:hAnsi="Times New Roman"/>
          <w:sz w:val="20"/>
        </w:rPr>
        <w:t xml:space="preserve">. The Aspen Common Stock shall be listed on Nasdaq as of immediately prior to the Closing; </w:t>
      </w:r>
      <w:r>
        <w:rPr>
          <w:rFonts w:ascii="Times New Roman" w:hAnsi="Times New Roman"/>
          <w:sz w:val="20"/>
          <w:u w:val="single"/>
        </w:rPr>
        <w:t>provided</w:t>
      </w:r>
      <w:r>
        <w:rPr>
          <w:rFonts w:ascii="Times New Roman" w:hAnsi="Times New Roman"/>
          <w:sz w:val="20"/>
        </w:rPr>
        <w:t xml:space="preserve">, that the condition in this </w:t>
      </w:r>
      <w:r>
        <w:rPr>
          <w:rFonts w:ascii="Times New Roman" w:hAnsi="Times New Roman"/>
          <w:sz w:val="20"/>
          <w:u w:val="single"/>
        </w:rPr>
        <w:t>Section 9.6</w:t>
      </w:r>
      <w:r>
        <w:rPr>
          <w:rFonts w:ascii="Times New Roman" w:hAnsi="Times New Roman"/>
          <w:sz w:val="20"/>
        </w:rPr>
        <w:t xml:space="preserve"> shall not be available to the Company if the Company has refused or unreasonably delayed, withheld or conditioned its consent to actions by Aspen to maintain or regain, as applicable, the listing of Aspen Common Stock on Nasdaq. </w:t>
      </w:r>
    </w:p>
    <w:p>
      <w:pPr>
        <w:pStyle w:val="TextBody"/>
        <w:bidi w:val="0"/>
        <w:spacing w:before="240" w:after="0"/>
        <w:jc w:val="left"/>
        <w:rPr>
          <w:rFonts w:ascii="Times New Roman" w:hAnsi="Times New Roman"/>
          <w:sz w:val="20"/>
        </w:rPr>
      </w:pPr>
      <w:bookmarkStart w:id="313" w:name="annxa770053_115"/>
      <w:bookmarkEnd w:id="313"/>
      <w:r>
        <w:rPr>
          <w:rFonts w:ascii="Times New Roman" w:hAnsi="Times New Roman"/>
          <w:sz w:val="20"/>
        </w:rPr>
        <w:t xml:space="preserve">Section 10.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14" w:name="annxa770053_116"/>
      <w:bookmarkEnd w:id="314"/>
      <w:r>
        <w:rPr>
          <w:rFonts w:ascii="Times New Roman" w:hAnsi="Times New Roman"/>
          <w:sz w:val="20"/>
        </w:rPr>
        <w:t xml:space="preserve">10.1 </w:t>
      </w:r>
      <w:r>
        <w:rPr>
          <w:rFonts w:ascii="Times New Roman" w:hAnsi="Times New Roman"/>
          <w:sz w:val="20"/>
          <w:u w:val="single"/>
        </w:rPr>
        <w:t>Termination</w:t>
      </w:r>
      <w:r>
        <w:rPr>
          <w:rFonts w:ascii="Times New Roman" w:hAnsi="Times New Roman"/>
          <w:sz w:val="20"/>
        </w:rPr>
        <w:t xml:space="preserve">. This Agreement may be terminated prior to the Effective Time (whether before or after adoption of this Agreement by the Company’s stockholders and whether before or after approval of the Aspen Stockholder Matters by Aspen’s stockholders, unless otherwise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Aspen and the Company; </w:t>
      </w:r>
    </w:p>
    <w:p>
      <w:pPr>
        <w:pStyle w:val="TextBody"/>
        <w:bidi w:val="0"/>
        <w:spacing w:before="240" w:after="0"/>
        <w:jc w:val="left"/>
        <w:rPr>
          <w:rFonts w:ascii="Times New Roman" w:hAnsi="Times New Roman"/>
          <w:sz w:val="20"/>
        </w:rPr>
      </w:pPr>
      <w:r>
        <w:rPr>
          <w:rFonts w:ascii="Times New Roman" w:hAnsi="Times New Roman"/>
          <w:sz w:val="20"/>
        </w:rPr>
        <w:t>(b) by either Aspen or the Company if the Merger shall not have been consummated by October 31, 2024 (the “</w:t>
      </w:r>
      <w:r>
        <w:rPr>
          <w:rFonts w:ascii="Times New Roman" w:hAnsi="Times New Roman"/>
          <w:b/>
          <w:sz w:val="20"/>
        </w:rPr>
        <w:t>End</w:t>
      </w:r>
      <w:r>
        <w:rPr>
          <w:rFonts w:ascii="Times New Roman" w:hAnsi="Times New Roman"/>
          <w:sz w:val="20"/>
        </w:rPr>
        <w:t> </w:t>
      </w:r>
      <w:r>
        <w:rPr>
          <w:rFonts w:ascii="Times New Roman" w:hAnsi="Times New Roman"/>
          <w:b/>
          <w:sz w:val="20"/>
        </w:rPr>
        <w:t>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the Company or Aspen if such Party’s (or in the case of Aspen, Merger Sub) action or failure to act has been a principal cause of the failure of the Merger to occur on or before the End Date and such action or failure to act constitutes a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by either Aspen or the Company if a court or other Governmental Authority of competent jurisdiction shall have issued a final and nonappealable Order, or shall have taken any other action,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Aspen if the Required Company Stockholder Vote shall not have been obtained within four (4) Business Days after the Registration Statement has become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approval by irrevocable written consent from Company Stockholders representing no less than 88% of the voting power of the Company has been obtained, Aspen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Aspen or the Company if (i) the Aspen Stockholder Meeting (including any adjournments and postponements thereof) shall have been held and completed and Aspen’s stockholders shall have taken a final vote on the Specified Aspen Stockholder Matters and (ii) the Specified Aspen Stockholder Matters shall not have been approved at the Aspen Stockholder Meeting (or at any adjournment or postponement thereof) by the Required Aspen Stockholder Vote;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approval of the Specified Aspen Stockholder Matters by the Required Aspen Stockholder Vote) if an Aspen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the Company, upon a breach of any representation, warranty, covenant or agreement set forth in this Agreement by Aspen or Merger Sub or if any representation or warranty of Aspen or Merger Sub shall have become inaccurate, in either case, such that the conditions set forth in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 further</w:t>
      </w:r>
      <w:r>
        <w:rPr>
          <w:rFonts w:ascii="Times New Roman" w:hAnsi="Times New Roman"/>
          <w:sz w:val="20"/>
        </w:rPr>
        <w:t xml:space="preserve">, that if such inaccuracy in Aspen’s or Merger Sub’s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representations and warranties or breach by Aspen or Merger Sub of any representation, warranty, covenant or agreement is curable by Aspen or Merger Sub, then this Agreement shall not terminate pursuant to this </w:t>
      </w:r>
      <w:r>
        <w:rPr>
          <w:rFonts w:ascii="Times New Roman" w:hAnsi="Times New Roman"/>
          <w:sz w:val="20"/>
          <w:u w:val="single"/>
        </w:rPr>
        <w:t>Section 10.1(g)</w:t>
      </w:r>
      <w:r>
        <w:rPr>
          <w:rFonts w:ascii="Times New Roman" w:hAnsi="Times New Roman"/>
          <w:sz w:val="20"/>
        </w:rPr>
        <w:t xml:space="preserve"> as a result of such particular breach or inaccuracy until the earlier of (i) the expiration of a thirty-(30) day period commencing upon delivery of written notice from the Company to Aspen or Merger Sub of such breach or inaccuracy and its intention to terminate pursuant to this </w:t>
      </w:r>
      <w:r>
        <w:rPr>
          <w:rFonts w:ascii="Times New Roman" w:hAnsi="Times New Roman"/>
          <w:sz w:val="20"/>
          <w:u w:val="single"/>
        </w:rPr>
        <w:t>Section 10.1(g)</w:t>
      </w:r>
      <w:r>
        <w:rPr>
          <w:rFonts w:ascii="Times New Roman" w:hAnsi="Times New Roman"/>
          <w:sz w:val="20"/>
        </w:rPr>
        <w:t xml:space="preserve"> and (ii) Aspen or Merger Sub (as applicable) ceasing to exercise commercially reasonable efforts to cure such breach following delivery of written notice from the Company to Aspen or Merger Sub of such breach or inaccuracy, its intention to terminate pursuant to this </w:t>
      </w:r>
      <w:r>
        <w:rPr>
          <w:rFonts w:ascii="Times New Roman" w:hAnsi="Times New Roman"/>
          <w:sz w:val="20"/>
          <w:u w:val="single"/>
        </w:rPr>
        <w:t>Section 10.1(g)</w:t>
      </w:r>
      <w:r>
        <w:rPr>
          <w:rFonts w:ascii="Times New Roman" w:hAnsi="Times New Roman"/>
          <w:sz w:val="20"/>
        </w:rPr>
        <w:t xml:space="preserve">, and its enumeration of all of the specific commercially reasonable efforts that it believes ought to be taken to cure such breach (it being understood that this Agreement shall not terminate pursuant to this </w:t>
      </w:r>
      <w:r>
        <w:rPr>
          <w:rFonts w:ascii="Times New Roman" w:hAnsi="Times New Roman"/>
          <w:sz w:val="20"/>
          <w:u w:val="single"/>
        </w:rPr>
        <w:t>Section 10.1(g)</w:t>
      </w:r>
      <w:r>
        <w:rPr>
          <w:rFonts w:ascii="Times New Roman" w:hAnsi="Times New Roman"/>
          <w:sz w:val="20"/>
        </w:rPr>
        <w:t xml:space="preserve"> as a result of such particular breach or inaccuracy if such breach by Aspen or Merger Sub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(h) by Aspen,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Aspen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of any representation, warranty, covenant or agreement is curable by the Company then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until the earlier of (i) the expiration of a thirty-(30) day period commencing upon delivery of written notice from Aspen to the Company of such breach or inaccuracy and its intention to terminate pursuant to this </w:t>
      </w:r>
      <w:r>
        <w:rPr>
          <w:rFonts w:ascii="Times New Roman" w:hAnsi="Times New Roman"/>
          <w:sz w:val="20"/>
          <w:u w:val="single"/>
        </w:rPr>
        <w:t>Section 10.1(h)</w:t>
      </w:r>
      <w:r>
        <w:rPr>
          <w:rFonts w:ascii="Times New Roman" w:hAnsi="Times New Roman"/>
          <w:sz w:val="20"/>
        </w:rPr>
        <w:t xml:space="preserve"> and (ii) the Company ceasing to exercise commercially reasonable efforts to cure such breach following delivery of written notice from Aspen to the Company of such breach or inaccuracy, its intention to terminate pursuant to this </w:t>
      </w:r>
      <w:r>
        <w:rPr>
          <w:rFonts w:ascii="Times New Roman" w:hAnsi="Times New Roman"/>
          <w:sz w:val="20"/>
          <w:u w:val="single"/>
        </w:rPr>
        <w:t>Section 10.1(h)</w:t>
      </w:r>
      <w:r>
        <w:rPr>
          <w:rFonts w:ascii="Times New Roman" w:hAnsi="Times New Roman"/>
          <w:sz w:val="20"/>
        </w:rPr>
        <w:t xml:space="preserve">, and its enumeration of all of the specific commercially reasonable efforts that it believes ought to be taken to cure such breach (it being understood that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(i) by Aspen (at any time prior to the approval of the Specified Aspen Stockholder Matters by the Required Aspen Stockholder Vote) and following compliance with all of the requirements set forth in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upon the Aspen Board authorizing Aspen to enter into a Permitted Alternative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Aspen shall concurrently pay to the Company the Company Termination Fee in accordance with </w:t>
      </w:r>
      <w:r>
        <w:rPr>
          <w:rFonts w:ascii="Times New Roman" w:hAnsi="Times New Roman"/>
          <w:sz w:val="20"/>
          <w:u w:val="single"/>
        </w:rPr>
        <w:t>Section 10.3(c)</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(j) by Aspen (at any time prior to the Required Company Stockholder Vote being obtained) if a Company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315" w:name="annxa770053_117"/>
      <w:bookmarkEnd w:id="315"/>
      <w:r>
        <w:rPr>
          <w:rFonts w:ascii="Times New Roman" w:hAnsi="Times New Roman"/>
          <w:sz w:val="20"/>
        </w:rPr>
        <w:t xml:space="preserve">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6.9</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bidi w:val="0"/>
        <w:jc w:val="left"/>
        <w:rPr/>
      </w:pPr>
      <w:r>
        <w:rPr/>
      </w:r>
    </w:p>
    <w:p>
      <w:pPr>
        <w:pStyle w:val="TextBody"/>
        <w:bidi w:val="0"/>
        <w:spacing w:before="0" w:after="0"/>
        <w:jc w:val="left"/>
        <w:rPr>
          <w:rFonts w:ascii="Times New Roman" w:hAnsi="Times New Roman"/>
          <w:sz w:val="20"/>
        </w:rPr>
      </w:pPr>
      <w:bookmarkStart w:id="316" w:name="annxa770053_118"/>
      <w:bookmarkEnd w:id="316"/>
      <w:r>
        <w:rPr>
          <w:rFonts w:ascii="Times New Roman" w:hAnsi="Times New Roman"/>
          <w:sz w:val="20"/>
        </w:rPr>
        <w:t xml:space="preserve">10.3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6.10</w:t>
      </w:r>
      <w:r>
        <w:rPr>
          <w:rFonts w:ascii="Times New Roman" w:hAnsi="Times New Roman"/>
          <w:sz w:val="20"/>
        </w:rPr>
        <w:t xml:space="preserve">, all fees and expenses incurred in connection with this Agreement and the Contemplated Transactions shall be paid by the Party incurring such expenses, whether or not the Merger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(b) If (i) at any time after the date of this Agreement and prior to the Aspen Stockholder Meeting, an Acquisition Proposal with respect to Aspen shall have been publicly announced or disclosed or otherwise made known to the Aspen Board (and shall not have been withdrawn), (ii) this Agreement is terminated by Aspen or the Company pursuant to </w:t>
      </w:r>
      <w:r>
        <w:rPr>
          <w:rFonts w:ascii="Times New Roman" w:hAnsi="Times New Roman"/>
          <w:sz w:val="20"/>
          <w:u w:val="single"/>
        </w:rPr>
        <w:t>Section 10.1(e)</w:t>
      </w:r>
      <w:r>
        <w:rPr>
          <w:rFonts w:ascii="Times New Roman" w:hAnsi="Times New Roman"/>
          <w:sz w:val="20"/>
        </w:rPr>
        <w:t xml:space="preserve"> or by the Company pursuant to </w:t>
      </w:r>
      <w:r>
        <w:rPr>
          <w:rFonts w:ascii="Times New Roman" w:hAnsi="Times New Roman"/>
          <w:sz w:val="20"/>
          <w:u w:val="single"/>
        </w:rPr>
        <w:t>Section 10.1(g)</w:t>
      </w:r>
      <w:r>
        <w:rPr>
          <w:rFonts w:ascii="Times New Roman" w:hAnsi="Times New Roman"/>
          <w:sz w:val="20"/>
        </w:rPr>
        <w:t>, and (iii) within twelve (12) months after the date of such termination, Aspen enters into a definitive agreement with respect to any Acquisition Transaction or consummates any Acquisition Transaction (in each event with all references to 20% in the definition of Acquisition Transaction being treated as references to 50% for these purposes), then Aspen shall pay or cause to be paid to the Company, within ten (10) Business Days after such termination (or, if applicable, upon such entry into a definitive agreement or consummation of such Acquisition Transaction), a nonrefundable fee in an amount equal to $2,712,500 (the “</w:t>
      </w:r>
      <w:r>
        <w:rPr>
          <w:rFonts w:ascii="Times New Roman" w:hAnsi="Times New Roman"/>
          <w:b/>
          <w:sz w:val="20"/>
        </w:rPr>
        <w:t>Aspen Termination Fee</w:t>
      </w:r>
      <w:r>
        <w:rPr>
          <w:rFonts w:ascii="Times New Roman" w:hAnsi="Times New Roman"/>
          <w:sz w:val="20"/>
        </w:rPr>
        <w:t xml:space="preserve">”). For the avoidance of doubt, a liquidation or dissolution of Aspen shall in no event be deemed to constitute an Acquisition Transaction for purposes of this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this Agreement is terminated (i) by the Company or Aspen pursuant to </w:t>
      </w:r>
      <w:r>
        <w:rPr>
          <w:rFonts w:ascii="Times New Roman" w:hAnsi="Times New Roman"/>
          <w:sz w:val="20"/>
          <w:u w:val="single"/>
        </w:rPr>
        <w:t>Section 10.1(b)</w:t>
      </w:r>
      <w:r>
        <w:rPr>
          <w:rFonts w:ascii="Times New Roman" w:hAnsi="Times New Roman"/>
          <w:sz w:val="20"/>
        </w:rPr>
        <w:t xml:space="preserve"> (when at the time this Agreement is terminated, the Company had the right to terminate this Agreement pursuant to </w:t>
      </w:r>
      <w:r>
        <w:rPr>
          <w:rFonts w:ascii="Times New Roman" w:hAnsi="Times New Roman"/>
          <w:sz w:val="20"/>
          <w:u w:val="single"/>
        </w:rPr>
        <w:t>Section 10.1(f))</w:t>
      </w:r>
      <w:r>
        <w:rPr>
          <w:rFonts w:ascii="Times New Roman" w:hAnsi="Times New Roman"/>
          <w:sz w:val="20"/>
        </w:rPr>
        <w:t xml:space="preserve"> or (ii) by the Company pursuant to </w:t>
      </w:r>
      <w:r>
        <w:rPr>
          <w:rFonts w:ascii="Times New Roman" w:hAnsi="Times New Roman"/>
          <w:sz w:val="20"/>
          <w:u w:val="single"/>
        </w:rPr>
        <w:t>Section 10.1(f)</w:t>
      </w:r>
      <w:r>
        <w:rPr>
          <w:rFonts w:ascii="Times New Roman" w:hAnsi="Times New Roman"/>
          <w:sz w:val="20"/>
        </w:rPr>
        <w:t xml:space="preserve">, then Aspen shall pay or cause to be paid to the Company, concurrent with such termination, the Aspen Termination Fee or (ii) by Aspen pursuant to </w:t>
      </w:r>
      <w:r>
        <w:rPr>
          <w:rFonts w:ascii="Times New Roman" w:hAnsi="Times New Roman"/>
          <w:sz w:val="20"/>
          <w:u w:val="single"/>
        </w:rPr>
        <w:t>Section 10.1(i)</w:t>
      </w:r>
      <w:r>
        <w:rPr>
          <w:rFonts w:ascii="Times New Roman" w:hAnsi="Times New Roman"/>
          <w:sz w:val="20"/>
        </w:rPr>
        <w:t xml:space="preserve">, then Aspen shall pay or cause to be paid to the Company, concurrent with such termination, the Aspen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by the Company pursuant to </w:t>
      </w:r>
      <w:r>
        <w:rPr>
          <w:rFonts w:ascii="Times New Roman" w:hAnsi="Times New Roman"/>
          <w:sz w:val="20"/>
          <w:u w:val="single"/>
        </w:rPr>
        <w:t>Section 10.1(e)</w:t>
      </w:r>
      <w:r>
        <w:rPr>
          <w:rFonts w:ascii="Times New Roman" w:hAnsi="Times New Roman"/>
          <w:sz w:val="20"/>
        </w:rPr>
        <w:t xml:space="preserve">, Aspen shall reimburse or cause to be reimbursed to the Company for all reasonable out-of-pocket fees and expenses incurred by the Company in connection with this Agreement and the Contemplated Transactions, up to a maximum of $650,000, by wire transfer of same-day funds within ten (10) Business Days following the date on which the Company submits to Aspen true and correct copies of reasonable documentation supporting such expenses. For the avoidance of doubt, the expense reimbursement pursuant to this </w:t>
      </w:r>
      <w:r>
        <w:rPr>
          <w:rFonts w:ascii="Times New Roman" w:hAnsi="Times New Roman"/>
          <w:sz w:val="20"/>
          <w:u w:val="single"/>
        </w:rPr>
        <w:t>Section 10.3(d)</w:t>
      </w:r>
      <w:r>
        <w:rPr>
          <w:rFonts w:ascii="Times New Roman" w:hAnsi="Times New Roman"/>
          <w:sz w:val="20"/>
        </w:rPr>
        <w:t xml:space="preserve">, to the extent paid, shall be credited against any Aspen Termination Fee that becomes payable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(e) If (i) at any time after the date of this Agreement and prior to the receipt of the Required Company Stockholder Vote, an Acquisition Proposal with respect to the Company shall have been publicly announced or disclosed or otherwise made known to the Company Board (and shall not have been withdrawn), (ii) this Agreement is terminated by Aspen pursuant to </w:t>
      </w:r>
      <w:r>
        <w:rPr>
          <w:rFonts w:ascii="Times New Roman" w:hAnsi="Times New Roman"/>
          <w:sz w:val="20"/>
          <w:u w:val="single"/>
        </w:rPr>
        <w:t>Section 10.1(h)</w:t>
      </w:r>
      <w:r>
        <w:rPr>
          <w:rFonts w:ascii="Times New Roman" w:hAnsi="Times New Roman"/>
          <w:sz w:val="20"/>
        </w:rPr>
        <w:t>, and (iii) within twelve (12) months after the date of such termination, the Company enters into a definitive agreement with respect to any Acquisition Transaction or consummates any Acquisition Transaction (in each event with all references to 20% in the definition of Acquisition Transaction being treated as references to 50% for these purposes), then the Company shall pay or cause to be paid to Aspen, within ten (10) Business Days after such termination (or, if applicable, upon such entry into a definitive agreement or consummation of such Acquisition Transaction), a nonrefundable fee in an amount equal to $4,900,000 (the “</w:t>
      </w:r>
      <w:r>
        <w:rPr>
          <w:rFonts w:ascii="Times New Roman" w:hAnsi="Times New Roman"/>
          <w:b/>
          <w:sz w:val="20"/>
        </w:rPr>
        <w:t>Company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If this Agreement is terminated (i) by Aspen or the Company pursuant to </w:t>
      </w:r>
      <w:r>
        <w:rPr>
          <w:rFonts w:ascii="Times New Roman" w:hAnsi="Times New Roman"/>
          <w:sz w:val="20"/>
          <w:u w:val="single"/>
        </w:rPr>
        <w:t>Section 10.1(b)</w:t>
      </w:r>
      <w:r>
        <w:rPr>
          <w:rFonts w:ascii="Times New Roman" w:hAnsi="Times New Roman"/>
          <w:sz w:val="20"/>
        </w:rPr>
        <w:t xml:space="preserve"> (when at the time this Agreement is terminated, Aspen had the right to terminate this Agreement pursuant to </w:t>
      </w:r>
      <w:r>
        <w:rPr>
          <w:rFonts w:ascii="Times New Roman" w:hAnsi="Times New Roman"/>
          <w:sz w:val="20"/>
          <w:u w:val="single"/>
        </w:rPr>
        <w:t>Section 10.1(j))</w:t>
      </w:r>
      <w:r>
        <w:rPr>
          <w:rFonts w:ascii="Times New Roman" w:hAnsi="Times New Roman"/>
          <w:sz w:val="20"/>
        </w:rPr>
        <w:t xml:space="preserve">, (ii) by Aspen pursuant to </w:t>
      </w:r>
      <w:r>
        <w:rPr>
          <w:rFonts w:ascii="Times New Roman" w:hAnsi="Times New Roman"/>
          <w:sz w:val="20"/>
          <w:u w:val="single"/>
        </w:rPr>
        <w:t>Section 10.1(d)</w:t>
      </w:r>
      <w:r>
        <w:rPr>
          <w:rFonts w:ascii="Times New Roman" w:hAnsi="Times New Roman"/>
          <w:sz w:val="20"/>
        </w:rPr>
        <w:t xml:space="preserve"> or (iii) by Aspen pursuant to </w:t>
      </w:r>
      <w:r>
        <w:rPr>
          <w:rFonts w:ascii="Times New Roman" w:hAnsi="Times New Roman"/>
          <w:sz w:val="20"/>
          <w:u w:val="single"/>
        </w:rPr>
        <w:t>Section 10.1(j)</w:t>
      </w:r>
      <w:r>
        <w:rPr>
          <w:rFonts w:ascii="Times New Roman" w:hAnsi="Times New Roman"/>
          <w:sz w:val="20"/>
        </w:rPr>
        <w:t xml:space="preserve">, then the Company shall pay or cause to be paid to Aspen, by wire transfer of same-day funds within ten (10) Business Days after such termination, the Company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(g) If either Party fails to pay when due any amount payable by it under this </w:t>
      </w:r>
      <w:r>
        <w:rPr>
          <w:rFonts w:ascii="Times New Roman" w:hAnsi="Times New Roman"/>
          <w:sz w:val="20"/>
          <w:u w:val="single"/>
        </w:rPr>
        <w:t>Section 10.3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enforcement by the other Party of its rights under this </w:t>
      </w:r>
      <w:r>
        <w:rPr>
          <w:rFonts w:ascii="Times New Roman" w:hAnsi="Times New Roman"/>
          <w:sz w:val="20"/>
          <w:u w:val="single"/>
        </w:rPr>
        <w:t>Section 10.3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published in The Wall Street Journal) in effect on the date such overdue amount was originally required to be paid plus three (3) percent. </w:t>
      </w:r>
    </w:p>
    <w:p>
      <w:pPr>
        <w:pStyle w:val="TextBody"/>
        <w:bidi w:val="0"/>
        <w:spacing w:before="240" w:after="0"/>
        <w:jc w:val="left"/>
        <w:rPr>
          <w:rFonts w:ascii="Times New Roman" w:hAnsi="Times New Roman"/>
          <w:sz w:val="20"/>
        </w:rPr>
      </w:pPr>
      <w:r>
        <w:rPr>
          <w:rFonts w:ascii="Times New Roman" w:hAnsi="Times New Roman"/>
          <w:sz w:val="20"/>
        </w:rPr>
        <w:t xml:space="preserve">(h) The Parties agree that, subject to </w:t>
      </w:r>
      <w:r>
        <w:rPr>
          <w:rFonts w:ascii="Times New Roman" w:hAnsi="Times New Roman"/>
          <w:sz w:val="20"/>
          <w:u w:val="single"/>
        </w:rPr>
        <w:t>Section 10.2</w:t>
      </w:r>
      <w:r>
        <w:rPr>
          <w:rFonts w:ascii="Times New Roman" w:hAnsi="Times New Roman"/>
          <w:sz w:val="20"/>
        </w:rPr>
        <w:t xml:space="preserve">, the payment of the fees and expenses set forth in this </w:t>
      </w:r>
      <w:r>
        <w:rPr>
          <w:rFonts w:ascii="Times New Roman" w:hAnsi="Times New Roman"/>
          <w:sz w:val="20"/>
          <w:u w:val="single"/>
        </w:rPr>
        <w:t>Section 10.3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it being understood that in no event shall either Aspen or the Company be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on more than one occasion. Subject to </w:t>
      </w:r>
      <w:r>
        <w:rPr>
          <w:rFonts w:ascii="Times New Roman" w:hAnsi="Times New Roman"/>
          <w:sz w:val="20"/>
          <w:u w:val="single"/>
        </w:rPr>
        <w:t>Section 10.2</w:t>
      </w:r>
      <w:r>
        <w:rPr>
          <w:rFonts w:ascii="Times New Roman" w:hAnsi="Times New Roman"/>
          <w:sz w:val="20"/>
        </w:rPr>
        <w:t xml:space="preserve">, following the payment of the fees and expenses set forth in this </w:t>
      </w:r>
      <w:r>
        <w:rPr>
          <w:rFonts w:ascii="Times New Roman" w:hAnsi="Times New Roman"/>
          <w:sz w:val="20"/>
          <w:u w:val="single"/>
        </w:rPr>
        <w:t>Section 10.3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w:t>
      </w:r>
      <w:r>
        <w:rPr>
          <w:rFonts w:ascii="Times New Roman" w:hAnsi="Times New Roman"/>
          <w:sz w:val="20"/>
          <w:u w:val="single"/>
        </w:rPr>
        <w:t xml:space="preserve"> Section 10.3</w:t>
      </w:r>
      <w:r>
        <w:rPr>
          <w:rFonts w:ascii="Times New Roman" w:hAnsi="Times New Roman"/>
          <w:sz w:val="20"/>
        </w:rPr>
        <w:t xml:space="preserve"> are an integral part of the Contemplated Transactions, (y) without these agreements, the Parties would not enter into this Agreement and (z)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10.3(h)</w:t>
      </w:r>
      <w:r>
        <w:rPr>
          <w:rFonts w:ascii="Times New Roman" w:hAnsi="Times New Roman"/>
          <w:sz w:val="20"/>
        </w:rPr>
        <w:t xml:space="preserve"> shall limit the rights of the Parties under </w:t>
      </w:r>
      <w:r>
        <w:rPr>
          <w:rFonts w:ascii="Times New Roman" w:hAnsi="Times New Roman"/>
          <w:sz w:val="20"/>
          <w:u w:val="single"/>
        </w:rPr>
        <w:t>Section 11.10</w:t>
      </w:r>
      <w:r>
        <w:rPr>
          <w:rFonts w:ascii="Times New Roman" w:hAnsi="Times New Roman"/>
          <w:sz w:val="20"/>
        </w:rPr>
        <w:t xml:space="preserve">. For the avoidance of doubt, nothing in this </w:t>
      </w:r>
      <w:r>
        <w:rPr>
          <w:rFonts w:ascii="Times New Roman" w:hAnsi="Times New Roman"/>
          <w:sz w:val="20"/>
          <w:u w:val="single"/>
        </w:rPr>
        <w:t>Section 10.3(h)</w:t>
      </w:r>
      <w:r>
        <w:rPr>
          <w:rFonts w:ascii="Times New Roman" w:hAnsi="Times New Roman"/>
          <w:sz w:val="20"/>
        </w:rPr>
        <w:t xml:space="preserve"> shall limit the remedies of the Parties under the Confidentiality Agreement. Notwithstanding the foregoing or anything else to the contrary in this Agreement, nothing herein shall affect the rights of Aspen to seek full recovery and remedy, including specific performance, for any willful and material breach of the Company Stockholder Support Agreements. </w:t>
      </w:r>
    </w:p>
    <w:p>
      <w:pPr>
        <w:pStyle w:val="TextBody"/>
        <w:bidi w:val="0"/>
        <w:spacing w:before="240" w:after="0"/>
        <w:jc w:val="left"/>
        <w:rPr>
          <w:rFonts w:ascii="Times New Roman" w:hAnsi="Times New Roman"/>
          <w:sz w:val="20"/>
        </w:rPr>
      </w:pPr>
      <w:bookmarkStart w:id="317" w:name="annxa770053_119"/>
      <w:bookmarkEnd w:id="317"/>
      <w:r>
        <w:rPr>
          <w:rFonts w:ascii="Times New Roman" w:hAnsi="Times New Roman"/>
          <w:sz w:val="20"/>
        </w:rPr>
        <w:t xml:space="preserve">Section 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18" w:name="annxa770053_120"/>
      <w:bookmarkEnd w:id="318"/>
      <w:r>
        <w:rPr>
          <w:rFonts w:ascii="Times New Roman" w:hAnsi="Times New Roman"/>
          <w:sz w:val="20"/>
        </w:rPr>
        <w:t xml:space="preserve">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the Company, Aspen and Merger Sub contained in this Agreement or any certificate or instrument delivered pursuant to this Agreement shall terminate at the Effective Time, and only the covenants that by their terms survive the Effective Time and this </w:t>
      </w:r>
      <w:r>
        <w:rPr>
          <w:rFonts w:ascii="Times New Roman" w:hAnsi="Times New Roman"/>
          <w:sz w:val="20"/>
          <w:u w:val="single"/>
        </w:rPr>
        <w:t>Section 11</w:t>
      </w:r>
      <w:r>
        <w:rPr>
          <w:rFonts w:ascii="Times New Roman" w:hAnsi="Times New Roman"/>
          <w:sz w:val="20"/>
        </w:rPr>
        <w:t xml:space="preserve"> shall survive the Effective Time. </w:t>
      </w:r>
    </w:p>
    <w:p>
      <w:pPr>
        <w:pStyle w:val="TextBody"/>
        <w:bidi w:val="0"/>
        <w:spacing w:before="240" w:after="0"/>
        <w:jc w:val="left"/>
        <w:rPr>
          <w:rFonts w:ascii="Times New Roman" w:hAnsi="Times New Roman"/>
          <w:sz w:val="20"/>
        </w:rPr>
      </w:pPr>
      <w:bookmarkStart w:id="319" w:name="annxa770053_121"/>
      <w:bookmarkEnd w:id="319"/>
      <w:r>
        <w:rPr>
          <w:rFonts w:ascii="Times New Roman" w:hAnsi="Times New Roman"/>
          <w:sz w:val="20"/>
        </w:rPr>
        <w:t xml:space="preserve">11.2 </w:t>
      </w:r>
      <w:r>
        <w:rPr>
          <w:rFonts w:ascii="Times New Roman" w:hAnsi="Times New Roman"/>
          <w:sz w:val="20"/>
          <w:u w:val="single"/>
        </w:rPr>
        <w:t>Amendment</w:t>
      </w:r>
      <w:r>
        <w:rPr>
          <w:rFonts w:ascii="Times New Roman" w:hAnsi="Times New Roman"/>
          <w:sz w:val="20"/>
        </w:rPr>
        <w:t xml:space="preserve">. This Agreement may be amended with the approval of the respective boards of directors of the Company, Merger Sub and Aspen at any time (whether before or after the adoption and approval of this Agreement by the Company’s stockholders or before or after obtaining the Required Aspen Stockholder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Aspen. </w:t>
      </w:r>
    </w:p>
    <w:p>
      <w:pPr>
        <w:pStyle w:val="TextBody"/>
        <w:bidi w:val="0"/>
        <w:spacing w:before="240" w:after="0"/>
        <w:jc w:val="left"/>
        <w:rPr>
          <w:rFonts w:ascii="Times New Roman" w:hAnsi="Times New Roman"/>
          <w:sz w:val="20"/>
        </w:rPr>
      </w:pPr>
      <w:bookmarkStart w:id="320" w:name="annxa770053_122"/>
      <w:bookmarkEnd w:id="320"/>
      <w:r>
        <w:rPr>
          <w:rFonts w:ascii="Times New Roman" w:hAnsi="Times New Roman"/>
          <w:sz w:val="20"/>
        </w:rPr>
        <w:t xml:space="preserve">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bookmarkStart w:id="321" w:name="annxa770053_123"/>
      <w:bookmarkEnd w:id="321"/>
      <w:r>
        <w:rPr>
          <w:rFonts w:ascii="Times New Roman" w:hAnsi="Times New Roman"/>
          <w:sz w:val="20"/>
        </w:rPr>
        <w:t xml:space="preserve">11.4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bookmarkStart w:id="322" w:name="annxa770053_124"/>
      <w:bookmarkEnd w:id="322"/>
      <w:r>
        <w:rPr>
          <w:rFonts w:ascii="Times New Roman" w:hAnsi="Times New Roman"/>
          <w:sz w:val="20"/>
        </w:rPr>
        <w:t xml:space="preserve">11.5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bookmarkStart w:id="323" w:name="annxa770053_125"/>
      <w:bookmarkEnd w:id="323"/>
      <w:r>
        <w:rPr>
          <w:rFonts w:ascii="Times New Roman" w:hAnsi="Times New Roman"/>
          <w:sz w:val="20"/>
        </w:rPr>
        <w:t xml:space="preserve">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bookmarkStart w:id="324" w:name="annxa770053_126"/>
      <w:bookmarkEnd w:id="324"/>
      <w:r>
        <w:rPr>
          <w:rFonts w:ascii="Times New Roman" w:hAnsi="Times New Roman"/>
          <w:sz w:val="20"/>
        </w:rPr>
        <w:t xml:space="preserve">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Aspen or Merger Sub: </w:t>
      </w:r>
    </w:p>
    <w:p>
      <w:pPr>
        <w:pStyle w:val="TextBody"/>
        <w:bidi w:val="0"/>
        <w:spacing w:before="360" w:after="0"/>
        <w:jc w:val="left"/>
        <w:rPr>
          <w:rFonts w:ascii="Times New Roman" w:hAnsi="Times New Roman"/>
          <w:sz w:val="20"/>
        </w:rPr>
      </w:pPr>
      <w:r>
        <w:rPr>
          <w:rFonts w:ascii="Times New Roman" w:hAnsi="Times New Roman"/>
          <w:sz w:val="20"/>
        </w:rPr>
        <w:t xml:space="preserve">Erik Ostrowski </w:t>
      </w:r>
    </w:p>
    <w:p>
      <w:pPr>
        <w:pStyle w:val="TextBody"/>
        <w:bidi w:val="0"/>
        <w:spacing w:before="0" w:after="0"/>
        <w:jc w:val="left"/>
        <w:rPr>
          <w:rFonts w:ascii="Times New Roman" w:hAnsi="Times New Roman"/>
          <w:sz w:val="20"/>
        </w:rPr>
      </w:pPr>
      <w:r>
        <w:rPr>
          <w:rFonts w:ascii="Times New Roman" w:hAnsi="Times New Roman"/>
          <w:sz w:val="20"/>
        </w:rPr>
        <w:t xml:space="preserve">President and Interim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Email: erik.ostrowski@avrobio.com, generalcounsel@avrobio.com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Mitch Bloom; Rob Masella; James Ding; Adam Johnson </w:t>
      </w:r>
    </w:p>
    <w:p>
      <w:pPr>
        <w:pStyle w:val="TextBody"/>
        <w:bidi w:val="0"/>
        <w:spacing w:before="0" w:after="0"/>
        <w:jc w:val="left"/>
        <w:rPr>
          <w:rFonts w:ascii="Times New Roman" w:hAnsi="Times New Roman"/>
          <w:sz w:val="20"/>
        </w:rPr>
      </w:pPr>
      <w:r>
        <w:rPr>
          <w:rFonts w:ascii="Times New Roman" w:hAnsi="Times New Roman"/>
          <w:sz w:val="20"/>
        </w:rPr>
        <w:t xml:space="preserve">Email: mbloom@goodwinlaw.com; rmasella@goodwinlaw.com; jding@goodwinlaw.com; </w:t>
      </w:r>
    </w:p>
    <w:p>
      <w:pPr>
        <w:pStyle w:val="TextBody"/>
        <w:bidi w:val="0"/>
        <w:spacing w:before="0" w:after="0"/>
        <w:jc w:val="left"/>
        <w:rPr>
          <w:rFonts w:ascii="Times New Roman" w:hAnsi="Times New Roman"/>
          <w:sz w:val="20"/>
        </w:rPr>
      </w:pPr>
      <w:r>
        <w:rPr>
          <w:rFonts w:ascii="Times New Roman" w:hAnsi="Times New Roman"/>
          <w:sz w:val="20"/>
        </w:rPr>
        <w:t xml:space="preserve">adamjohnson@goodwinlaw.com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0" w:after="0"/>
        <w:jc w:val="left"/>
        <w:rPr>
          <w:rFonts w:ascii="Times New Roman" w:hAnsi="Times New Roman"/>
          <w:sz w:val="20"/>
        </w:rPr>
      </w:pPr>
      <w:r>
        <w:rPr>
          <w:rFonts w:ascii="Times New Roman" w:hAnsi="Times New Roman"/>
          <w:sz w:val="20"/>
        </w:rPr>
        <w:t xml:space="preserve">Attention: Alise Reicin,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areicin@tectonictx.com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   Miguel Vega; Marc Recht; Michael Rohr </w:t>
      </w:r>
    </w:p>
    <w:p>
      <w:pPr>
        <w:pStyle w:val="TextBody"/>
        <w:bidi w:val="0"/>
        <w:spacing w:before="0" w:after="0"/>
        <w:jc w:val="left"/>
        <w:rPr>
          <w:rFonts w:ascii="Times New Roman" w:hAnsi="Times New Roman"/>
          <w:sz w:val="20"/>
        </w:rPr>
      </w:pPr>
      <w:r>
        <w:rPr>
          <w:rFonts w:ascii="Times New Roman" w:hAnsi="Times New Roman"/>
          <w:sz w:val="20"/>
        </w:rPr>
        <w:t xml:space="preserve">E-mail:     mvega@cooley.com; mrecht@cooley.com; mrohr@cooley.com </w:t>
      </w:r>
    </w:p>
    <w:p>
      <w:pPr>
        <w:pStyle w:val="TextBody"/>
        <w:bidi w:val="0"/>
        <w:spacing w:before="120" w:after="0"/>
        <w:jc w:val="left"/>
        <w:rPr>
          <w:rFonts w:ascii="Times New Roman" w:hAnsi="Times New Roman"/>
          <w:sz w:val="20"/>
        </w:rPr>
      </w:pPr>
      <w:bookmarkStart w:id="325" w:name="annxa770053_127"/>
      <w:bookmarkEnd w:id="325"/>
      <w:r>
        <w:rPr>
          <w:rFonts w:ascii="Times New Roman" w:hAnsi="Times New Roman"/>
          <w:sz w:val="20"/>
        </w:rPr>
        <w:t xml:space="preserve">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bookmarkStart w:id="326" w:name="annxa770053_128"/>
      <w:bookmarkEnd w:id="326"/>
      <w:r>
        <w:rPr>
          <w:rFonts w:ascii="Times New Roman" w:hAnsi="Times New Roman"/>
          <w:sz w:val="20"/>
        </w:rPr>
        <w:t xml:space="preserve">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bookmarkStart w:id="327" w:name="annxa770053_129"/>
      <w:bookmarkEnd w:id="327"/>
      <w:r>
        <w:rPr>
          <w:rFonts w:ascii="Times New Roman" w:hAnsi="Times New Roman"/>
          <w:sz w:val="20"/>
        </w:rPr>
        <w:t xml:space="preserve">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bookmarkStart w:id="328" w:name="annxa770053_130"/>
      <w:bookmarkEnd w:id="328"/>
      <w:r>
        <w:rPr>
          <w:rFonts w:ascii="Times New Roman" w:hAnsi="Times New Roman"/>
          <w:sz w:val="20"/>
        </w:rPr>
        <w:t xml:space="preserve">11.11 No </w:t>
      </w:r>
      <w:r>
        <w:rPr>
          <w:rFonts w:ascii="Times New Roman" w:hAnsi="Times New Roman"/>
          <w:sz w:val="20"/>
          <w:u w:val="single"/>
        </w:rPr>
        <w:t>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6.8</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bidi w:val="0"/>
        <w:jc w:val="left"/>
        <w:rPr/>
      </w:pPr>
      <w:r>
        <w:rPr/>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b/>
          <w:sz w:val="20"/>
        </w:rPr>
        <w:t xml:space="preserve"> W</w:t>
      </w:r>
      <w:r>
        <w:rPr>
          <w:rFonts w:ascii="Times New Roman" w:hAnsi="Times New Roman"/>
          <w:b/>
          <w:sz w:val="20"/>
          <w:u w:val="single"/>
        </w:rPr>
        <w:t>ITNESS</w:t>
      </w:r>
      <w:r>
        <w:rPr>
          <w:rFonts w:ascii="Times New Roman" w:hAnsi="Times New Roman"/>
          <w:b/>
          <w:sz w:val="20"/>
        </w:rPr>
        <w:t xml:space="preserve"> W</w:t>
      </w:r>
      <w:r>
        <w:rPr>
          <w:rFonts w:ascii="Times New Roman" w:hAnsi="Times New Roman"/>
          <w:b/>
          <w:sz w:val="20"/>
          <w:u w:val="single"/>
        </w:rPr>
        <w:t>HEREOF</w:t>
      </w:r>
      <w:r>
        <w:rPr>
          <w:rFonts w:ascii="Times New Roman" w:hAnsi="Times New Roman"/>
          <w:b/>
          <w:sz w:val="20"/>
        </w:rPr>
        <w:t>,</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3604" w:type="dxa"/>
        <w:jc w:val="left"/>
        <w:tblInd w:w="0" w:type="dxa"/>
        <w:tblLayout w:type="fixed"/>
        <w:tblCellMar>
          <w:top w:w="0" w:type="dxa"/>
          <w:left w:w="0" w:type="dxa"/>
          <w:bottom w:w="0" w:type="dxa"/>
          <w:right w:w="0" w:type="dxa"/>
        </w:tblCellMar>
      </w:tblPr>
      <w:tblGrid>
        <w:gridCol w:w="2949"/>
        <w:gridCol w:w="289"/>
        <w:gridCol w:w="366"/>
      </w:tblGrid>
      <w:tr>
        <w:trPr/>
        <w:tc>
          <w:tcPr>
            <w:tcW w:w="29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604" w:type="dxa"/>
            <w:gridSpan w:val="3"/>
            <w:tcBorders/>
            <w:vAlign w:val="center"/>
          </w:tcPr>
          <w:p>
            <w:pPr>
              <w:pStyle w:val="TableContents"/>
              <w:bidi w:val="0"/>
              <w:spacing w:before="0" w:after="283"/>
              <w:jc w:val="left"/>
              <w:rPr>
                <w:b/>
              </w:rPr>
            </w:pPr>
            <w:r>
              <w:rPr>
                <w:b/>
              </w:rPr>
              <w:t>AVROBIO, I</w:t>
            </w:r>
            <w:r>
              <w:rPr>
                <w:b/>
                <w:sz w:val="20"/>
                <w:u w:val="single"/>
              </w:rPr>
              <w:t>NC</w:t>
            </w:r>
            <w:r>
              <w:rPr>
                <w:b/>
              </w:rPr>
              <w:t>.</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By:</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Name:</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Title:</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3604" w:type="dxa"/>
            <w:gridSpan w:val="3"/>
            <w:tcBorders/>
            <w:vAlign w:val="center"/>
          </w:tcPr>
          <w:p>
            <w:pPr>
              <w:pStyle w:val="TableContents"/>
              <w:bidi w:val="0"/>
              <w:spacing w:before="0" w:after="283"/>
              <w:jc w:val="left"/>
              <w:rPr>
                <w:sz w:val="4"/>
                <w:szCs w:val="4"/>
              </w:rPr>
            </w:pPr>
            <w:r>
              <w:rPr>
                <w:sz w:val="4"/>
                <w:szCs w:val="4"/>
              </w:rPr>
            </w:r>
          </w:p>
        </w:tc>
      </w:tr>
      <w:tr>
        <w:trPr/>
        <w:tc>
          <w:tcPr>
            <w:tcW w:w="3604" w:type="dxa"/>
            <w:gridSpan w:val="3"/>
            <w:tcBorders/>
            <w:vAlign w:val="center"/>
          </w:tcPr>
          <w:p>
            <w:pPr>
              <w:pStyle w:val="TableContents"/>
              <w:bidi w:val="0"/>
              <w:spacing w:before="0" w:after="283"/>
              <w:jc w:val="left"/>
              <w:rPr>
                <w:b/>
              </w:rPr>
            </w:pPr>
            <w:r>
              <w:rPr>
                <w:b/>
              </w:rPr>
              <w:t>A</w:t>
            </w:r>
            <w:r>
              <w:rPr>
                <w:b/>
                <w:sz w:val="20"/>
                <w:u w:val="single"/>
              </w:rPr>
              <w:t>LPINE</w:t>
            </w:r>
            <w:r>
              <w:rPr>
                <w:b/>
              </w:rPr>
              <w:t xml:space="preserve"> M</w:t>
            </w:r>
            <w:r>
              <w:rPr>
                <w:b/>
                <w:sz w:val="20"/>
                <w:u w:val="single"/>
              </w:rPr>
              <w:t>ERGER</w:t>
            </w:r>
            <w:r>
              <w:rPr>
                <w:b/>
              </w:rPr>
              <w:t xml:space="preserve"> S</w:t>
            </w:r>
            <w:r>
              <w:rPr>
                <w:b/>
                <w:sz w:val="20"/>
                <w:u w:val="single"/>
              </w:rPr>
              <w:t>UBSIDIARY</w:t>
            </w:r>
            <w:r>
              <w:rPr>
                <w:b/>
              </w:rPr>
              <w:t>, I</w:t>
            </w:r>
            <w:r>
              <w:rPr>
                <w:b/>
                <w:sz w:val="20"/>
                <w:u w:val="single"/>
              </w:rPr>
              <w:t>NC</w:t>
            </w:r>
            <w:r>
              <w:rPr>
                <w:b/>
              </w:rPr>
              <w:t>.</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By:</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Name:</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Title:</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b/>
          <w:sz w:val="20"/>
        </w:rPr>
        <w:t xml:space="preserve"> W</w:t>
      </w:r>
      <w:r>
        <w:rPr>
          <w:rFonts w:ascii="Times New Roman" w:hAnsi="Times New Roman"/>
          <w:b/>
          <w:sz w:val="20"/>
          <w:u w:val="single"/>
        </w:rPr>
        <w:t>ITNESS</w:t>
      </w:r>
      <w:r>
        <w:rPr>
          <w:rFonts w:ascii="Times New Roman" w:hAnsi="Times New Roman"/>
          <w:b/>
          <w:sz w:val="20"/>
        </w:rPr>
        <w:t xml:space="preserve"> W</w:t>
      </w:r>
      <w:r>
        <w:rPr>
          <w:rFonts w:ascii="Times New Roman" w:hAnsi="Times New Roman"/>
          <w:b/>
          <w:sz w:val="20"/>
          <w:u w:val="single"/>
        </w:rPr>
        <w:t>HEREOF</w:t>
      </w:r>
      <w:r>
        <w:rPr>
          <w:rFonts w:ascii="Times New Roman" w:hAnsi="Times New Roman"/>
          <w:b/>
          <w:sz w:val="20"/>
        </w:rPr>
        <w:t>,</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3169" w:type="dxa"/>
        <w:jc w:val="left"/>
        <w:tblInd w:w="0" w:type="dxa"/>
        <w:tblLayout w:type="fixed"/>
        <w:tblCellMar>
          <w:top w:w="0" w:type="dxa"/>
          <w:left w:w="0" w:type="dxa"/>
          <w:bottom w:w="0" w:type="dxa"/>
          <w:right w:w="0" w:type="dxa"/>
        </w:tblCellMar>
      </w:tblPr>
      <w:tblGrid>
        <w:gridCol w:w="2590"/>
        <w:gridCol w:w="255"/>
        <w:gridCol w:w="324"/>
      </w:tblGrid>
      <w:tr>
        <w:trPr/>
        <w:tc>
          <w:tcPr>
            <w:tcW w:w="25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vAlign w:val="center"/>
          </w:tcPr>
          <w:p>
            <w:pPr>
              <w:pStyle w:val="TableContents"/>
              <w:bidi w:val="0"/>
              <w:spacing w:before="0" w:after="283"/>
              <w:jc w:val="left"/>
              <w:rPr>
                <w:b/>
              </w:rPr>
            </w:pPr>
            <w:r>
              <w:rPr>
                <w:b/>
              </w:rPr>
              <w:t>T</w:t>
            </w:r>
            <w:r>
              <w:rPr>
                <w:b/>
                <w:sz w:val="20"/>
                <w:u w:val="single"/>
              </w:rPr>
              <w:t>ECTONIC</w:t>
            </w:r>
            <w:r>
              <w:rPr>
                <w:b/>
              </w:rPr>
              <w:t xml:space="preserve"> T</w:t>
            </w:r>
            <w:r>
              <w:rPr>
                <w:b/>
                <w:sz w:val="20"/>
                <w:u w:val="single"/>
              </w:rPr>
              <w:t>HERAPEUTIC</w:t>
            </w:r>
            <w:r>
              <w:rPr>
                <w:b/>
              </w:rPr>
              <w:t>, I</w:t>
            </w:r>
            <w:r>
              <w:rPr>
                <w:b/>
                <w:sz w:val="20"/>
                <w:u w:val="single"/>
              </w:rPr>
              <w:t>NC</w:t>
            </w:r>
            <w:r>
              <w:rPr>
                <w:b/>
              </w:rPr>
              <w:t>.</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579"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pPr>
            <w:r>
              <w:rPr/>
              <w:t>By:</w:t>
            </w:r>
          </w:p>
        </w:tc>
        <w:tc>
          <w:tcPr>
            <w:tcW w:w="255" w:type="dxa"/>
            <w:tcBorders/>
            <w:vAlign w:val="center"/>
          </w:tcPr>
          <w:p>
            <w:pPr>
              <w:pStyle w:val="TableContents"/>
              <w:bidi w:val="0"/>
              <w:spacing w:before="0" w:after="283"/>
              <w:jc w:val="left"/>
              <w:rPr/>
            </w:pPr>
            <w:r>
              <w:rPr/>
              <w:t> </w:t>
            </w:r>
          </w:p>
        </w:tc>
        <w:tc>
          <w:tcPr>
            <w:tcW w:w="324" w:type="dxa"/>
            <w:tcBorders/>
            <w:vAlign w:val="center"/>
          </w:tcPr>
          <w:p>
            <w:pPr>
              <w:pStyle w:val="TableContents"/>
              <w:pBdr>
                <w:bottom w:val="single" w:sz="2" w:space="1" w:color="000000"/>
              </w:pBdr>
              <w:bidi w:val="0"/>
              <w:spacing w:before="0" w:after="20"/>
              <w:jc w:val="left"/>
              <w:rPr/>
            </w:pPr>
            <w:r>
              <w:rPr/>
              <w:t> </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579"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pPr>
            <w:r>
              <w:rPr/>
              <w:t>Name:</w:t>
            </w:r>
          </w:p>
        </w:tc>
        <w:tc>
          <w:tcPr>
            <w:tcW w:w="255" w:type="dxa"/>
            <w:tcBorders/>
            <w:vAlign w:val="center"/>
          </w:tcPr>
          <w:p>
            <w:pPr>
              <w:pStyle w:val="TableContents"/>
              <w:bidi w:val="0"/>
              <w:spacing w:before="0" w:after="283"/>
              <w:jc w:val="left"/>
              <w:rPr/>
            </w:pPr>
            <w:r>
              <w:rPr/>
              <w:t> </w:t>
            </w:r>
          </w:p>
        </w:tc>
        <w:tc>
          <w:tcPr>
            <w:tcW w:w="324" w:type="dxa"/>
            <w:tcBorders/>
            <w:vAlign w:val="center"/>
          </w:tcPr>
          <w:p>
            <w:pPr>
              <w:pStyle w:val="TableContents"/>
              <w:pBdr>
                <w:bottom w:val="single" w:sz="2" w:space="1" w:color="000000"/>
              </w:pBdr>
              <w:bidi w:val="0"/>
              <w:spacing w:before="0" w:after="20"/>
              <w:jc w:val="left"/>
              <w:rPr/>
            </w:pPr>
            <w:r>
              <w:rPr/>
              <w:t> </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579"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pPr>
            <w:r>
              <w:rPr/>
              <w:t>Title:</w:t>
            </w:r>
          </w:p>
        </w:tc>
        <w:tc>
          <w:tcPr>
            <w:tcW w:w="255" w:type="dxa"/>
            <w:tcBorders/>
            <w:vAlign w:val="center"/>
          </w:tcPr>
          <w:p>
            <w:pPr>
              <w:pStyle w:val="TableContents"/>
              <w:bidi w:val="0"/>
              <w:spacing w:before="0" w:after="283"/>
              <w:jc w:val="left"/>
              <w:rPr/>
            </w:pPr>
            <w:r>
              <w:rPr/>
              <w:t> </w:t>
            </w:r>
          </w:p>
        </w:tc>
        <w:tc>
          <w:tcPr>
            <w:tcW w:w="324"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29" w:name="toc770053_202"/>
      <w:bookmarkEnd w:id="329"/>
      <w:r>
        <w:rPr>
          <w:rFonts w:ascii="Times New Roman" w:hAnsi="Times New Roman"/>
          <w:b/>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[LETTERHEAD OF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January 29, 2024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6th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Attn: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Dear 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AVROBIO, Inc. (“AVROBIO”) intends to enter into an Agreement and Plan of Merger and Reorganization (the “Agreement”) among AVROBIO, Alpine Merger Subsidiary, Inc., a wholly owned subsidiary of AVROBIO (“Merger Sub”), and Tectonic Therapeutic, Inc. (“Tectonic”), pursuant to which, among other things, (i) Merger Sub will merge (the “Merger”) with Tectonic, (ii) Tectonic will survive the Merger as a wholly owned subsidiary of AVROBIO, and (iii) AVROBIO will issue, for each share of common stock, par value $0.0001 per share (“Tectonic Common Stock”), of Tectonic outstanding and for each share of preferred stock, par value $0.0001 per share (“Tectonic Preferred Stock” and, together with the Tectonic Common Stock, the “Tectonic Capital Stock”), of Tectonic outstanding, a number (the “Exchange Ratio”) of shares of common stock, par value $0.0001 per share (“AVROBIO Common Stock”), of AVROBIO based on (a) an ascribed aggregate equity value for AVROBIO of $77,500,000, subject to adjustment as provided by the Agreement (as to which adjustment we express no view or opinion), (b) an ascribed aggregate equity value for Tectonic of $140,000,000, (c) proceeds raised in the Concurrent Investment (as defined below) as provided by the Agreement (as to which we express no view or opinion), (d) the number of shares of AVROBIO Common Stock outstanding on a fully diluted, as-converted basis (but excluding out-of-the money options or performance-based RSU awards for which the performance condition has not been met) and, if applicable, giving effect to the Reverse Split (as defined below), and (e) the number of shares of Tectonic Common Stock outstanding on a fully diluted, as-converted basis, after giving effect to the Concurrent Investment. We also understand that certain investors have entered into simple agreements for future equity with Tectonic in the aggregate principal amount of $34,125,000 (the “Tectonic SAFEs” and, the investment contemplated thereby, the “Tectonic SAFE Concurrent Investment”). In addition, we understand that prior to the Merger, (i) the Tectonic SAFEs will be converted into shares of Tectonic Common Stock (the “Tectonic SAFEs Conversion”), (ii) certain investors (including certain current Tectonic shareholders) will purchase (the “Subscription Agreement Concurrent Investment” and, together with the Tectonic SAFE Concurrent Investment, the “Concurrent Investment”) from Tectonic newly issued shares of Tectonic Common Stock pursuant to subscription agreements to be entered into by Tectonic and such investors, which together with the proceeds of the Tectonic SAFE Concurrent Investment, will result in aggregate gross proceeds of $130,725,000, (iii) AVROBIO will declare a distribution (the “Closing Distribution”) to holders of AVROBIO Common Stock of record as of immediately prior to the Merger of the right to receive one contingent value right (each, a “CVR”) for each outstanding share of AVROBIO Common Stock held by such stockholders, each representing the right to receive contingent payments upon the occurrence of certain events set forth in, and subject to and in accordance with the terms and conditions of, a Contingent Value Rights Agreement (the “CVR Agreement”) to be entered into by AVROBIO and the rights agent party thereto, (iv) AVROBIO will effect a reverse split of the outstanding shares of AVROBIO Common Stock (the “Reverse Split”), and (v) AVROBIO may sell, license or otherwise monetize its legacy business (any such transaction, an “AVROBIO Pre-Closing Transaction” and, collectively with the Concurrent Investment, the Closing Distribution and, to the extent effected, the Reverse Split, the “Related Transactions” and the Related Transactions, together with the Merger,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(the “Board”) of AVROBIO has requested that Houlihan Lokey Capital, Inc. (“Houlihan Lokey”) provide an opinion (the “Opinion”) to the Board as to whether, as of the date hereof, the Exchange Ratio provided for in the Merger pursuant to the Agreement, after giving effect to the Related Transactions, is fair, from a financial point of view, to AVROBIO.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made such reviews, analyses and inquiries as we have deemed necessary and appropriate under the circumstances. Among other things, we have: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200"/>
        <w:gridCol w:w="4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January 29, 2024, of the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relating to AVROBIO and Tectonic that we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3.</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relating to the historical, current and future operations, financial condition and prospects of AVROBIO and Tectonic made available to us by AVROBIO and Tectonic, including (i) a liquidation analysis of AVROBIO prepared by management of AVROBIO (the “AVROBIO Liquidation Analysis”) and (ii) information regarding the nature of, and indications to be addressed by, Tectonic’s potential products, the current status and expected future timing of clinical development of Tectonic’s products, and projected cash expenditures for the development of such products (collectively, the “Tectonic Development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spoken with certain members of the managements of AVROBIO and Tectonic regarding the respective businesses, operations, financial condition and prospects of AVROBIO and Tectonic, the Transaction and related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compared the clinical development stage and therapeutic area of focus of Tectonic with that of companies with publicly traded equity securities that we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6.</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solely for informational purposes, considered the publicly available financial terms of certain transactions that we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7.</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the current and historical market prices and trading volume for certain of AVROBIO’s publicly traded equity securities;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8.</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inquiries and considered such other information and factors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AVROBIO has advised us, and we have with your consent relied upon and assumed, that the AVROBIO Liquidation Analysis has been reasonably prepared in good faith on bases reflecting the best currently available estimates and judgments of such management as to (i) the expected realizable value for AVROBIO’s assets, assuming an orderly liquidation of such assets, and (ii) the remaining amounts estimated to be available upon completion of such liquidation for distribution to AVROBIO’s equity holders. In addition, with your consent, we have relied upon and assumed that the Tectonic Development Information has been reasonably prepared in good faith on bases reflecting the best currently available estimates and judgments of Tectonic management as to the nature of, and indications to be addressed by, Tectonic’s potential products and the expected timing and cash expenditures associated with the development of Tectonic’s potential products. We express no view or opinion with respect to the AVROBIO Liquidation Analysis, the Tectonic Development Information or the respective assumptions on which they are based. At your direction, we have assumed that the Liquidation Analysis and the Tectonic Development Information provide a reasonable basis on which to evaluate AVROBIO, Tectonic and the Transaction and we have, at your direction, used and relied upon the Liquidation Analysis and the Tectonic Development Information for purposes of our analysis and this Opinion. In this regard you have advised us, and at your direction we have relied upon and assumed, that (i) AVROBIO has terminated all company-sponsored treatment-related and company-sponsored long-term follow-up clinical studies relating to its AVR-RD-02,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Gaucher disease type 1, program, and company-sponsored long term follow-up studies relating to its AVR-RD-01, or Fabry disease, program, (ii) AVROBIO has terminated its agreements with the University of Manchester for the license and development of a gene therapy for MPSII, or Hunter syndrome, and discontinued its AVR-RD-05, or Hunter syndrome gene therapy program, (iii) AVROBIO sold its cystinosis gene therapy program to Novartis Pharma AG and Novartis Pharmaceuticals Corporation, (iv) as a result, AVROBIO has three gene therapy product candidates, none of which is currently in active clinical development, (v) since inception, AVROBIO has not generated any product revenue and has financed its operations primarily through the private placement of securities and through public offerings of common stock, (vi) AVRIOBIO has suffered significant recurring losses from operations, (vii) in the absence of the Transaction or an alternative strategic transaction, AVROBIO would likely dissolve and liquidate, and (viii) the values AVROBIO receives for its assets in liquidation could be significantly lower than the values reflected in AVROBIO’s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reaching our conclusions hereunder, with your consent, we did not rely upon (i) a discounted cash flow analysis of AVROBIO or Tectonic, because, as you have advised us and directed us to assume, other than the projected cash expenditures for Tectonic included in the Tectonic Development Information, no current, reliable projections with respect to the future financial performance of AVROBIO or Tectonic are available, (ii) we did not rely upon a review of the publicly available financial terms of other transactions, because we did not identify a sufficient number of relevant transactions in which we deemed the acquired companies to be sufficiently similar to AVROBIO or Tectonic and (iii) with respect to AVROBIO, we did not rely upon a review of companies with publicly traded equity securities that we deemed relevant, because we did not identify a sufficient number of relevant companies we deemed to be sufficiently similar to AVROBIO. We have relied upon and assumed, without independent verification, that there has been no change in the businesses, assets, liabilities, financial condition, results of operations, cash flows or prospects of AVROBIO or Tectonic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We have also relied upon and assumed, without independent verification, the assessments of the managements of AVROBIO and Tectonic as to AVROBIO’s and Tectonic’s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we have assumed at your direction that there will be no developments with respect to any such matters that would affect our analyses or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Transaction will be satisfied without waiver thereof, and (d) the Transaction will be consummated in a timely manner in accordance with the terms described in the Agreement and such other related documents and instruments, without any amendments or modifications. We have also assumed, with your consent, that the Merger will qualify as a “reorganization” under Section 368(a) of the Internal Revenue Code of 1986, as amended. We have relied upon and assumed, without independent verification, that (i) the Transaction will be consummated in a manner that complies in all respects with all applicable foreign, federal, state and local statutes, rules and regulations, and (ii) all governmental, regulatory, and other consents and approvals necessary for the consummation of the Transaction will be obtained and that no delay, limitations, restrictions or conditions will be imposed or amendments, modifications or waivers made that would result in the disposition of any assets of AVROBIO or Tectonic, or otherwise have an effect on the Transaction, AVROBIO or Tectonic or any expected benefits of the Transaction that would be material to our analyses or this Opinion. We have also relied upon and assumed, without independent verification, at your direction, that any adjustments to the Exchange Ratio pursuant to the Agreement or otherwise will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to our analyses or this Opinion. In addition, we have relied upon and assumed, without independent verification, that the final form of the Agreement will not differ in any respect from the draft of the Agreement identified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connection with this Opinion, we have not been requested to make, and have not made, any physical inspection or independent appraisal or evaluation of any of the assets, properties or liabilities (fixed, contingent, derivative, off-balance-sheet or otherwise) of AVROBIO, Tectonic or any other party, nor were we provided with any such appraisal or evaluation (other than the AVROBIO Liquidation Analysis provided by AVROBIO management). We did not estimate, and express no opinion regarding, the liquidation value of any entity or business. We have undertaken no independent analysis of any potential or actual litigation, regulatory action, possible unasserted claims or other contingent liabilities, to which AVROBIO or Tectonic is or may be a party or is or may be subject, or of any governmental investigation of any possible unasserted claims or other contingent liabilities to which AVROBIO or Tectonic is or may be a party or is or may be subject. </w:t>
      </w:r>
    </w:p>
    <w:p>
      <w:pPr>
        <w:pStyle w:val="TextBody"/>
        <w:bidi w:val="0"/>
        <w:spacing w:before="240" w:after="0"/>
        <w:jc w:val="left"/>
        <w:rPr>
          <w:rFonts w:ascii="Times New Roman" w:hAnsi="Times New Roman"/>
          <w:sz w:val="20"/>
        </w:rPr>
      </w:pPr>
      <w:r>
        <w:rPr>
          <w:rFonts w:ascii="Times New Roman" w:hAnsi="Times New Roman"/>
          <w:sz w:val="20"/>
        </w:rPr>
        <w:t xml:space="preserve">We have not been requested to, and did not, (a) initiate or participate in any discussions or negotiations with, or solicit any indications of interest from, third parties with respect to the Transaction, the securities, assets, businesses or operations of AVROBIO, Tectonic or any other party, or any alternatives to the Transaction, (b) identify, introduce to the Board, AVROBIO or any other party, or screen for creditworthiness, any prospective investors, lenders or other participants in the Transaction, (c) negotiate the terms of the Transaction, or (d) advise the Board, AVROBIO or any other party with respect to alternatives to the Transaction.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 We are not expressing any opinion as to what the value of the AVROBIO Common Stock actually will be when issued in the Transaction pursuant to the Agreement or the price or range of prices at which AVROBIO Common Stock or Tectonic Capital Stock may be purchased or sold, or otherwise be transferable,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for the use of the Board (in its capacity as such) in connection with its evaluation of the Transaction and may not be used for any other purpose without our prior written consent. This Opinion is not intended to be, and does not constitute, a recommendation to the Board, AVROBIO, any security holder or any other party as to how to act or vote with respect to any matter relating to the Transaction or otherwise, including, without limitation, whether any party should participate in the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AVROBIO, Tectonic, or any other party that may be involved in the Transaction and their respective affiliates or security holders or any currency or commodity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and certain of its affiliates may provide investment banking, financial advisory and/or other financial or consulting services to AVROBIO, Tectonic, other participants in the Transaction or certain of their respective affiliates or security holders in the future, for which Houlihan Lokey and its affiliates may receive compensation. In addition, during the past two years, Houlihan Lokey provided financial advisory services to a group of five engaging clients, of which an affiliate of a security holder of Tectonic was a member, for which Houlihan Lokey received compensation.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AVROBIO, Tectonic, other participants in the Transaction or certain of their respective affiliates or security holders, for which advice and services Houlihan Lokey and its affiliates have received and may receive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receive a fee for rendering this Opinion, no portion of which is contingent upon the successful completion of the Transaction. In addition, AVROBIO has agreed to reimburse certain of our expenses and to indemnify us and certain related parties for certain potential liabilities arising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been requested to opine as to, and this Opinion does not express an opinion as to or otherwise address, among other things: (i) the underlying business decision of the Board, AVROBIO, its security holders or any other party to proceed with or effect the Transaction, (ii) the terms of any arrangements, understandings, agreements or documents related to, or the form, structure or any other portion or aspect of, the Transaction or otherwise (other than the Exchange Ratio to the extent expressly specified herein), including, without limitation, the support agreements or the lock-up agreements to be entered into in connection with the Transaction, the CVRs, the CVR Agreement or any Related Transaction, (iii) the fairness of any portion or aspect of the Transaction to the holders of any class of securities, creditors or other constituencies of AVROBIO or Tectonic, or to any other party (including, without limitation, the potential dilutive or other effects of the Transaction), (iv) the relative merits of the Transaction as compared to any alternative business strategies or transactions that might be available for AVROBIO, Tectonic or any other party, (v) the fairness of any portion or aspect of the Transaction to any one class or group of AVROBIO’s, Tectonic’s or any other party’s security holders or other constituents vis-à-vis any other class or group of AVROBIO’s, Tectonic’s or such other party’s security holders or other constituents (including, without limitation, the allocation of any consideration amongst or within such classes or groups of security holders or other constituents), (vi) the appropriate capital structure of AVROBIO or Tectonic, whether AVROBIO or Tectonic should be issuing debt or equity securities or a combination of both in the Transaction, or the form, structure or any aspect or terms of any debt or equity financing for, or in connection with, the Transaction (including, without limitation, the Concurrent Investment) or the likelihood of obtaining such financing, (vii) the acquisition by any party or group of a controlling interest in AVROBIO, (viii) whether or not AVROBIO, Tectonic, their respective security holders or any other party is receiving or paying reasonably equivalent value in the Transaction, (ix) the solvency, creditworthiness or fair value of AVROBIO, Tectonic or any other participant in the Transaction, or any of their respective assets, under any applicable laws relating to bankruptcy, insolvency, fraudulent conveyance or similar matters, or (x) the fairness, financial or otherwise, of the amount, nature or any other aspect of any compensation to or consideration payable to or received by any officers, directors or employees of any party to the Transaction, any class of such persons or any other party, relative to the Exchange Ratio or otherwise. This Opinion does not address the financial or other implications and effects of the Transaction (including, without limitation, any financing associated therewith) on AVROBIO, any security holders, creditors or other constituencies of AVROBIO, or any other party. Furthermore, we are not expressing any opinion, counsel or interpretation regarding matters that require legal, regulatory, environmental,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AVROBIO and their respective advisors, as to all legal, regulatory, environmental, accounting, insurance, tax and other similar matters with respect to AVROBIO, Tectonic and the Transaction or otherwise. The issuance of this Opinion was approved by a committee authorized to approve opinions of this nature.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in reliance thereon, it is our opinion that, as of the date hereof, the Exchange Ratio provided for in the Merger pursuant to the Agreement, after giving effect to the Related Transactions, is fair, from a financial point of view, to AVROBIO.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CAPITAL,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30" w:name="toc770053_203"/>
      <w:bookmarkEnd w:id="330"/>
      <w:r>
        <w:rPr>
          <w:rFonts w:ascii="Times New Roman" w:hAnsi="Times New Roman"/>
          <w:b/>
          <w:sz w:val="20"/>
        </w:rPr>
        <w:t xml:space="preserve">Annex C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ASPEN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January 30, 2024, by and among Tectonic Therapeutic, Inc., a Delaware corporation (the “</w:t>
      </w:r>
      <w:r>
        <w:rPr>
          <w:rFonts w:ascii="Times New Roman" w:hAnsi="Times New Roman"/>
          <w:sz w:val="20"/>
          <w:u w:val="single"/>
        </w:rPr>
        <w:t>Company</w:t>
      </w:r>
      <w:r>
        <w:rPr>
          <w:rFonts w:ascii="Times New Roman" w:hAnsi="Times New Roman"/>
          <w:sz w:val="20"/>
        </w:rPr>
        <w:t>”), AVROBIO, Inc., a Delaware corporation (“</w:t>
      </w:r>
      <w:r>
        <w:rPr>
          <w:rFonts w:ascii="Times New Roman" w:hAnsi="Times New Roman"/>
          <w:sz w:val="20"/>
          <w:u w:val="single"/>
        </w:rPr>
        <w:t>Aspen</w:t>
      </w:r>
      <w:r>
        <w:rPr>
          <w:rFonts w:ascii="Times New Roman" w:hAnsi="Times New Roman"/>
          <w:sz w:val="20"/>
        </w:rPr>
        <w:t>”), and the undersigned stockholder (the “</w:t>
      </w:r>
      <w:r>
        <w:rPr>
          <w:rFonts w:ascii="Times New Roman" w:hAnsi="Times New Roman"/>
          <w:sz w:val="20"/>
          <w:u w:val="single"/>
        </w:rPr>
        <w:t>Stockholder</w:t>
      </w:r>
      <w:r>
        <w:rPr>
          <w:rFonts w:ascii="Times New Roman" w:hAnsi="Times New Roman"/>
          <w:sz w:val="20"/>
        </w:rPr>
        <w:t xml:space="preserve">”) of Aspen.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Aspen, the Company and Alpine Merger Subsidiary, Inc., a Delaware corporation and a wholly owned subsidiary of Aspen (the “</w:t>
      </w:r>
      <w:r>
        <w:rPr>
          <w:rFonts w:ascii="Times New Roman" w:hAnsi="Times New Roman"/>
          <w:sz w:val="20"/>
          <w:u w:val="single"/>
        </w:rPr>
        <w:t>Merger Sub</w:t>
      </w:r>
      <w:r>
        <w:rPr>
          <w:rFonts w:ascii="Times New Roman" w:hAnsi="Times New Roman"/>
          <w:sz w:val="20"/>
        </w:rPr>
        <w:t>”), have entered into an Agreement and Plan of Merger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surviving the merger as the surviving corporation and a wholly owned subsidiary of Aspen (the “</w:t>
      </w:r>
      <w:r>
        <w:rPr>
          <w:rFonts w:ascii="Times New Roman" w:hAnsi="Times New Roman"/>
          <w:sz w:val="20"/>
          <w:u w:val="single"/>
        </w:rPr>
        <w:t>Merger</w:t>
      </w:r>
      <w:r>
        <w:rPr>
          <w:rFonts w:ascii="Times New Roman" w:hAnsi="Times New Roman"/>
          <w:sz w:val="20"/>
        </w:rPr>
        <w:t xml:space="preserv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Aspen Common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an inducement to the willingness of the Company to enter into the Merger Agreement, the Company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Aspen Stockholder Matters</w:t>
      </w:r>
      <w:r>
        <w:rPr>
          <w:rFonts w:ascii="Times New Roman" w:hAnsi="Times New Roman"/>
          <w:sz w:val="20"/>
        </w:rPr>
        <w:t xml:space="preserve">” means (A) the approval of the issuance of shares of Aspen Common Stock to the stockholders of the Company pursuant to the terms of this Agreement, (B) the approval of an amendment to the Aspen Charter to effect the Nasdaq Reverse Split, (C) the approval of the Equity Plan Proposals, and (D) the approval of an amendment to the Aspen Charter to provide for the exculpation of officers.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Shares</w:t>
      </w:r>
      <w:r>
        <w:rPr>
          <w:rFonts w:ascii="Times New Roman" w:hAnsi="Times New Roman"/>
          <w:sz w:val="20"/>
        </w:rPr>
        <w:t xml:space="preserve">” means (i) all shares of Aspen Common Stock owned, beneficially or of record, by the Stockholder as of the date hereof, and (ii) all additional shares of Aspen Common Stock acquired by the Stockholder, beneficially or of record, during the period commencing with the execution and delivery of this Agreement and expiring on the Closing Date.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Aspen Stockholder Matters and against any Acquisition Proposals.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else herein to the contrary, the Stockholder may, at any time, Transfer Shares (i) by will or other testamentary document or by intestacy, (ii) to any investment fund or other entity controlled or managed by the Stockholder, (iii) to any member of the Stockholder’s immediate family, (iv) to any trust for the direct or indirect benefit of the Stockholder or the immediate family of the Stockholder or otherwise for estate planning purposes, (v) pursuant to a qualified domestic order, (vi) to any charitable organization, (vii) by effecting a “net exercise” of an Aspen Option or a “net settlement” of an Aspen Restricted Stock Unit in which Aspen holds back shares of Aspen Common Stock otherwise issuable (but not the sale of already-owned shares of Aspen Common Stock) either to pay the exercise price upon the exercise of an Aspen Option or settlement of an Aspen Restricted Stock Unit or to satisfy the Stockholder’s tax withholding obligation upon the exercise of an Aspen Option or settlement of an Aspen Restricted Stock Unit, in each case as permitted pursuant to the terms of any Aspen Employee Plan and (viii) with respect to any Stockholder that is an entity, to any Affiliate of such Stockholder or to one or more partners or members of such Stockholder; </w:t>
      </w:r>
      <w:r>
        <w:rPr>
          <w:rFonts w:ascii="Times New Roman" w:hAnsi="Times New Roman"/>
          <w:sz w:val="20"/>
          <w:u w:val="single"/>
        </w:rPr>
        <w:t>provided</w:t>
      </w:r>
      <w:r>
        <w:rPr>
          <w:rFonts w:ascii="Times New Roman" w:hAnsi="Times New Roman"/>
          <w:sz w:val="20"/>
        </w:rPr>
        <w:t xml:space="preserve">, that (x) such Transferred Shares shall continue to be bound by this Agreement and (y) the applicable transferee shall have executed and delivered to Aspen and the Company a support agreement substantially identical to this Agreement upon consummation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Until the Expiration Date, at any meeting of the stockholders of Aspen, however called, and at every adjournment or postponement thereof, and on every action or approval by written consent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stockholders of Aspen with respect to the Aspen Stockholder Matters, the Stockholder shall be present (in person or by proxy) and vote, or exercise its right to consent with respect to, all Shares held by the Stockholder (A) in favor of the Aspen Stockholder Matters, (B) against any Acquisition Proposal, and (C) in favor of an adjournment of the meeting of the stockholders of Aspen, if necessary, to solicit additional proxies if there are not sufficient votes in favor of the Aspen Stockholder Matters.</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Aspen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Notwithstanding anything in this Agreement to the contrary, the Stockholder is entering into this Agreement solely in the Stockholder’s capacity as a record holder and beneficial owner, as applicable, of its Shares and not in the Stockholder’s capacity as a director or officer of Aspen,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Aspen or pursuant to any applicable written consent of the stockholders of Aspen, the Stockholder shall be deemed to have irrevocably granted to, and appointed, Aspen, and any individual designated in writing by Aspen, and each of them individually, as his, her or its proxy and attorney-in-fact (with full power of substitution), for and in its name, place and stead, to vote his, her or its Shares in any action by written consent of Aspen stockholders or at any meeting of the Aspen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Aspen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From and after the date hereof until the Expiration Date, the Stockholder will not, and will not permit any entity under such Stockholder’s control to, take any action that Aspen is prohibited from taking pursuant to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Aspen and the Company to publish and disclose in all documents and schedules filed with the SEC, and any press release or 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Aspen Board, breaches any fiduciary duty of the Aspen Board or any member thereof; </w:t>
      </w:r>
      <w:r>
        <w:rPr>
          <w:rFonts w:ascii="Times New Roman" w:hAnsi="Times New Roman"/>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Aspen.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(i) The Stockholder is the beneficial or record owner of the shares of Aspen Common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or any lock-up agreement entered into by and between the Stockholder, the Company and Aspen); and (ii) the Stockholder does not beneficially own any securities of Aspen other than the shares of Aspen Common Stock and rights to purchase shares Aspen Common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Stockholder that is an entity, the Stockholder is duly organized, validly existing and in good standing under the laws of the jurisdiction of its formation and is qualified to conduct its business in those jurisdictions necessary to perform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(g)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earlier of (a) such date and time as the Merger Agreement shall have been terminated pursuant to the terms thereof, or (b) the Effective Time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w:t>
      </w:r>
      <w:r>
        <w:rPr>
          <w:rFonts w:ascii="Times New Roman" w:hAnsi="Times New Roman"/>
          <w:sz w:val="20"/>
          <w:u w:val="single"/>
        </w:rPr>
        <w:t> Section 11</w:t>
      </w:r>
      <w:r>
        <w:rPr>
          <w:rFonts w:ascii="Times New Roman" w:hAnsi="Times New Roman"/>
          <w:sz w:val="20"/>
        </w:rPr>
        <w:t xml:space="preserve"> shall survive the termination of this Agreement, and (ii) the termination of this Agreement shall not relieve any party hereto from any liability for fraud or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Further Assurances</w:t>
      </w:r>
      <w:r>
        <w:rPr>
          <w:rFonts w:ascii="Times New Roman" w:hAnsi="Times New Roman"/>
          <w:sz w:val="20"/>
        </w:rPr>
        <w:t xml:space="preserve">.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hAnsi="Times New Roman"/>
          <w:sz w:val="20"/>
          <w:u w:val="single"/>
        </w:rPr>
        <w:t>Section 12(c)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12(k)</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hAnsi="Times New Roman"/>
          <w:sz w:val="20"/>
          <w:u w:val="single"/>
        </w:rPr>
        <w:t>Section 12(d)</w:t>
      </w:r>
      <w:r>
        <w:rPr>
          <w:rFonts w:ascii="Times New Roman" w:hAnsi="Times New Roman"/>
          <w:sz w:val="20"/>
        </w:rPr>
        <w:t xml:space="preserve"> is void.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 Party Rights</w:t>
      </w:r>
      <w:r>
        <w:rPr>
          <w:rFonts w:ascii="Times New Roman" w:hAnsi="Times New Roman"/>
          <w:sz w:val="20"/>
        </w:rPr>
        <w:t xml:space="preserve">. This Agreement is not intended to, and shall not, confer upon any other person any rights or remedies hereunder other than the parties hereto to the extent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hAnsi="Times New Roman"/>
          <w:sz w:val="20"/>
          <w:u w:val="single"/>
        </w:rPr>
        <w:t>Section 12(i)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154" w:type="dxa"/>
        <w:jc w:val="left"/>
        <w:tblInd w:w="0" w:type="dxa"/>
        <w:tblLayout w:type="fixed"/>
        <w:tblCellMar>
          <w:top w:w="0" w:type="dxa"/>
          <w:left w:w="0" w:type="dxa"/>
          <w:bottom w:w="0" w:type="dxa"/>
          <w:right w:w="0" w:type="dxa"/>
        </w:tblCellMar>
      </w:tblPr>
      <w:tblGrid>
        <w:gridCol w:w="1409"/>
        <w:gridCol w:w="263"/>
        <w:gridCol w:w="1482"/>
      </w:tblGrid>
      <w:tr>
        <w:trPr/>
        <w:tc>
          <w:tcPr>
            <w:tcW w:w="14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pPr>
            <w:r>
              <w:rPr/>
              <w:t>COMPANY:</w:t>
            </w:r>
          </w:p>
        </w:tc>
      </w:tr>
      <w:tr>
        <w:trPr/>
        <w:tc>
          <w:tcPr>
            <w:tcW w:w="3154" w:type="dxa"/>
            <w:gridSpan w:val="3"/>
            <w:tcBorders/>
            <w:vAlign w:val="center"/>
          </w:tcPr>
          <w:p>
            <w:pPr>
              <w:pStyle w:val="TableContents"/>
              <w:bidi w:val="0"/>
              <w:spacing w:before="0" w:after="283"/>
              <w:jc w:val="left"/>
              <w:rPr/>
            </w:pPr>
            <w:r>
              <w:rPr/>
              <w:t>Tectonic Therapeutic, Inc.</w:t>
            </w:r>
          </w:p>
        </w:tc>
      </w:tr>
      <w:tr>
        <w:trPr/>
        <w:tc>
          <w:tcPr>
            <w:tcW w:w="1409" w:type="dxa"/>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r>
      <w:tr>
        <w:trPr/>
        <w:tc>
          <w:tcPr>
            <w:tcW w:w="1409" w:type="dxa"/>
            <w:tcBorders/>
            <w:vAlign w:val="center"/>
          </w:tcPr>
          <w:p>
            <w:pPr>
              <w:pStyle w:val="TableContents"/>
              <w:bidi w:val="0"/>
              <w:spacing w:before="0" w:after="283"/>
              <w:jc w:val="left"/>
              <w:rPr/>
            </w:pPr>
            <w:r>
              <w:rPr/>
              <w:t>By:</w:t>
            </w:r>
          </w:p>
        </w:tc>
        <w:tc>
          <w:tcPr>
            <w:tcW w:w="263" w:type="dxa"/>
            <w:tcBorders/>
            <w:vAlign w:val="center"/>
          </w:tcPr>
          <w:p>
            <w:pPr>
              <w:pStyle w:val="TableContents"/>
              <w:bidi w:val="0"/>
              <w:spacing w:before="0" w:after="283"/>
              <w:jc w:val="left"/>
              <w:rPr/>
            </w:pPr>
            <w:r>
              <w:rPr/>
              <w:t> </w:t>
            </w:r>
          </w:p>
        </w:tc>
        <w:tc>
          <w:tcPr>
            <w:tcW w:w="1482" w:type="dxa"/>
            <w:tcBorders/>
            <w:vAlign w:val="center"/>
          </w:tcPr>
          <w:p>
            <w:pPr>
              <w:pStyle w:val="TableContents"/>
              <w:pBdr>
                <w:bottom w:val="single" w:sz="2" w:space="1" w:color="000000"/>
              </w:pBdr>
              <w:bidi w:val="0"/>
              <w:spacing w:before="0" w:after="20"/>
              <w:jc w:val="left"/>
              <w:rPr/>
            </w:pPr>
            <w:r>
              <w:rPr/>
              <w:t>  </w:t>
            </w:r>
          </w:p>
        </w:tc>
      </w:tr>
      <w:tr>
        <w:trPr/>
        <w:tc>
          <w:tcPr>
            <w:tcW w:w="3154" w:type="dxa"/>
            <w:gridSpan w:val="3"/>
            <w:tcBorders/>
            <w:vAlign w:val="center"/>
          </w:tcPr>
          <w:p>
            <w:pPr>
              <w:pStyle w:val="TableContents"/>
              <w:bidi w:val="0"/>
              <w:spacing w:before="0" w:after="283"/>
              <w:jc w:val="left"/>
              <w:rPr/>
            </w:pPr>
            <w:r>
              <w:rPr/>
              <w:t>Name:</w:t>
            </w:r>
          </w:p>
        </w:tc>
      </w:tr>
      <w:tr>
        <w:trPr/>
        <w:tc>
          <w:tcPr>
            <w:tcW w:w="3154" w:type="dxa"/>
            <w:gridSpan w:val="3"/>
            <w:tcBorders/>
            <w:vAlign w:val="center"/>
          </w:tcPr>
          <w:p>
            <w:pPr>
              <w:pStyle w:val="TableContents"/>
              <w:bidi w:val="0"/>
              <w:spacing w:before="0" w:after="283"/>
              <w:jc w:val="left"/>
              <w:rPr/>
            </w:pPr>
            <w:r>
              <w:rPr/>
              <w:t>Title:</w:t>
            </w:r>
          </w:p>
        </w:tc>
      </w:tr>
      <w:tr>
        <w:trPr/>
        <w:tc>
          <w:tcPr>
            <w:tcW w:w="3154"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pPr>
            <w:r>
              <w:rPr/>
              <w:t>ASPEN:</w:t>
            </w:r>
          </w:p>
        </w:tc>
      </w:tr>
      <w:tr>
        <w:trPr/>
        <w:tc>
          <w:tcPr>
            <w:tcW w:w="3154" w:type="dxa"/>
            <w:gridSpan w:val="3"/>
            <w:tcBorders/>
            <w:vAlign w:val="center"/>
          </w:tcPr>
          <w:p>
            <w:pPr>
              <w:pStyle w:val="TableContents"/>
              <w:bidi w:val="0"/>
              <w:spacing w:before="0" w:after="283"/>
              <w:jc w:val="left"/>
              <w:rPr/>
            </w:pPr>
            <w:r>
              <w:rPr/>
              <w:t>AVROBIO, Inc.</w:t>
            </w:r>
          </w:p>
        </w:tc>
      </w:tr>
      <w:tr>
        <w:trPr/>
        <w:tc>
          <w:tcPr>
            <w:tcW w:w="1409" w:type="dxa"/>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r>
      <w:tr>
        <w:trPr/>
        <w:tc>
          <w:tcPr>
            <w:tcW w:w="1409" w:type="dxa"/>
            <w:tcBorders/>
            <w:vAlign w:val="center"/>
          </w:tcPr>
          <w:p>
            <w:pPr>
              <w:pStyle w:val="TableContents"/>
              <w:bidi w:val="0"/>
              <w:spacing w:before="0" w:after="283"/>
              <w:jc w:val="left"/>
              <w:rPr/>
            </w:pPr>
            <w:r>
              <w:rPr/>
              <w:t>By:</w:t>
            </w:r>
          </w:p>
        </w:tc>
        <w:tc>
          <w:tcPr>
            <w:tcW w:w="263" w:type="dxa"/>
            <w:tcBorders/>
            <w:vAlign w:val="center"/>
          </w:tcPr>
          <w:p>
            <w:pPr>
              <w:pStyle w:val="TableContents"/>
              <w:bidi w:val="0"/>
              <w:spacing w:before="0" w:after="283"/>
              <w:jc w:val="left"/>
              <w:rPr/>
            </w:pPr>
            <w:r>
              <w:rPr/>
              <w:t> </w:t>
            </w:r>
          </w:p>
        </w:tc>
        <w:tc>
          <w:tcPr>
            <w:tcW w:w="1482" w:type="dxa"/>
            <w:tcBorders/>
            <w:vAlign w:val="center"/>
          </w:tcPr>
          <w:p>
            <w:pPr>
              <w:pStyle w:val="TableContents"/>
              <w:pBdr>
                <w:bottom w:val="single" w:sz="2" w:space="1" w:color="000000"/>
              </w:pBdr>
              <w:bidi w:val="0"/>
              <w:spacing w:before="0" w:after="20"/>
              <w:jc w:val="left"/>
              <w:rPr/>
            </w:pPr>
            <w:r>
              <w:rPr/>
              <w:t>  </w:t>
            </w:r>
          </w:p>
        </w:tc>
      </w:tr>
      <w:tr>
        <w:trPr/>
        <w:tc>
          <w:tcPr>
            <w:tcW w:w="3154" w:type="dxa"/>
            <w:gridSpan w:val="3"/>
            <w:tcBorders/>
            <w:vAlign w:val="center"/>
          </w:tcPr>
          <w:p>
            <w:pPr>
              <w:pStyle w:val="TableContents"/>
              <w:bidi w:val="0"/>
              <w:spacing w:before="0" w:after="283"/>
              <w:jc w:val="left"/>
              <w:rPr/>
            </w:pPr>
            <w:r>
              <w:rPr/>
              <w:t>Name:</w:t>
            </w:r>
          </w:p>
        </w:tc>
      </w:tr>
      <w:tr>
        <w:trPr/>
        <w:tc>
          <w:tcPr>
            <w:tcW w:w="3154" w:type="dxa"/>
            <w:gridSpan w:val="3"/>
            <w:tcBorders/>
            <w:vAlign w:val="center"/>
          </w:tcPr>
          <w:p>
            <w:pPr>
              <w:pStyle w:val="TableContents"/>
              <w:bidi w:val="0"/>
              <w:spacing w:before="0" w:after="283"/>
              <w:jc w:val="left"/>
              <w:rPr/>
            </w:pPr>
            <w:r>
              <w:rPr/>
              <w:t>Title:</w:t>
            </w:r>
          </w:p>
        </w:tc>
      </w:tr>
      <w:tr>
        <w:trPr/>
        <w:tc>
          <w:tcPr>
            <w:tcW w:w="3154"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Email: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31" w:name="toc770053_204"/>
      <w:bookmarkEnd w:id="331"/>
      <w:r>
        <w:rPr>
          <w:rFonts w:ascii="Times New Roman" w:hAnsi="Times New Roman"/>
          <w:b/>
          <w:sz w:val="20"/>
        </w:rPr>
        <w:t xml:space="preserve">Annex D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COMPANY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January 30, 2024, by and among Tectonic Therapeutic, Inc., a Delaware corporation (the “</w:t>
      </w:r>
      <w:r>
        <w:rPr>
          <w:rFonts w:ascii="Times New Roman" w:hAnsi="Times New Roman"/>
          <w:sz w:val="20"/>
          <w:u w:val="single"/>
        </w:rPr>
        <w:t>Company</w:t>
      </w:r>
      <w:r>
        <w:rPr>
          <w:rFonts w:ascii="Times New Roman" w:hAnsi="Times New Roman"/>
          <w:sz w:val="20"/>
        </w:rPr>
        <w:t>”), AVROBIO, Inc., a Delaware corporation (“</w:t>
      </w:r>
      <w:r>
        <w:rPr>
          <w:rFonts w:ascii="Times New Roman" w:hAnsi="Times New Roman"/>
          <w:sz w:val="20"/>
          <w:u w:val="single"/>
        </w:rPr>
        <w:t>Aspen</w:t>
      </w:r>
      <w:r>
        <w:rPr>
          <w:rFonts w:ascii="Times New Roman" w:hAnsi="Times New Roman"/>
          <w:sz w:val="20"/>
        </w:rPr>
        <w:t>”), and the undersigned stockholder (the “</w:t>
      </w:r>
      <w:r>
        <w:rPr>
          <w:rFonts w:ascii="Times New Roman" w:hAnsi="Times New Roman"/>
          <w:sz w:val="20"/>
          <w:u w:val="single"/>
        </w:rPr>
        <w:t>Stockholder</w:t>
      </w:r>
      <w:r>
        <w:rPr>
          <w:rFonts w:ascii="Times New Roman" w:hAnsi="Times New Roman"/>
          <w:sz w:val="20"/>
        </w:rPr>
        <w:t xml:space="preserve">”) of the Company.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Aspen, the Company and Alpine Merger Subsidiary, Inc., a Delaware corporation and a wholly owned subsidiary of Aspen (the “</w:t>
      </w:r>
      <w:r>
        <w:rPr>
          <w:rFonts w:ascii="Times New Roman" w:hAnsi="Times New Roman"/>
          <w:sz w:val="20"/>
          <w:u w:val="single"/>
        </w:rPr>
        <w:t>Merger Sub</w:t>
      </w:r>
      <w:r>
        <w:rPr>
          <w:rFonts w:ascii="Times New Roman" w:hAnsi="Times New Roman"/>
          <w:sz w:val="20"/>
        </w:rPr>
        <w:t>”), have entered into an Agreement and Plan of Merger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surviving the merger as the surviving corporation and a wholly owned subsidiary of Aspen (the “</w:t>
      </w:r>
      <w:r>
        <w:rPr>
          <w:rFonts w:ascii="Times New Roman" w:hAnsi="Times New Roman"/>
          <w:sz w:val="20"/>
          <w:u w:val="single"/>
        </w:rPr>
        <w:t>Merger</w:t>
      </w:r>
      <w:r>
        <w:rPr>
          <w:rFonts w:ascii="Times New Roman" w:hAnsi="Times New Roman"/>
          <w:sz w:val="20"/>
        </w:rPr>
        <w:t xml:space="preserv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Company Capital Stock and Company Convertible Notes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an inducement to the willingness of Aspen to enter into the Merger Agreement, Aspen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Aspen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the Voting Agreement of the Company, dated as of March 31, 2021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else herein to the contrary, the Stockholder may, at any time, Transfer Shares (i) by will or other testamentary document or by intestacy, (ii) to any investment fund or other entity controlled or managed by the Stockholder or the investment adviser of a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(vi) pursuant to a qualified domestic order, (vii) to any charitable organization, or (viii) by effecting a “net exercise” of a Company Option or a “net settlement” of a Company Restricted Stock Unit in which the Company holds back shares of Company Common Stock otherwise issuable (but not the sale of already-owned shares of Company Common Stock) either to pay the exercise price upon the exercise of a Company Option or settlement of a Company Restricted Stock Unit or to satisfy the Stockholder’s tax withholding obligation upon the exercise of a Company Option or settlement of a Company Restricted Stock Unit, in each case as permitted pursuant to the terms of any Company Employee Plan and (ix) with respect to any Stockholder that is an entity, to any Affiliate of such Stockholder or to one or more partners or members of such Stockholder; </w:t>
      </w:r>
      <w:r>
        <w:rPr>
          <w:rFonts w:ascii="Times New Roman" w:hAnsi="Times New Roman"/>
          <w:sz w:val="20"/>
          <w:u w:val="single"/>
        </w:rPr>
        <w:t>provided</w:t>
      </w:r>
      <w:r>
        <w:rPr>
          <w:rFonts w:ascii="Times New Roman" w:hAnsi="Times New Roman"/>
          <w:sz w:val="20"/>
        </w:rPr>
        <w:t xml:space="preserve">, that in the cases of clauses (i)-(vi), (x) such Transferred Shares shall continue to be bound by this Agreement and (y) the applicable direct transferee (if any) of such Transferred Shares shall have executed and delivered to Aspen and the Company a support agreement substantially identical to this Agreement upon consummation of the Transfer or (vii)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 to consent with respect to, all Shares held by the Stockholder (A) to adopt and approve the Merger Agreement, (B) to approve the Contemplated Transactions, (C) to approve an amendment to the Company’ certificate of incorporation to effect the Company Authorized Share Increase, (D) to the extent the Stockholder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 Further, to the extent the Stockholder holds any Company SAFEs, the Stockholder hereby understands that such Company SAFEs shall convert into shares of Company Common Stock in accordance with Section 2.5(g) of the Merger Agreement at the same price per share at which the shares of Company Common Stock is sold pursuant to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Notwithstanding anything in this Agreement to the contrary, the Stockholder is entering into this Agreement solely in the Stockholder’s capacity as the beneficial owner of its Shares and not in the Stockholder’s capacity as a director or officer of the Company,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the Company, and each of them individually, as his, her or its proxy and attorney-in-fact (with full power of substitution), for and in its name, place and stead, to vote his, her or its Shares in any action by written consent of Company stockholders or at any meeting of the Company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The Company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From and after the date hereof until the Expiration Date, the Stockholder will not, and will not permit any entity under such Stockholder’s control to, take any action that the Company is prohibited from taking pursuant to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Aspen and the Company to publish and disclose in all documents and schedules filed with the SEC, and any press release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breaches any duty that the Company Board has (or may be alleged to have) to the Company or to the other Company stockholders; </w:t>
      </w:r>
      <w:r>
        <w:rPr>
          <w:rFonts w:ascii="Times New Roman" w:hAnsi="Times New Roman"/>
          <w:sz w:val="20"/>
          <w:u w:val="single"/>
        </w:rPr>
        <w:t>provided</w:t>
      </w:r>
      <w:r>
        <w:rPr>
          <w:rFonts w:ascii="Times New Roman" w:hAnsi="Times New Roman"/>
          <w:sz w:val="20"/>
        </w:rPr>
        <w:t xml:space="preserve">,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 The Stockholder is the beneficial owner of the shares of Company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free and clear of any and all Encumbrances (except for any Encumbrance that may be imposed pursuant to this Agreement, the Voting Agreement, the Investors’ Rights Agreement of the Company, dated as of March 31, 2021 (the “</w:t>
      </w:r>
      <w:r>
        <w:rPr>
          <w:rFonts w:ascii="Times New Roman" w:hAnsi="Times New Roman"/>
          <w:sz w:val="20"/>
          <w:u w:val="single"/>
        </w:rPr>
        <w:t>Investors’ Rights Agreement</w:t>
      </w:r>
      <w:r>
        <w:rPr>
          <w:rFonts w:ascii="Times New Roman" w:hAnsi="Times New Roman"/>
          <w:sz w:val="20"/>
        </w:rPr>
        <w:t xml:space="preserve">”), or any lock-up agreement entered into by and between the Stockholder, the Company and Aspen); and (ii) the Stockholder does not beneficially own any securities of the Company other than the shares of Company Capital Stock and rights to purchase shares Company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Stockholder that is an entity, the Stockholder is duly organized, validly existing and in good standing under the laws of the jurisdiction of its formation and is qualified to conduct its business in those jurisdictions necessary to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 </w:t>
      </w:r>
    </w:p>
    <w:p>
      <w:pPr>
        <w:pStyle w:val="TextBody"/>
        <w:bidi w:val="0"/>
        <w:spacing w:before="120" w:after="0"/>
        <w:jc w:val="left"/>
        <w:rPr>
          <w:rFonts w:ascii="Times New Roman" w:hAnsi="Times New Roman"/>
          <w:sz w:val="20"/>
        </w:rPr>
      </w:pPr>
      <w:r>
        <w:rPr>
          <w:rFonts w:ascii="Times New Roman" w:hAnsi="Times New Roman"/>
          <w:sz w:val="20"/>
        </w:rPr>
        <w:t xml:space="preserve">(g)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Certain Agreements</w:t>
      </w:r>
      <w:r>
        <w:rPr>
          <w:rFonts w:ascii="Times New Roman" w:hAnsi="Times New Roman"/>
          <w:sz w:val="20"/>
        </w:rPr>
        <w:t xml:space="preserve">. Each Stockholder, by this Agreement, and with respect to such Stockholder’s Shares, severally and not jointly, hereby agrees to terminate, subject to the occurrence of, and effective immediately prior to, the Effective Time, each of (a) the agreements set forth on Appendix B hereto and (b) any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time this Agreement is terminated upon the written agreement of the Stockholder, the Company and Aspen and (c) the Effective Time (the “</w:t>
      </w:r>
      <w:r>
        <w:rPr>
          <w:rFonts w:ascii="Times New Roman" w:hAnsi="Times New Roman"/>
          <w:b/>
          <w:i/>
          <w:sz w:val="20"/>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w:t>
      </w:r>
      <w:r>
        <w:rPr>
          <w:rFonts w:ascii="Times New Roman" w:hAnsi="Times New Roman"/>
          <w:sz w:val="20"/>
          <w:u w:val="single"/>
        </w:rPr>
        <w:t> Section 13</w:t>
      </w:r>
      <w:r>
        <w:rPr>
          <w:rFonts w:ascii="Times New Roman" w:hAnsi="Times New Roman"/>
          <w:sz w:val="20"/>
        </w:rPr>
        <w:t xml:space="preserve">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survive the termination of this Agreement, and (ii) the termination of this Agreement shall not relieve any party hereto from any liability for fraud or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Further Assurances</w:t>
      </w:r>
      <w:r>
        <w:rPr>
          <w:rFonts w:ascii="Times New Roman" w:hAnsi="Times New Roman"/>
          <w:sz w:val="20"/>
        </w:rPr>
        <w:t xml:space="preserve">.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hAnsi="Times New Roman"/>
          <w:sz w:val="20"/>
          <w:u w:val="single"/>
        </w:rPr>
        <w:t>Section 13(c)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13(k)</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hAnsi="Times New Roman"/>
          <w:sz w:val="20"/>
          <w:u w:val="single"/>
        </w:rPr>
        <w:t>Section 13(d)</w:t>
      </w:r>
      <w:r>
        <w:rPr>
          <w:rFonts w:ascii="Times New Roman" w:hAnsi="Times New Roman"/>
          <w:sz w:val="20"/>
        </w:rPr>
        <w:t xml:space="preserve"> is void.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 Party Rights</w:t>
      </w:r>
      <w:r>
        <w:rPr>
          <w:rFonts w:ascii="Times New Roman" w:hAnsi="Times New Roman"/>
          <w:sz w:val="20"/>
        </w:rPr>
        <w:t xml:space="preserve">. This Agreement is not intended to, and shall not, confer upon any other person any rights or remedies hereunder other than the parties hereto to the extent expressly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or as otherwise permitted pursuant to and in accordance with the terms of Section 3.5 of the Investors’ Rights Agreement.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hAnsi="Times New Roman"/>
          <w:sz w:val="20"/>
          <w:u w:val="single"/>
        </w:rPr>
        <w:t>Section 13(i)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No Ownership Interest. Nothing contained in this Agreement shall be deemed to vest in the Company any direct or indirect ownership or incidence of ownership of or with respect to the Shares. All rights, ownership and economic benefits of and relating to the Shares shall remain vested in and below to the Stockholder, and the Company shall have no authority to direct the Stockholder in the voting or disposition of any Shares, expect as specifically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(l) Non-Survival of Representations and Warranties. None of the representations and warranties in this Agreement shall survive the Effective Time.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180" w:type="dxa"/>
        <w:jc w:val="left"/>
        <w:tblInd w:w="0" w:type="dxa"/>
        <w:tblLayout w:type="fixed"/>
        <w:tblCellMar>
          <w:top w:w="0" w:type="dxa"/>
          <w:left w:w="0" w:type="dxa"/>
          <w:bottom w:w="0" w:type="dxa"/>
          <w:right w:w="0" w:type="dxa"/>
        </w:tblCellMar>
      </w:tblPr>
      <w:tblGrid>
        <w:gridCol w:w="2180"/>
      </w:tblGrid>
      <w:tr>
        <w:trPr/>
        <w:tc>
          <w:tcPr>
            <w:tcW w:w="218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COMPANY:</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 Therapeutic, Inc.</w:t>
            </w:r>
          </w:p>
        </w:tc>
      </w:tr>
      <w:tr>
        <w:trPr/>
        <w:tc>
          <w:tcPr>
            <w:tcW w:w="218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pBdr>
                <w:bottom w:val="single" w:sz="2" w:space="1" w:color="000000"/>
              </w:pBdr>
              <w:bidi w:val="0"/>
              <w:spacing w:before="0" w:after="20"/>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c>
          <w:tcPr>
            <w:tcW w:w="218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ASPEN:</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AVROBIO, Inc.</w:t>
            </w:r>
          </w:p>
        </w:tc>
      </w:tr>
      <w:tr>
        <w:trPr/>
        <w:tc>
          <w:tcPr>
            <w:tcW w:w="218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pBdr>
                <w:bottom w:val="single" w:sz="2" w:space="1" w:color="000000"/>
              </w:pBdr>
              <w:bidi w:val="0"/>
              <w:spacing w:before="0" w:after="20"/>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155" w:type="dxa"/>
        <w:jc w:val="left"/>
        <w:tblInd w:w="0" w:type="dxa"/>
        <w:tblLayout w:type="fixed"/>
        <w:tblCellMar>
          <w:top w:w="0" w:type="dxa"/>
          <w:left w:w="0" w:type="dxa"/>
          <w:bottom w:w="0" w:type="dxa"/>
          <w:right w:w="0" w:type="dxa"/>
        </w:tblCellMar>
      </w:tblPr>
      <w:tblGrid>
        <w:gridCol w:w="3155"/>
      </w:tblGrid>
      <w:tr>
        <w:trPr/>
        <w:tc>
          <w:tcPr>
            <w:tcW w:w="315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B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Agreement, dated as of March 31, 2021, by and among Tectonic Therapeutic, Inc., the Stockholder, and the other parties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Right of First Refusal and Co-Sale Agreement, dated as of March 31, 2021, by and among Tectonic Therapeutic, Inc., the Stockholder, and the other parties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Rights Agreement, dated as of March 31, 2021, by and among Tectonic Therapeutic, Inc., the Stockholder, and the other parties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32" w:name="toc770053_205"/>
      <w:bookmarkEnd w:id="332"/>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2024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6th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AVROBIO, Inc., a Delaware corporation (“</w:t>
      </w:r>
      <w:r>
        <w:rPr>
          <w:rFonts w:ascii="Times New Roman" w:hAnsi="Times New Roman"/>
          <w:sz w:val="20"/>
          <w:u w:val="single"/>
        </w:rPr>
        <w:t>Aspen</w:t>
      </w:r>
      <w:r>
        <w:rPr>
          <w:rFonts w:ascii="Times New Roman" w:hAnsi="Times New Roman"/>
          <w:sz w:val="20"/>
        </w:rPr>
        <w:t>”), is entering into an Agreement and Plan of Merger, dated as of January 30, 2024 (as the same may be amended from time to time, the “</w:t>
      </w:r>
      <w:r>
        <w:rPr>
          <w:rFonts w:ascii="Times New Roman" w:hAnsi="Times New Roman"/>
          <w:sz w:val="20"/>
          <w:u w:val="single"/>
        </w:rPr>
        <w:t>Merger Agreement</w:t>
      </w:r>
      <w:r>
        <w:rPr>
          <w:rFonts w:ascii="Times New Roman" w:hAnsi="Times New Roman"/>
          <w:sz w:val="20"/>
        </w:rPr>
        <w:t>”) with Alpine Merger Subsidiary, Inc., a Delaware corporation and a wholly owned subsidiary of Aspen, and Tectonic Therapeutic,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Aspen and the Company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Aspen,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common stock, $0.0001 par value per share, of Aspen (“</w:t>
      </w:r>
      <w:r>
        <w:rPr>
          <w:rFonts w:ascii="Times New Roman" w:hAnsi="Times New Roman"/>
          <w:sz w:val="20"/>
          <w:u w:val="single"/>
        </w:rPr>
        <w:t>Aspen Common Stock</w:t>
      </w:r>
      <w:r>
        <w:rPr>
          <w:rFonts w:ascii="Times New Roman" w:hAnsi="Times New Roman"/>
          <w:sz w:val="20"/>
        </w:rPr>
        <w:t>”) or any securities convertible into or exercisable or exchangeable for shares of Aspen Common Stock (including without limitation, (a) shares of Aspen Common Stock or such other securities of Aspen that may be deemed to be owned of record or beneficially (including holding as a custodian) by the undersigned in accordance with the rules and regulations of the SEC, (b) securities of Aspen which may be issued upon exercise of an option to purchase shares of Aspen Common Stock or warrant to purchase shares of Aspen Common Stock or settlement of a restricted stock unit or restricted stock award and (c) Aspen Common Stock or such other securities to be issued to the undersigned in connection with the Merger that are currently or hereafter owned of record or beneficially (including holding as a custodian)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Aspen Common Stock or other securities, in cash or otherwise; </w:t>
      </w:r>
    </w:p>
    <w:p>
      <w:pPr>
        <w:pStyle w:val="TextBody"/>
        <w:bidi w:val="0"/>
        <w:spacing w:before="12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Aspen Common Stock or any security convertible into or exercisable or exchangeable for shares of Aspen Common Stock (other than such rights set forth in the Merger Agreement or the Subscription Agreement); or </w:t>
      </w:r>
    </w:p>
    <w:p>
      <w:pPr>
        <w:pStyle w:val="TextBody"/>
        <w:bidi w:val="0"/>
        <w:spacing w:before="120" w:after="0"/>
        <w:jc w:val="left"/>
        <w:rPr>
          <w:rFonts w:ascii="Times New Roman" w:hAnsi="Times New Roman"/>
          <w:sz w:val="20"/>
        </w:rPr>
      </w:pPr>
      <w:r>
        <w:rPr>
          <w:rFonts w:ascii="Times New Roman" w:hAnsi="Times New Roman"/>
          <w:sz w:val="20"/>
        </w:rPr>
        <w:t xml:space="preserve">(4) publicly disclose the intention to do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120" w:after="0"/>
        <w:jc w:val="left"/>
        <w:rPr>
          <w:rFonts w:ascii="Times New Roman" w:hAnsi="Times New Roman"/>
          <w:sz w:val="20"/>
        </w:rPr>
      </w:pPr>
      <w:r>
        <w:rPr>
          <w:rFonts w:ascii="Times New Roman" w:hAnsi="Times New Roman"/>
          <w:sz w:val="20"/>
        </w:rPr>
        <w:t xml:space="preserve">(1) (A) to any person related to the undersigned (or related to an ultimate beneficial owner of the undersigned) by blood or adoption who is an immediate family member of the undersigned, or by marriage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domestic partnership (a “</w:t>
      </w:r>
      <w:r>
        <w:rPr>
          <w:rFonts w:ascii="Times New Roman" w:hAnsi="Times New Roman"/>
          <w:sz w:val="20"/>
          <w:u w:val="single"/>
        </w:rPr>
        <w:t>Family Member</w:t>
      </w:r>
      <w:r>
        <w:rPr>
          <w:rFonts w:ascii="Times New Roman" w:hAnsi="Times New Roman"/>
          <w:sz w:val="20"/>
        </w:rPr>
        <w:t xml:space="preserve">”), or to a trust formed for the direct or indirect benefit of the undersigned or any of the undersigned’s Family Members, (B) to the undersigned’s estate, following the death of the undersigned, by will, intestacy or other operation of Law, (C) as a bona fide gift to a charitable organization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 </w:t>
      </w:r>
    </w:p>
    <w:p>
      <w:pPr>
        <w:pStyle w:val="TextBody"/>
        <w:bidi w:val="0"/>
        <w:spacing w:before="240" w:after="0"/>
        <w:jc w:val="left"/>
        <w:rPr>
          <w:rFonts w:ascii="Times New Roman" w:hAnsi="Times New Roman"/>
          <w:sz w:val="20"/>
        </w:rPr>
      </w:pPr>
      <w:r>
        <w:rPr>
          <w:rFonts w:ascii="Times New Roman" w:hAnsi="Times New Roman"/>
          <w:sz w:val="20"/>
        </w:rPr>
        <w:t xml:space="preserve">(2) if the undersigned is a </w:t>
      </w:r>
      <w:r>
        <w:rPr>
          <w:rFonts w:ascii="Times New Roman" w:hAnsi="Times New Roman"/>
          <w:sz w:val="20"/>
          <w:u w:val="single"/>
        </w:rPr>
        <w:t>corporation, partnership, limited liability company or other business entity</w:t>
      </w:r>
      <w:r>
        <w:rPr>
          <w:rFonts w:ascii="Times New Roman" w:hAnsi="Times New Roman"/>
          <w:sz w:val="20"/>
        </w:rPr>
        <w:t>, (A) to another corporation, partnership, limited liability company or other business entity that is a direct or indirect affiliate (as defined under Rule 12b-2 of the Securities Exchange Act of 1934, as amended (the “</w:t>
      </w:r>
      <w:r>
        <w:rPr>
          <w:rFonts w:ascii="Times New Roman" w:hAnsi="Times New Roman"/>
          <w:sz w:val="20"/>
          <w:u w:val="single"/>
        </w:rPr>
        <w:t>Exchange Act</w:t>
      </w:r>
      <w:r>
        <w:rPr>
          <w:rFonts w:ascii="Times New Roman" w:hAnsi="Times New Roman"/>
          <w:sz w:val="20"/>
        </w:rPr>
        <w:t xml:space="preserve">”)) of the undersigned, including investment funds or other business entities that control or manage, are under common control or management with, or are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to a charitable organization or a charitable contribution or otherwise to a trust or other entity for the direct or indirect benefit of a Family Member of a beneficial owner (as defined in Rule 13d-3 of the Exchange Act) of the Undersigned’s Shares or (D) transfers or dispositions not involving a change in beneficial ownership; or </w:t>
      </w:r>
    </w:p>
    <w:p>
      <w:pPr>
        <w:pStyle w:val="TextBody"/>
        <w:bidi w:val="0"/>
        <w:spacing w:before="120" w:after="0"/>
        <w:jc w:val="left"/>
        <w:rPr>
          <w:rFonts w:ascii="Times New Roman" w:hAnsi="Times New Roman"/>
          <w:sz w:val="20"/>
        </w:rPr>
      </w:pPr>
      <w:r>
        <w:rPr>
          <w:rFonts w:ascii="Times New Roman" w:hAnsi="Times New Roman"/>
          <w:sz w:val="20"/>
        </w:rPr>
        <w:t xml:space="preserve">(3) 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1(A), 1(E) or 2(A)) and each donee, heir, beneficiary or other transferee or distributee shall sign and deliver to Aspen a lock-up agreement in substantially the form of this Lock-Up Agreement with respect to the shares of Aspen Common Stock or such other securities that have been so transferred or distributed; </w:t>
      </w:r>
    </w:p>
    <w:p>
      <w:pPr>
        <w:pStyle w:val="TextBody"/>
        <w:bidi w:val="0"/>
        <w:spacing w:before="120" w:after="0"/>
        <w:jc w:val="left"/>
        <w:rPr>
          <w:rFonts w:ascii="Times New Roman" w:hAnsi="Times New Roman"/>
          <w:sz w:val="20"/>
        </w:rPr>
      </w:pPr>
      <w:r>
        <w:rPr>
          <w:rFonts w:ascii="Times New Roman" w:hAnsi="Times New Roman"/>
          <w:sz w:val="20"/>
        </w:rPr>
        <w:t xml:space="preserve">(b) the exercise of an option to purchase shares of Aspen Common Stock (including a net or cashless exercise of an option to purchase shares of Aspen Common Stock), and any related transfer of shares of Aspen Common Stock to Aspen for the purpose of paying the exercise price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Aspen Common Stock issued in connection with such exercise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 transfers to Aspen in connection with the net settlement of any restricted stock unit or other equity award that represents the right to receive in the future shares of Aspen Common Stock, settled in shares of Aspen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Aspen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establishment of a trading plan pursuant to Rule 10b5-1 under the Exchange Act for the transfer of shares of Aspen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Aspen Common Stock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 transfers or sales by the undersigned of shares of Aspen Common Stock purchased by the undersigned on the open market or in a public offering by Aspen, in each case following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transfers pursuant to a bona-fide third party tender offer, merger, consolidation or other similar transaction made to all holders of Aspen’s capital stock involving a change of control of Aspen (including entering into any lock-up, voting or similar agreement pursuant to which the undersigned may agree to transfer, sell, tender or otherwise dispose of shares of Aspen Common Stock (or any security convertible into or exercisable for Aspen Common Stock), or vote any shares of Aspen Common Stock in favor of any such transaction or taking any other action in connection with any such transaction),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transfers by the undersigned of shares of Aspen Common Stock to Aspen in connection with the termination of employment or other termination of the undersigned and pursuant to agreements in effect as of the Effective Time whereby Aspen has the option to repurchase such shares or securities; </w:t>
      </w:r>
    </w:p>
    <w:p>
      <w:pPr>
        <w:pStyle w:val="TextBody"/>
        <w:bidi w:val="0"/>
        <w:spacing w:before="120" w:after="0"/>
        <w:jc w:val="left"/>
        <w:rPr>
          <w:rFonts w:ascii="Times New Roman" w:hAnsi="Times New Roman"/>
          <w:sz w:val="20"/>
        </w:rPr>
      </w:pPr>
      <w:r>
        <w:rPr>
          <w:rFonts w:ascii="Times New Roman" w:hAnsi="Times New Roman"/>
          <w:sz w:val="20"/>
        </w:rPr>
        <w:t xml:space="preserve">(h) transfers pursuant to an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(i) transfers or sales by the undersigned of shares of Aspen Common Stock issued pursuant to the Merger Agreement in respect of shares of the Company purchased from the Company in the Concurrent Investment immediately prior to the Specified Time; or </w:t>
      </w:r>
    </w:p>
    <w:p>
      <w:pPr>
        <w:pStyle w:val="TextBody"/>
        <w:bidi w:val="0"/>
        <w:spacing w:before="120" w:after="0"/>
        <w:jc w:val="left"/>
        <w:rPr>
          <w:rFonts w:ascii="Times New Roman" w:hAnsi="Times New Roman"/>
          <w:sz w:val="20"/>
        </w:rPr>
      </w:pPr>
      <w:r>
        <w:rPr>
          <w:rFonts w:ascii="Times New Roman" w:hAnsi="Times New Roman"/>
          <w:sz w:val="20"/>
        </w:rPr>
        <w:t xml:space="preserve">(j) sales or other transfers with the prior written consent of Aspen.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as the case may be) under Section 16 of the Exchange Act or other public announcement shall be made voluntarily reporting a reduction in beneficial ownership of shares of Aspen Common Stock or in beneficial ownership of any securities convertible into or exercisable or exchangeable for Aspen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Aspen Common Stock in connection with such transfer or distribution, shall be required under applicable federal and state securities laws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Aspen’s voting securities if, after such transfer, Aspen’s stockholders as of immediately prior to such transfer do not hold a majority of the outstanding voting securities of Aspen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Aspen. In furtherance of the foregoing, the undersigned agrees that Aspen and any duly appointed transfer agent for the registration or transfer of the securities described herein are hereby authorized to decline to make any transfer of securities if such transfer would constitute a violation or breach of this Lock-Up Agreement. Aspen may cause the legend set forth below, or a legend substantially equivalent thereto, to be placed upon any certificate(s) or other documents, ledgers or instruments evidencing the undersigned’s ownership of Aspen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Lock-Up Agreement represents a contractual agreement between the parties hereto, and to the extent any term of this Lock-Up Agreement (as amended, supplemented, restated or otherwise modified from time to time) directly conflicts with the terms of Aspen’s bylaws, as amended, the terms of this Lock-Up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terminate automatically, and the undersigned shall automatically be released from all restrictions and obligations under this Lock-Up Agreement upon the earlier of the (i) the expiration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Restricted Period and (ii) if the Merger Agreement is terminated for any reason, upon the date of such termination. The undersigned understands that Aspen and the Company are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herein, any and all remedies herein expressly conferred upon Aspen and the Company will be deemed cumulative with and not exclusive of any other remedy conferred hereby, or by Law or equity, and the exercise by Aspen and/or the Company of any one remedy will not preclude the exercise of any other remedy. The undersigned agrees that irreparable damage for which monetary damages, even if available, would not be an adequate remedy, would occur to Aspen and the Company in the event that any provision of this Lock-Up Agreement was not performed in accordance with its specific terms (including failing to take such actions as are required of it hereunder to consummate this Agreement) or were otherwise breached. It is accordingly agreed that Aspen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Aspen and the Company are entitled at Law or in equity, and the undersigned waives any bond, surety or other security that might be required of Aspen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Aspen’s securities that are subject to a substantially similar agreement entered into by such holder, other than the undersigned, is permitted by Aspen to sell or otherwise transfer or dispose of shares of Aspen Common Stock for value other than as permitted by this or a substantially similar agreement entered into by such holder (whether in one or multiple releases or waivers), the same percentage of shares of Aspen Common Stock held by the undersigned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Aspen to an equity holder or equity holders to sell or otherwise transfer or dispose of all or a portion of such equity holder’s shares of Aspen Common Stock that, when combined with all such other such permissions and early releases granted to such equity holder, represents an amount which exceeds 1% of the number of shares of Aspen Common Stock originally subject to a substantially similar agreement. In the event of any Pro-Rata Release, Aspen shall promptly (and in any event within three (3) business days of such release) inform the undersigned of the terms of such Pro-Rata Release.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Undersigned’s Shares from this Lock-Up Agreement, Aspen shall reasonably cooperate with the undersigned to facilitate the timely preparation and delivery of certificates representing the Undersigned Shares without the restrictive legend above or the withdrawal of any stop transfer instructions by virtue of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counterparts, each of which shall be deemed an original and all of which shall constitute one and the same instrument. The exchange of a fully executed Lock-Up Agreement (in counterparts or otherwise) by all parties by electronic transmission in PDF format shall be sufficient to bind the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bidi w:val="0"/>
        <w:jc w:val="left"/>
        <w:rPr/>
      </w:pPr>
      <w:r>
        <w:rPr/>
      </w:r>
    </w:p>
    <w:tbl>
      <w:tblPr>
        <w:tblW w:w="5259" w:type="dxa"/>
        <w:jc w:val="left"/>
        <w:tblInd w:w="0" w:type="dxa"/>
        <w:tblLayout w:type="fixed"/>
        <w:tblCellMar>
          <w:top w:w="0" w:type="dxa"/>
          <w:left w:w="0" w:type="dxa"/>
          <w:bottom w:w="0" w:type="dxa"/>
          <w:right w:w="0" w:type="dxa"/>
        </w:tblCellMar>
      </w:tblPr>
      <w:tblGrid>
        <w:gridCol w:w="2630"/>
        <w:gridCol w:w="60"/>
        <w:gridCol w:w="928"/>
        <w:gridCol w:w="135"/>
        <w:gridCol w:w="1506"/>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bidi w:val="0"/>
              <w:spacing w:before="0" w:after="283"/>
              <w:jc w:val="left"/>
              <w:rPr/>
            </w:pPr>
            <w:r>
              <w:rPr/>
              <w:t>Very truly yours,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2629"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right"/>
              <w:rPr/>
            </w:pPr>
            <w:r>
              <w:rPr/>
              <w:t>Print Name of Stockholder:</w:t>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pBdr>
                <w:bottom w:val="single" w:sz="2" w:space="1" w:color="000000"/>
              </w:pBdr>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bidi w:val="0"/>
              <w:spacing w:before="0" w:after="283"/>
              <w:jc w:val="left"/>
              <w:rPr/>
            </w:pPr>
            <w:r>
              <w:rPr/>
              <w:t>Signature (for individuals):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pBdr>
                <w:bottom w:val="single" w:sz="2" w:space="1" w:color="000000"/>
              </w:pBdr>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bidi w:val="0"/>
              <w:spacing w:before="0" w:after="283"/>
              <w:jc w:val="left"/>
              <w:rPr/>
            </w:pPr>
            <w:r>
              <w:rPr/>
              <w:t>Signature (for entities):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By: </w:t>
            </w:r>
          </w:p>
        </w:tc>
        <w:tc>
          <w:tcPr>
            <w:tcW w:w="135" w:type="dxa"/>
            <w:tcBorders/>
            <w:vAlign w:val="center"/>
          </w:tcPr>
          <w:p>
            <w:pPr>
              <w:pStyle w:val="TableContents"/>
              <w:bidi w:val="0"/>
              <w:spacing w:before="0" w:after="283"/>
              <w:jc w:val="left"/>
              <w:rPr/>
            </w:pPr>
            <w:r>
              <w:rPr/>
              <w:t> </w:t>
            </w:r>
          </w:p>
        </w:tc>
        <w:tc>
          <w:tcPr>
            <w:tcW w:w="1506" w:type="dxa"/>
            <w:tcBorders/>
            <w:vAlign w:val="center"/>
          </w:tcPr>
          <w:p>
            <w:pPr>
              <w:pStyle w:val="TableContents"/>
              <w:pBdr>
                <w:bottom w:val="single" w:sz="2" w:space="1" w:color="000000"/>
              </w:pBdr>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left"/>
              <w:rPr/>
            </w:pPr>
            <w:r>
              <w:rPr/>
              <w:t>Name:</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bidi w:val="0"/>
        <w:jc w:val="left"/>
        <w:rPr/>
      </w:pPr>
      <w:r>
        <w:rPr/>
      </w:r>
    </w:p>
    <w:tbl>
      <w:tblPr>
        <w:tblW w:w="2590" w:type="dxa"/>
        <w:jc w:val="left"/>
        <w:tblInd w:w="0" w:type="dxa"/>
        <w:tblLayout w:type="fixed"/>
        <w:tblCellMar>
          <w:top w:w="0" w:type="dxa"/>
          <w:left w:w="0" w:type="dxa"/>
          <w:bottom w:w="0" w:type="dxa"/>
          <w:right w:w="0" w:type="dxa"/>
        </w:tblCellMar>
      </w:tblPr>
      <w:tblGrid>
        <w:gridCol w:w="665"/>
        <w:gridCol w:w="60"/>
        <w:gridCol w:w="186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259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AVROBIO,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pBdr>
                <w:bottom w:val="single" w:sz="2" w:space="1" w:color="000000"/>
              </w:pBdr>
              <w:bidi w:val="0"/>
              <w:spacing w:before="0" w:after="2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Erik Ostrowski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Interim CEO, CFO</w:t>
            </w:r>
          </w:p>
        </w:tc>
      </w:tr>
      <w:tr>
        <w:trPr/>
        <w:tc>
          <w:tcPr>
            <w:tcW w:w="259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Tectonic Therapeutic,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pBdr>
                <w:bottom w:val="single" w:sz="2" w:space="1" w:color="000000"/>
              </w:pBdr>
              <w:bidi w:val="0"/>
              <w:spacing w:before="0" w:after="2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33" w:name="toc770053_206"/>
      <w:bookmarkEnd w:id="333"/>
      <w:r>
        <w:rPr>
          <w:rFonts w:ascii="Times New Roman" w:hAnsi="Times New Roman"/>
          <w:b/>
          <w:sz w:val="20"/>
        </w:rPr>
        <w:t xml:space="preserve">Annex F </w:t>
      </w:r>
    </w:p>
    <w:p>
      <w:pPr>
        <w:pStyle w:val="TextBody"/>
        <w:bidi w:val="0"/>
        <w:spacing w:before="240" w:after="0"/>
        <w:jc w:val="right"/>
        <w:rPr>
          <w:rFonts w:ascii="Times New Roman" w:hAnsi="Times New Roman"/>
          <w:b/>
          <w:i/>
          <w:sz w:val="20"/>
        </w:rPr>
      </w:pPr>
      <w:r>
        <w:rPr>
          <w:rFonts w:ascii="Times New Roman" w:hAnsi="Times New Roman"/>
          <w:b/>
          <w:i/>
          <w:sz w:val="20"/>
        </w:rPr>
        <w:t xml:space="preserve">FINAL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CONTINGENT VALUE RIGHTS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CONTINGENT VALUE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[_____], 2024, is entered into by and among AVROBIO, Inc., a Delaware corporation (the “</w:t>
      </w:r>
      <w:r>
        <w:rPr>
          <w:rFonts w:ascii="Times New Roman" w:hAnsi="Times New Roman"/>
          <w:b/>
          <w:sz w:val="20"/>
        </w:rPr>
        <w:t>Company</w:t>
      </w:r>
      <w:r>
        <w:rPr>
          <w:rFonts w:ascii="Times New Roman" w:hAnsi="Times New Roman"/>
          <w:sz w:val="20"/>
        </w:rPr>
        <w:t>”) and [_____], a [_____] corporation (“</w:t>
      </w:r>
      <w:r>
        <w:rPr>
          <w:rFonts w:ascii="Times New Roman" w:hAnsi="Times New Roman"/>
          <w:b/>
          <w:sz w:val="20"/>
        </w:rPr>
        <w:t>Rights Agent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Alpine Merger Subsidiary, Inc., a Delaware corporation and wholly-owned subsidiary of the Company (“</w:t>
      </w:r>
      <w:r>
        <w:rPr>
          <w:rFonts w:ascii="Times New Roman" w:hAnsi="Times New Roman"/>
          <w:b/>
          <w:sz w:val="20"/>
        </w:rPr>
        <w:t>Merger Sub</w:t>
      </w:r>
      <w:r>
        <w:rPr>
          <w:rFonts w:ascii="Times New Roman" w:hAnsi="Times New Roman"/>
          <w:sz w:val="20"/>
        </w:rPr>
        <w:t>”), and Tectonic Therapeutic, Inc., a Delaware corporation (“</w:t>
      </w:r>
      <w:r>
        <w:rPr>
          <w:rFonts w:ascii="Times New Roman" w:hAnsi="Times New Roman"/>
          <w:b/>
          <w:sz w:val="20"/>
        </w:rPr>
        <w:t>Tyrol</w:t>
      </w:r>
      <w:r>
        <w:rPr>
          <w:rFonts w:ascii="Times New Roman" w:hAnsi="Times New Roman"/>
          <w:sz w:val="20"/>
        </w:rPr>
        <w:t>”), have entered into an Agreement and Plan of Merger and Reorganization, dated as of January 30, 2024 (the “</w:t>
      </w:r>
      <w:r>
        <w:rPr>
          <w:rFonts w:ascii="Times New Roman" w:hAnsi="Times New Roman"/>
          <w:b/>
          <w:sz w:val="20"/>
        </w:rPr>
        <w:t>Merger Agreement</w:t>
      </w:r>
      <w:r>
        <w:rPr>
          <w:rFonts w:ascii="Times New Roman" w:hAnsi="Times New Roman"/>
          <w:sz w:val="20"/>
        </w:rPr>
        <w:t xml:space="preserve">”), pursuant to which Merger Sub will merge with and into Tyrol, with Tyrol surviving the Merger as a wholly-owned subsidiary of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and in accordance with the terms and conditions thereof, the Company has agreed to provide to the Holders (as defined herein) contingent value rights as hereinafter described;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have done all things reasonably necessary to make the contingent value rights, when issued pursuant to the Merger Agreement and hereunder, the valid obligations of the Company and to make this Agreement a valid and binding agreement of the Company,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b/>
          <w:sz w:val="20"/>
          <w:u w:val="single"/>
        </w:rPr>
        <w:t>Definitions</w:t>
      </w:r>
      <w:r>
        <w:rPr>
          <w:rFonts w:ascii="Times New Roman" w:hAnsi="Times New Roman"/>
          <w:sz w:val="20"/>
        </w:rPr>
        <w:t xml:space="preserve">. Capitalized terms used but not otherwise defined herein have the meanings ascribed thereto in the Merger Agreement. The following terms have the meanings ascribed to them as follows: </w:t>
      </w:r>
    </w:p>
    <w:p>
      <w:pPr>
        <w:pStyle w:val="TextBody"/>
        <w:bidi w:val="0"/>
        <w:spacing w:before="240" w:after="0"/>
        <w:jc w:val="left"/>
        <w:rPr/>
      </w:pPr>
      <w:r>
        <w:rPr/>
        <w:t>“</w:t>
      </w:r>
      <w:r>
        <w:rPr>
          <w:rFonts w:ascii="Times New Roman" w:hAnsi="Times New Roman"/>
          <w:b/>
          <w:sz w:val="20"/>
        </w:rPr>
        <w:t>Acting Holders</w:t>
      </w:r>
      <w:r>
        <w:rPr>
          <w:rFonts w:ascii="Times New Roman" w:hAnsi="Times New Roman"/>
          <w:sz w:val="20"/>
        </w:rPr>
        <w:t xml:space="preserve">” means, at the time of determination, the Holders of more than 30% of the outstanding CVRs, as reflected on the CVR Register. </w:t>
      </w:r>
    </w:p>
    <w:p>
      <w:pPr>
        <w:pStyle w:val="TextBody"/>
        <w:bidi w:val="0"/>
        <w:spacing w:before="240" w:after="0"/>
        <w:jc w:val="left"/>
        <w:rPr/>
      </w:pPr>
      <w:r>
        <w:rPr/>
        <w:t>“</w:t>
      </w:r>
      <w:r>
        <w:rPr>
          <w:rFonts w:ascii="Times New Roman" w:hAnsi="Times New Roman"/>
          <w:b/>
          <w:sz w:val="20"/>
        </w:rPr>
        <w:t>Assignee</w:t>
      </w:r>
      <w:r>
        <w:rPr>
          <w:rFonts w:ascii="Times New Roman" w:hAnsi="Times New Roman"/>
          <w:sz w:val="20"/>
        </w:rPr>
        <w:t xml:space="preserve">” has the meaning set forth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Calendar Quarter</w:t>
      </w:r>
      <w:r>
        <w:rPr>
          <w:rFonts w:ascii="Times New Roman" w:hAnsi="Times New Roman"/>
          <w:sz w:val="20"/>
        </w:rPr>
        <w:t xml:space="preserve">” means the successive periods of three (3) consecutive calendar months ending on March 31, June 30, September 30 or December 31, for so long as this Agreement is in effect; </w:t>
      </w:r>
      <w:r>
        <w:rPr>
          <w:rFonts w:ascii="Times New Roman" w:hAnsi="Times New Roman"/>
          <w:i/>
          <w:sz w:val="20"/>
        </w:rPr>
        <w:t>provided</w:t>
      </w:r>
      <w:r>
        <w:rPr>
          <w:rFonts w:ascii="Times New Roman" w:hAnsi="Times New Roman"/>
          <w:sz w:val="20"/>
        </w:rPr>
        <w:t xml:space="preserve">, however that (a) the first Calendar Quarter shall commence on the date of this Agreement and shall end on the first such occurrence of a March 31, June 30, September 30 or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 </w:t>
      </w:r>
    </w:p>
    <w:p>
      <w:pPr>
        <w:pStyle w:val="TextBody"/>
        <w:bidi w:val="0"/>
        <w:spacing w:before="240" w:after="0"/>
        <w:jc w:val="left"/>
        <w:rPr/>
      </w:pPr>
      <w:r>
        <w:rPr/>
        <w:t>“</w:t>
      </w:r>
      <w:r>
        <w:rPr>
          <w:rFonts w:ascii="Times New Roman" w:hAnsi="Times New Roman"/>
          <w:b/>
          <w:sz w:val="20"/>
        </w:rPr>
        <w:t>Commercially Reasonable Efforts</w:t>
      </w:r>
      <w:r>
        <w:rPr>
          <w:rFonts w:ascii="Times New Roman" w:hAnsi="Times New Roman"/>
          <w:sz w:val="20"/>
        </w:rPr>
        <w:t xml:space="preserve">” means with respect to the disposition of the Company Pre-Closing Assets, carrying out those obligations and tasks in good faith following receipt of a bona fide indication of interest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proposal from a third party (verbal (provided that any such verbal offer must be subsequently delivered in writing, which the Company shall request) or written) (“</w:t>
      </w:r>
      <w:r>
        <w:rPr>
          <w:rFonts w:ascii="Times New Roman" w:hAnsi="Times New Roman"/>
          <w:b/>
          <w:sz w:val="20"/>
        </w:rPr>
        <w:t>Inbound Interest</w:t>
      </w:r>
      <w:r>
        <w:rPr>
          <w:rFonts w:ascii="Times New Roman" w:hAnsi="Times New Roman"/>
          <w:sz w:val="20"/>
        </w:rPr>
        <w:t xml:space="preserve">”) delivered or otherwise made known to an executive officer or business development officer of the Company, taking into account all commercial and other relevant factors that the Company, exercising good faith, would normally take into account with respect to a disposition of assets; provided that Commercially Reasonable Efforts shall not require the Company to initiate any bona fide sale process or other proactive efforts to identify potential counterparties with respect to any Company Pre-Closing Assets.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$0.0001 par value, of the Company. </w:t>
      </w:r>
    </w:p>
    <w:p>
      <w:pPr>
        <w:pStyle w:val="TextBody"/>
        <w:bidi w:val="0"/>
        <w:spacing w:before="240" w:after="0"/>
        <w:jc w:val="left"/>
        <w:rPr/>
      </w:pPr>
      <w:r>
        <w:rPr/>
        <w:t>“</w:t>
      </w:r>
      <w:r>
        <w:rPr>
          <w:rFonts w:ascii="Times New Roman" w:hAnsi="Times New Roman"/>
          <w:b/>
          <w:sz w:val="20"/>
        </w:rPr>
        <w:t>Company Pre-Closing Assets</w:t>
      </w:r>
      <w:r>
        <w:rPr>
          <w:rFonts w:ascii="Times New Roman" w:hAnsi="Times New Roman"/>
          <w:sz w:val="20"/>
        </w:rPr>
        <w:t xml:space="preserve">” means those assets of the Company, to the extent existing as of immediately prior to the Closing, relating to (a) the Company’s plato manufacturing platform, (b) the Company’s AVR-RD-01 (Fabry), AVR-RD-02 (Gaucher), and/or AVR-RD-03 (Pompe) research and development programs, and (c) the Company’s Intellectual Property set forth in Section 4.12(a) of the Aspen Disclosure Schedule. </w:t>
      </w:r>
    </w:p>
    <w:p>
      <w:pPr>
        <w:pStyle w:val="TextBody"/>
        <w:bidi w:val="0"/>
        <w:spacing w:before="240" w:after="0"/>
        <w:jc w:val="left"/>
        <w:rPr/>
      </w:pPr>
      <w:r>
        <w:rPr/>
        <w:t>“</w:t>
      </w:r>
      <w:r>
        <w:rPr>
          <w:rFonts w:ascii="Times New Roman" w:hAnsi="Times New Roman"/>
          <w:b/>
          <w:sz w:val="20"/>
        </w:rPr>
        <w:t>CVR</w:t>
      </w:r>
      <w:r>
        <w:rPr>
          <w:rFonts w:ascii="Times New Roman" w:hAnsi="Times New Roman"/>
          <w:sz w:val="20"/>
        </w:rPr>
        <w:t xml:space="preserve">” means a contingent contractual right of Holders to receive CVR Payments pursuant to the Merger Agreement and this Agreement. </w:t>
      </w:r>
    </w:p>
    <w:p>
      <w:pPr>
        <w:pStyle w:val="TextBody"/>
        <w:bidi w:val="0"/>
        <w:spacing w:before="240" w:after="0"/>
        <w:jc w:val="left"/>
        <w:rPr/>
      </w:pPr>
      <w:r>
        <w:rPr/>
        <w:t>“</w:t>
      </w:r>
      <w:r>
        <w:rPr>
          <w:rFonts w:ascii="Times New Roman" w:hAnsi="Times New Roman"/>
          <w:b/>
          <w:sz w:val="20"/>
        </w:rPr>
        <w:t>CVR Payment</w:t>
      </w:r>
      <w:r>
        <w:rPr>
          <w:rFonts w:ascii="Times New Roman" w:hAnsi="Times New Roman"/>
          <w:sz w:val="20"/>
        </w:rPr>
        <w:t xml:space="preserve">” means a cash payment equal to eighty percent (80%) of the Net Proceeds received by the Company in a given Calendar Quarter during the CVR Term, with the remaining twenty percent (20%) being retained by the Company.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with respect to each CVR Payment and each Holder, an amount equal to such CVR Payment divided by the total number of CVRs and then multiplied by the total number of CVRs held by such Holder as reflected on the CVR Register. </w:t>
      </w:r>
    </w:p>
    <w:p>
      <w:pPr>
        <w:pStyle w:val="TextBody"/>
        <w:bidi w:val="0"/>
        <w:spacing w:before="240" w:after="0"/>
        <w:jc w:val="left"/>
        <w:rPr/>
      </w:pPr>
      <w:r>
        <w:rPr/>
        <w:t>“</w:t>
      </w:r>
      <w:r>
        <w:rPr>
          <w:rFonts w:ascii="Times New Roman" w:hAnsi="Times New Roman"/>
          <w:b/>
          <w:sz w:val="20"/>
        </w:rPr>
        <w:t>CVR Payment Period</w:t>
      </w:r>
      <w:r>
        <w:rPr>
          <w:rFonts w:ascii="Times New Roman" w:hAnsi="Times New Roman"/>
          <w:sz w:val="20"/>
        </w:rPr>
        <w:t xml:space="preserve">” means a period equal to a Calendar Quarter ending at any time after the effective date of a Disposition Agreement. </w:t>
      </w:r>
    </w:p>
    <w:p>
      <w:pPr>
        <w:pStyle w:val="TextBody"/>
        <w:bidi w:val="0"/>
        <w:spacing w:before="240" w:after="0"/>
        <w:jc w:val="left"/>
        <w:rPr/>
      </w:pPr>
      <w:r>
        <w:rPr/>
        <w:t>“</w:t>
      </w:r>
      <w:r>
        <w:rPr>
          <w:rFonts w:ascii="Times New Roman" w:hAnsi="Times New Roman"/>
          <w:b/>
          <w:sz w:val="20"/>
        </w:rPr>
        <w:t>CVR Payment Statement</w:t>
      </w:r>
      <w:r>
        <w:rPr>
          <w:rFonts w:ascii="Times New Roman" w:hAnsi="Times New Roman"/>
          <w:sz w:val="20"/>
        </w:rPr>
        <w:t xml:space="preserve">” means, for a given CVR Payment Period during the CVR Term, a written statement of the Company, signed on behalf of the Company, setting forth in reasonable detail the calculation of the applicable CVR Payment for such CVR Payment Period. </w:t>
      </w:r>
    </w:p>
    <w:p>
      <w:pPr>
        <w:pStyle w:val="TextBody"/>
        <w:bidi w:val="0"/>
        <w:spacing w:before="240" w:after="0"/>
        <w:jc w:val="left"/>
        <w:rPr/>
      </w:pPr>
      <w:r>
        <w:rPr/>
        <w:t>“</w:t>
      </w:r>
      <w:r>
        <w:rPr>
          <w:rFonts w:ascii="Times New Roman" w:hAnsi="Times New Roman"/>
          <w:b/>
          <w:sz w:val="20"/>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Term</w:t>
      </w:r>
      <w:r>
        <w:rPr>
          <w:rFonts w:ascii="Times New Roman" w:hAnsi="Times New Roman"/>
          <w:sz w:val="20"/>
        </w:rPr>
        <w:t xml:space="preserve">” means the period beginning on the Closing and ending upon the tenth (10th) anniversary of this Agreement. </w:t>
      </w:r>
    </w:p>
    <w:p>
      <w:pPr>
        <w:pStyle w:val="TextBody"/>
        <w:bidi w:val="0"/>
        <w:spacing w:before="240" w:after="0"/>
        <w:jc w:val="left"/>
        <w:rPr/>
      </w:pPr>
      <w:r>
        <w:rPr/>
        <w:t>“</w:t>
      </w:r>
      <w:r>
        <w:rPr>
          <w:rFonts w:ascii="Times New Roman" w:hAnsi="Times New Roman"/>
          <w:b/>
          <w:sz w:val="20"/>
        </w:rPr>
        <w:t>Disposition</w:t>
      </w:r>
      <w:r>
        <w:rPr>
          <w:rFonts w:ascii="Times New Roman" w:hAnsi="Times New Roman"/>
          <w:sz w:val="20"/>
        </w:rPr>
        <w:t>” or “</w:t>
      </w:r>
      <w:r>
        <w:rPr>
          <w:rFonts w:ascii="Times New Roman" w:hAnsi="Times New Roman"/>
          <w:b/>
          <w:sz w:val="20"/>
        </w:rPr>
        <w:t>Dispose</w:t>
      </w:r>
      <w:r>
        <w:rPr>
          <w:rFonts w:ascii="Times New Roman" w:hAnsi="Times New Roman"/>
          <w:sz w:val="20"/>
        </w:rPr>
        <w:t xml:space="preserve">” means the direct or indirect sale, license, assignment, transfer, conveyance, grant of any option or other disposition of any Company Pre-Closing Asset by the Company or its Affiliates (including any such sale or disposition of equity securities in any Subsidiary established by the Company or its Affiliates to hold any right, title or interest in or to any Company Pre-Closing Asset), in each case, during the Disposition Period. </w:t>
      </w:r>
    </w:p>
    <w:p>
      <w:pPr>
        <w:pStyle w:val="TextBody"/>
        <w:bidi w:val="0"/>
        <w:spacing w:before="240" w:after="0"/>
        <w:jc w:val="left"/>
        <w:rPr/>
      </w:pPr>
      <w:r>
        <w:rPr/>
        <w:t>“</w:t>
      </w:r>
      <w:r>
        <w:rPr>
          <w:rFonts w:ascii="Times New Roman" w:hAnsi="Times New Roman"/>
          <w:b/>
          <w:sz w:val="20"/>
        </w:rPr>
        <w:t>Disposition Agreement</w:t>
      </w:r>
      <w:r>
        <w:rPr>
          <w:rFonts w:ascii="Times New Roman" w:hAnsi="Times New Roman"/>
          <w:sz w:val="20"/>
        </w:rPr>
        <w:t xml:space="preserve">” means a definitive written agreement providing for a transaction or series of transactions between the Company or its Affiliates and any Person who is not an Affiliate of the Company regarding a Disposition of the Company Pre-Closing Assets. </w:t>
      </w:r>
    </w:p>
    <w:p>
      <w:pPr>
        <w:pStyle w:val="TextBody"/>
        <w:bidi w:val="0"/>
        <w:spacing w:before="240" w:after="0"/>
        <w:jc w:val="left"/>
        <w:rPr/>
      </w:pPr>
      <w:r>
        <w:rPr/>
        <w:t>“</w:t>
      </w:r>
      <w:r>
        <w:rPr>
          <w:rFonts w:ascii="Times New Roman" w:hAnsi="Times New Roman"/>
          <w:b/>
          <w:sz w:val="20"/>
        </w:rPr>
        <w:t>Disposition Period</w:t>
      </w:r>
      <w:r>
        <w:rPr>
          <w:rFonts w:ascii="Times New Roman" w:hAnsi="Times New Roman"/>
          <w:sz w:val="20"/>
        </w:rPr>
        <w:t xml:space="preserve">” means the period beginning on the execution date of the Merger Agreement and ending on the date that is eighteen (18) months after the Closing Date.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b/>
          <w:sz w:val="20"/>
        </w:rPr>
        <w:t>Gross Proceeds</w:t>
      </w:r>
      <w:r>
        <w:rPr>
          <w:rFonts w:ascii="Times New Roman" w:hAnsi="Times New Roman"/>
          <w:sz w:val="20"/>
        </w:rPr>
        <w:t xml:space="preserve">” means, without duplication, the sum of all cash consideration and the value of any marketable consideration actually received by the Company or any of its Affiliates during the CVR Term with respect to a Disposition, solely as such consideration relates to a Company Pre-Closing Asset. The value of any marketable securities (whether debt or equity) or other non-cash property constituting Gross Proceeds shall be determined as follows: (i) if a value was ascribed to any such securities or property in connection with such Disposition, such value so ascribed or (ii) if no value was ascribed, then (A) the value of securities for which there is an established public market shall be equal to the volume weighted average of their closing market prices for the thirty (30) trading days ending the day prior to the date of payment to, or receipt by the Company or its relevant Affiliate, and (B) the value of securities that have no established public market and the value of consideration that consists of other non-cash property, shall be the fair market value thereof as of the date of payment to, or receipt by, the Company or its relevant Affiliate.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at the relevant time, a Person in whose name CVRs are registered in the CVR Register. </w:t>
      </w:r>
    </w:p>
    <w:p>
      <w:pPr>
        <w:pStyle w:val="TextBody"/>
        <w:bidi w:val="0"/>
        <w:spacing w:before="240" w:after="0"/>
        <w:jc w:val="left"/>
        <w:rPr/>
      </w:pPr>
      <w:r>
        <w:rPr/>
        <w:t>“</w:t>
      </w:r>
      <w:r>
        <w:rPr>
          <w:rFonts w:ascii="Times New Roman" w:hAnsi="Times New Roman"/>
          <w:b/>
          <w:sz w:val="20"/>
        </w:rPr>
        <w:t>Loss</w:t>
      </w:r>
      <w:r>
        <w:rPr>
          <w:rFonts w:ascii="Times New Roman" w:hAnsi="Times New Roman"/>
          <w:sz w:val="20"/>
        </w:rPr>
        <w:t xml:space="preserve">” has the meaning set forth in </w:t>
      </w:r>
      <w:r>
        <w:rPr>
          <w:rFonts w:ascii="Times New Roman" w:hAnsi="Times New Roman"/>
          <w:sz w:val="20"/>
          <w:u w:val="single"/>
        </w:rPr>
        <w:t>Section 3.2(g)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for any CVR Payment Period, Gross Proceeds minus Permitted Deductions, all as calculated, to the extent in accordance with GAAP, in a manner consistent with the Company’s accounting practices in the most recently filed annual audited financial statements with the SEC, except as otherwise set forth herein. For clarity, to the extent Permitted Deductions exceed Gross Proceeds for any CVR Payment Period, any excess Permitted Deductions shall be applied against Gross Proceeds in subsequent CVR Payment Periods. </w:t>
      </w:r>
    </w:p>
    <w:p>
      <w:pPr>
        <w:pStyle w:val="TextBody"/>
        <w:bidi w:val="0"/>
        <w:spacing w:before="240" w:after="0"/>
        <w:jc w:val="left"/>
        <w:rPr/>
      </w:pPr>
      <w:r>
        <w:rPr/>
        <w:t>“</w:t>
      </w:r>
      <w:r>
        <w:rPr>
          <w:rFonts w:ascii="Times New Roman" w:hAnsi="Times New Roman"/>
          <w:b/>
          <w:sz w:val="20"/>
        </w:rPr>
        <w:t>Notice</w:t>
      </w:r>
      <w:r>
        <w:rPr>
          <w:rFonts w:ascii="Times New Roman" w:hAnsi="Times New Roman"/>
          <w:sz w:val="20"/>
        </w:rPr>
        <w:t xml:space="preserve">” has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and the chief financial officer of the Company, in their respective official capacities.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xml:space="preserve">” means the Company or the Rights Agent.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 (including any applicable value added, transfer, stamp or sales taxes) imposed on Gross Proceeds and payable by Tyrol, the Company or any of their respective Affiliates (regardless of whether the due date for such Taxes arises during or after the Disposition Period) and, without duplication, any income or other similar Taxes payable by Tyrol, the Company or any of their respective Affiliates that would not have been incurred by Tyrol, the Company or any of their respective Affiliates but for the Gross Proceeds; provided that, for purposes of calculating income Taxes incurred by Tyrol, the Company or any of their respective Affiliates in respect of the Gross Proceeds, any such income Taxes shall be computed (i) assuming that the only items of gross income of Tyrol, the Company and their subsidiaries are the applicable items of Gross Proceeds (for the avoidance of doubt, assuming that such items of Gross Proceeds are taxable in the hands of Tyrol, the Company or their subsidiaries, as applicable, no later than the taxable year that includes the corresponding CVR Payment Amount), (ii) assuming that the only items of expenses, losses, credits or other deductions of Tyrol, the Company and their subsidiaries are those items of expense, loss, credit and deduction (including net operating loss carryforwards or other Tax attributes) of the Company or its Affiliates existing as of immediately prior to the Closing for U.S. federal income tax purposes and applicable state and local income tax purposes that are actually usable by Tyrol, the Company or their subsidiaries, as applicable, in the tax year of receipt of the applicable items of Gross Proceeds, to the extent such net operating loss carryforwards and other items are permitted by Law to be, and are, taken as a deduction in such taxable year (for the sake of clarity, (1) taking into account any limits on the usability of such attributes, including under Section 382 of the Code as determined by the Company’s tax advisers, including, but not limited to, as a result of the transactions contemplated by the Merger Agreement and (2) excluding any net operating losses or other Tax attributes generated by Tyrol, the Company or any of their respective Affiliates after the Closing, including by reason of any acquisition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(iii) all such items of Gross Proceeds are taxed in the hands of Tyrol, the Company or their subsidiaries, as applicable, at the highest applicable marginal income or other similar U.S. federal, state, local and non-U.S. tax rate; </w:t>
      </w:r>
    </w:p>
    <w:p>
      <w:pPr>
        <w:pStyle w:val="TextBody"/>
        <w:bidi w:val="0"/>
        <w:spacing w:before="120" w:after="0"/>
        <w:jc w:val="left"/>
        <w:rPr>
          <w:rFonts w:ascii="Times New Roman" w:hAnsi="Times New Roman"/>
          <w:sz w:val="20"/>
        </w:rPr>
      </w:pPr>
      <w:r>
        <w:rPr>
          <w:rFonts w:ascii="Times New Roman" w:hAnsi="Times New Roman"/>
          <w:sz w:val="20"/>
        </w:rPr>
        <w:t xml:space="preserve">(b) any reasonable and documented out-of-pocket costs and expenses incurred by the Company or any of its Affiliates in respect to its performance of this Agreement following the Closing, including any costs related to the prosecution, maintenance or enforcement by the Company or any of its Subsidiaries of intellectual property rights (but excluding any costs related to a breach of this Agreement, including costs incurred in litigation in respect of the same); </w:t>
      </w:r>
    </w:p>
    <w:p>
      <w:pPr>
        <w:pStyle w:val="TextBody"/>
        <w:bidi w:val="0"/>
        <w:spacing w:before="120" w:after="0"/>
        <w:jc w:val="left"/>
        <w:rPr>
          <w:rFonts w:ascii="Times New Roman" w:hAnsi="Times New Roman"/>
          <w:sz w:val="20"/>
        </w:rPr>
      </w:pPr>
      <w:r>
        <w:rPr>
          <w:rFonts w:ascii="Times New Roman" w:hAnsi="Times New Roman"/>
          <w:sz w:val="20"/>
        </w:rPr>
        <w:t xml:space="preserve">(c) any reasonable and documented out-of-pocket expenses incurred or accrued by the Company or any of its Affiliates in connection with the negotiation, entry into and closing of any Disposition of any Company Pre-Closing Asset, including any brokerage fee, finder’s fee, opinion fee, success fee, transaction fee, service fee or other fee, commission or expense owed to any broker, finder, investment bank, auditor, accountant, counsel, advisor or other third party in relation thereto; </w:t>
      </w:r>
    </w:p>
    <w:p>
      <w:pPr>
        <w:pStyle w:val="TextBody"/>
        <w:bidi w:val="0"/>
        <w:spacing w:before="240" w:after="0"/>
        <w:jc w:val="left"/>
        <w:rPr>
          <w:rFonts w:ascii="Times New Roman" w:hAnsi="Times New Roman"/>
          <w:sz w:val="20"/>
        </w:rPr>
      </w:pPr>
      <w:r>
        <w:rPr>
          <w:rFonts w:ascii="Times New Roman" w:hAnsi="Times New Roman"/>
          <w:sz w:val="20"/>
        </w:rPr>
        <w:t xml:space="preserve">(d) (i) any Losses actually incurred, and actually paid or actually payable, or reasonably expected to be incurred and subsequently actually paid by the Company or any of its Subsidiaries arising out of any third-party claims, demands, actions, or other proceedings related to or in connection with any Disposition or any Company Pre-Closing Assets and, without duplication, (ii) an amount that would reasonably be payable under any obligations of the Company or any of its Subsidiaries in respect of contingent or indemnification obligations provided for in any Disposition Agreement; provided that any amounts deducted pursuant to this clause (d) shall be held back by the Company in a separate account for the benefit of the Holders and to the extent such amounts have not been paid in respect of such third-party proceedings or such contingent or indemnification obligations (as applicable) upon the final resolution of such third-party proceedings or the lapse in survival of such contingent or indemnification obligations (provided that in the case of contingent or indemnification obligations that continue indefinitely pursuant to their terms, such lapse of survival shall be deemed to have occurred three (3) years after the commencement of such obligations) (as applicable), in each case prior to the end of the CVR Term, then such amounts shall be paid over to the Rights Agent within fifteen (15) Business Days of such final resolution or such lapse (as applicable) for further distribution to the Holders; and </w:t>
      </w:r>
    </w:p>
    <w:p>
      <w:pPr>
        <w:pStyle w:val="TextBody"/>
        <w:bidi w:val="0"/>
        <w:spacing w:before="120" w:after="0"/>
        <w:jc w:val="left"/>
        <w:rPr>
          <w:rFonts w:ascii="Times New Roman" w:hAnsi="Times New Roman"/>
          <w:sz w:val="20"/>
        </w:rPr>
      </w:pPr>
      <w:r>
        <w:rPr>
          <w:rFonts w:ascii="Times New Roman" w:hAnsi="Times New Roman"/>
          <w:sz w:val="20"/>
        </w:rPr>
        <w:t xml:space="preserve">(e) any proceeds in consideration for a Disposition pursuant to a Disposition Agreement included in the final determination of Aspen Net Cash in accordance with the Merger Agreement.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the Rights Agent pursuant to the applicable provisions of this Agreement, and thereafter “Rights Agent” will mean such successor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 </w:t>
      </w:r>
      <w:r>
        <w:rPr>
          <w:rFonts w:ascii="Times New Roman" w:hAnsi="Times New Roman"/>
          <w:b/>
          <w:sz w:val="20"/>
          <w:u w:val="single"/>
        </w:rPr>
        <w:t>Holders of CVRs; Appointment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CVRs represent the rights of Holders to receive CVR Payments pursuant to this Agreement. The initial Holders will be the holders of issued and outstanding shares of Common Stock as of immediately prior to the Effective Time (the “</w:t>
      </w:r>
      <w:r>
        <w:rPr>
          <w:rFonts w:ascii="Times New Roman" w:hAnsi="Times New Roman"/>
          <w:b/>
          <w:sz w:val="20"/>
        </w:rPr>
        <w:t>Specified Time</w:t>
      </w:r>
      <w:r>
        <w:rPr>
          <w:rFonts w:ascii="Times New Roman" w:hAnsi="Times New Roman"/>
          <w:sz w:val="20"/>
        </w:rPr>
        <w:t xml:space="preserve">”) (including, for the avoidance of doubt, those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issued upon settlement of Aspen Restricted Stock Units pursuant to Section 6.7 of the Merger Agreement) (the “</w:t>
      </w:r>
      <w:r>
        <w:rPr>
          <w:rFonts w:ascii="Times New Roman" w:hAnsi="Times New Roman"/>
          <w:b/>
          <w:sz w:val="20"/>
        </w:rPr>
        <w:t>Eligible Holders</w:t>
      </w:r>
      <w:r>
        <w:rPr>
          <w:rFonts w:ascii="Times New Roman" w:hAnsi="Times New Roman"/>
          <w:sz w:val="20"/>
        </w:rPr>
        <w:t>” and such shares, the “</w:t>
      </w:r>
      <w:r>
        <w:rPr>
          <w:rFonts w:ascii="Times New Roman" w:hAnsi="Times New Roman"/>
          <w:b/>
          <w:sz w:val="20"/>
        </w:rPr>
        <w:t>Eligible Shares</w:t>
      </w:r>
      <w:r>
        <w:rPr>
          <w:rFonts w:ascii="Times New Roman" w:hAnsi="Times New Roman"/>
          <w:sz w:val="20"/>
        </w:rPr>
        <w:t xml:space="preserve">”). One CVR will be issued with respect to each Eligible Share.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no implied terms and conditions),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purported transfer of a CVR other than in a Permitted Transfer shall be null and void ab initio.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be issued in book-entry form only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b/>
          <w:sz w:val="20"/>
        </w:rPr>
        <w:t>CVR Register</w:t>
      </w:r>
      <w:r>
        <w:rPr>
          <w:rFonts w:ascii="Times New Roman" w:hAnsi="Times New Roman"/>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Eligible Shares held by DTC on behalf of the street holders of the Eligible Shares held by such Eligible Holders as of the Specified Time. The Rights Agent will have no responsibility whatsoever directly or indirectly to the street name holders with respect to transfers of CVRs. With respect to any payments or issuances to be made under </w:t>
      </w:r>
      <w:r>
        <w:rPr>
          <w:rFonts w:ascii="Times New Roman" w:hAnsi="Times New Roman"/>
          <w:sz w:val="20"/>
          <w:u w:val="single"/>
        </w:rPr>
        <w:t>Section 2.4</w:t>
      </w:r>
      <w:r>
        <w:rPr>
          <w:rFonts w:ascii="Times New Roman" w:hAnsi="Times New Roman"/>
          <w:sz w:val="20"/>
        </w:rPr>
        <w:t xml:space="preserve"> below, the Rights Agent will accomplish the payment to any former street name holders of Eligible Shares by sending one lump-sum payment or issuance to DTC. The Rights Agent will have no responsibilities whatsoever with regard to the distribution of payments or Eligible Shares by DTC to such 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and any other requested documentation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and invalid. All costs and expenses related to any transfer or assignment of the CVRs (including the cost of any transfer tax) will be the responsibility of the transferor. </w:t>
      </w:r>
    </w:p>
    <w:p>
      <w:pPr>
        <w:pStyle w:val="TextBody"/>
        <w:bidi w:val="0"/>
        <w:spacing w:before="12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 The Acting Holders may, without duplication,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 </w:t>
      </w:r>
    </w:p>
    <w:p>
      <w:pPr>
        <w:pStyle w:val="TextBody"/>
        <w:bidi w:val="0"/>
        <w:spacing w:before="120" w:after="0"/>
        <w:jc w:val="left"/>
        <w:rPr>
          <w:rFonts w:ascii="Times New Roman" w:hAnsi="Times New Roman"/>
          <w:sz w:val="20"/>
        </w:rPr>
      </w:pPr>
      <w:r>
        <w:rPr>
          <w:rFonts w:ascii="Times New Roman" w:hAnsi="Times New Roman"/>
          <w:sz w:val="20"/>
        </w:rPr>
        <w:t xml:space="preserve">(e) The Company will provide written instructions to the Rights Agent for the distribution of CVRs to Eligible Holders as of the Specified Time. Subject to the terms and conditions of this Agreement and the Company’s prompt confirmation of the Effective Time, the Rights Agent shall effect the distribution of the CVRs, less any applicable tax withholding, to each Eligible Holder as of the Specified Time by the mailing of a statement of holding reflecting such CVRs.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later than forty-five (45) days following the end of each Calendar Quarter during the CVR Term, commencing with the first CVR Payment Period in which the Company or its Affiliates receives Gross Proceeds, the Company shall deliver to the Rights Agent a CVR Payment Statement for the such CVR Payment Period. Subject to the last sentence of this Section 2.4(a), concurrent with the delivery of each CVR Payment Statement, on the terms and conditions of this Agreement, the Company shall pay the Rights Agent in U.S. dollars an amount equal to the CVR Payment for the applicable CVR Payment Period. Such CVR Payment will be transferred by wire transfer of immediately available funds to an account designated in writing by the Rights Agent not less than twenty (20) Business Days prior to the date of the applicable payment. Upon receipt of the wire transfer referred to in the foregoing sentence, the Rights Agent shall promptly (and in any event, within ten (10) Business Days) pay, by check mailed, first-class postage prepaid, to the address each Holder set forth in the CVR Register at such time or by other method of deliver as specified by the applicable Holder in writing to the Rights Agent, an amount equal to such Holder’s CVR Payment Amount. The Rights Agent shall as soon as practicable after receipt of a CVR Payment Statement under this </w:t>
      </w:r>
      <w:r>
        <w:rPr>
          <w:rFonts w:ascii="Times New Roman" w:hAnsi="Times New Roman"/>
          <w:sz w:val="20"/>
          <w:u w:val="single"/>
        </w:rPr>
        <w:t>Section 2.4(a)</w:t>
      </w:r>
      <w:r>
        <w:rPr>
          <w:rFonts w:ascii="Times New Roman" w:hAnsi="Times New Roman"/>
          <w:sz w:val="20"/>
        </w:rPr>
        <w:t xml:space="preserve">, send each Holder at its registered address a copy of such statement. For the avoidance of doubt the Company shall have no further liability in respect of the relevant CVR Payment upon delivery of such CVR Payment in accordance with this </w:t>
      </w:r>
      <w:r>
        <w:rPr>
          <w:rFonts w:ascii="Times New Roman" w:hAnsi="Times New Roman"/>
          <w:sz w:val="20"/>
          <w:u w:val="single"/>
        </w:rPr>
        <w:t>Section 2.4(a)</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2.4(a)</w:t>
      </w:r>
      <w:r>
        <w:rPr>
          <w:rFonts w:ascii="Times New Roman" w:hAnsi="Times New Roman"/>
          <w:sz w:val="20"/>
        </w:rPr>
        <w:t xml:space="preserve">. Notwithstanding anything to the contrary herein, no CVR Payment shall become due and payable to any Holder until such time as the then-outstanding and undistributed Net Proceeds exceeds $350,000 in the aggregate. </w:t>
      </w:r>
    </w:p>
    <w:p>
      <w:pPr>
        <w:pStyle w:val="TextBody"/>
        <w:bidi w:val="0"/>
        <w:spacing w:before="120" w:after="0"/>
        <w:jc w:val="left"/>
        <w:rPr>
          <w:rFonts w:ascii="Times New Roman" w:hAnsi="Times New Roman"/>
          <w:sz w:val="20"/>
        </w:rPr>
      </w:pPr>
      <w:r>
        <w:rPr>
          <w:rFonts w:ascii="Times New Roman" w:hAnsi="Times New Roman"/>
          <w:sz w:val="20"/>
        </w:rPr>
        <w:t>(b) The Rights Agent shall solicit from each Holder, and each Holder covenants and agrees to provide to the Rights Agent, an IRS Form W-9 or appropriate IRS Form W-8, as applicable, at such time or times, including immediately prior to the first CVR Payment, as is necessary to permit any payment under this Agreement to be made without U.S. federal backup withholding. That notwithstanding, the Company, Tyrol and any of their respective Affiliates (each a “</w:t>
      </w:r>
      <w:r>
        <w:rPr>
          <w:rFonts w:ascii="Times New Roman" w:hAnsi="Times New Roman"/>
          <w:b/>
          <w:sz w:val="20"/>
        </w:rPr>
        <w:t>Withholding Agent</w:t>
      </w:r>
      <w:r>
        <w:rPr>
          <w:rFonts w:ascii="Times New Roman" w:hAnsi="Times New Roman"/>
          <w:sz w:val="20"/>
        </w:rPr>
        <w:t xml:space="preserve">”) shall be entitled to deduct and withhold and hereby authorizes the Rights Agent to deduct and withhold, any Tax or similar governmental charge or levy, that is required to be deducted or withheld under applicable Law from any amounts payable pursuant to this Agreement. To the extent the amounts are so withheld by a Withholding Agent and paid over to the appropriate Governmental Authority, such withheld amounts shall be treated for all purposes of this Agreement as having been paid to the Person in respect of whom such deduction and withholding was made. The Company will use commercially reasonable efforts to provide withholding and reporting instructions in writing (email being sufficient) to the Rights Agent from time to time as relevant, and upon request of the Rights Agent. The Rights Agent shall have no responsibilities with respect to Tax withholding, reporting or payment except as set forth herein or as specifically instructed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Any portion of a CVR Payment that remains undistributed to the Holders six (6) months after the applicable Calendar Quarter end (including by means of uncashed checks or invalid addresses on the CVR Register) will be delivered by the Rights Agent to the Company or a person nominated in writing by the Company (with written notice thereof from the Company to the Rights Agent), and any Holder will thereafter look only to the Company for payment of such CVR Payment (which shall be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(d) If any CVR Payment (or portion thereof) remains unclaimed by a Holder two (2) years after the applicable Calendar Quarter end (or immediately prior to such earlier date on which such CVR Payment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escheat to or become the property of any Governmental Authority),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office or a person nominated in writing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b/>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and when issued, the CVRs will not have any voting or dividend rights, and interest will not accrue on any amounts payable in respect of CVRs to any Holder. </w:t>
      </w:r>
    </w:p>
    <w:p>
      <w:pPr>
        <w:pStyle w:val="TextBody"/>
        <w:bidi w:val="0"/>
        <w:spacing w:before="120" w:after="0"/>
        <w:jc w:val="left"/>
        <w:rPr>
          <w:rFonts w:ascii="Times New Roman" w:hAnsi="Times New Roman"/>
          <w:sz w:val="20"/>
        </w:rPr>
      </w:pPr>
      <w:r>
        <w:rPr>
          <w:rFonts w:ascii="Times New Roman" w:hAnsi="Times New Roman"/>
          <w:sz w:val="20"/>
        </w:rPr>
        <w:t xml:space="preserve">(b) If and when issued, the CVRs will not represent any equity or ownership interest in the Company or in any constituent company to the Merger. It is hereby acknowledged and agreed that a CVR shall not constitute a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2.7 </w:t>
      </w:r>
      <w:r>
        <w:rPr>
          <w:rFonts w:ascii="Times New Roman" w:hAnsi="Times New Roman"/>
          <w:b/>
          <w:sz w:val="20"/>
          <w:u w:val="single"/>
        </w:rPr>
        <w:t>Intended Tax Treatment</w:t>
      </w:r>
      <w:r>
        <w:rPr>
          <w:rFonts w:ascii="Times New Roman" w:hAnsi="Times New Roman"/>
          <w:sz w:val="20"/>
        </w:rPr>
        <w:t>. Except to the extent otherwise required by applicable Law, for U.S. federal income tax (and applicable state and local income tax purposes), the parties agree to treat the issuance of the CVRs as not constituting a current distribution and all CVR Payments for all Tax purposes as distributions of money governed by Section 301 of the Code, which will constitute a dividend to the extent payable out of the Company and its Affiliates’ “earnings and profits” (pursuant to Section 316 of the Code) in the taxable year when the CVR Payment is made (the “</w:t>
      </w:r>
      <w:r>
        <w:rPr>
          <w:rFonts w:ascii="Times New Roman" w:hAnsi="Times New Roman"/>
          <w:b/>
          <w:sz w:val="20"/>
        </w:rPr>
        <w:t>Intended Tax Treatment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b/>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Legal Proceedings at Law or otherwise or to make any demand upon the Company or Tyrol.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b/>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Rights Agent may rely and will be protected and held harmless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hAnsi="Times New Roman"/>
          <w:sz w:val="20"/>
          <w:u w:val="single"/>
        </w:rPr>
        <w:t>Section 2.3(d)</w:t>
      </w:r>
      <w:r>
        <w:rPr>
          <w:rFonts w:ascii="Times New Roman" w:hAnsi="Times New Roman"/>
          <w:sz w:val="20"/>
        </w:rPr>
        <w:t xml:space="preserve">, the Acting Holders. </w:t>
      </w:r>
    </w:p>
    <w:p>
      <w:pPr>
        <w:pStyle w:val="TextBody"/>
        <w:bidi w:val="0"/>
        <w:spacing w:before="120" w:after="0"/>
        <w:jc w:val="left"/>
        <w:rPr>
          <w:rFonts w:ascii="Times New Roman" w:hAnsi="Times New Roman"/>
          <w:sz w:val="20"/>
        </w:rPr>
      </w:pPr>
      <w:r>
        <w:rPr>
          <w:rFonts w:ascii="Times New Roman" w:hAnsi="Times New Roman"/>
          <w:sz w:val="20"/>
        </w:rPr>
        <w:t xml:space="preserve">(c) Whenever the Rights Agent deems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gross negligence, fraud or willful misconduct (each as determined by a final non-appealable judgment of a court of competent jurisdiction) on its part, not incur any liability and shall be held harmless by the Company for or in respect of any action taken, suffered or omitted to be taken by it under the provisions of this Agreement in reliance upon such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(d) The Rights Agent may engage and consult with counsel of its selection, and the advice or opinion of such counsel will, in the absence of bad faith, gross negligence, fraud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(e) Any permissive rights of the Rights Agent hereunder will not be construed as a duty.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not be required to give any note or surety in respect of the execution of its powers or otherwise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 provided that this </w:t>
      </w:r>
      <w:r>
        <w:rPr>
          <w:rFonts w:ascii="Times New Roman" w:hAnsi="Times New Roman"/>
          <w:sz w:val="20"/>
          <w:u w:val="single"/>
        </w:rPr>
        <w:t>Section 3.2(g)</w:t>
      </w:r>
      <w:r>
        <w:rPr>
          <w:rFonts w:ascii="Times New Roman" w:hAnsi="Times New Roman"/>
          <w:sz w:val="20"/>
        </w:rPr>
        <w:t xml:space="preserve"> shall not apply with respect to income, receipt, franchise or similar Taxes levied against the Rights Agent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agrees (i) to pay the fees of the Rights Agent in connection with the Rights Agent’s performance of its obligations hereunder as set forth in </w:t>
      </w:r>
      <w:r>
        <w:rPr>
          <w:rFonts w:ascii="Times New Roman" w:hAnsi="Times New Roman"/>
          <w:sz w:val="20"/>
          <w:u w:val="single"/>
        </w:rPr>
        <w:t>Exhibit A</w:t>
      </w:r>
      <w:r>
        <w:rPr>
          <w:rFonts w:ascii="Times New Roman" w:hAnsi="Times New Roman"/>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hAnsi="Times New Roman"/>
          <w:sz w:val="20"/>
          <w:u w:val="single"/>
        </w:rPr>
        <w:t>Section 2.4(a)</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or </w:t>
      </w:r>
      <w:r>
        <w:rPr>
          <w:rFonts w:ascii="Times New Roman" w:hAnsi="Times New Roman"/>
          <w:sz w:val="20"/>
          <w:u w:val="single"/>
        </w:rPr>
        <w:t>Section 3.2(g)</w:t>
      </w:r>
      <w:r>
        <w:rPr>
          <w:rFonts w:ascii="Times New Roman" w:hAnsi="Times New Roman"/>
          <w:sz w:val="20"/>
        </w:rPr>
        <w:t xml:space="preserve">, if the Company is found by a court of competent jurisdiction to be liable to the Rights Agent or the Holders, as applicable in such suit. </w:t>
      </w:r>
    </w:p>
    <w:p>
      <w:pPr>
        <w:pStyle w:val="TextBody"/>
        <w:bidi w:val="0"/>
        <w:spacing w:before="120" w:after="0"/>
        <w:jc w:val="left"/>
        <w:rPr>
          <w:rFonts w:ascii="Times New Roman" w:hAnsi="Times New Roman"/>
          <w:sz w:val="20"/>
        </w:rPr>
      </w:pPr>
      <w:r>
        <w:rPr>
          <w:rFonts w:ascii="Times New Roman" w:hAnsi="Times New Roman"/>
          <w:sz w:val="20"/>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(j) The Rights Agent shall have no responsibility to the Company, any holders of CVRs, any holders of shares of Common Stock or any other Person for interest or earnings on any moneys held by the Rights Agent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The Rights Agent shall not be subject to, nor be required to comply with, or determine if any Person has complied with, the Merger Agreement or any other agreement between or among any the Company, Tyrol or Holders, even though reference thereto may be made in this Agreement, or to comply with any notice, instruction, direction, request or other communication, paper or document other than as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Subject to applicable Law, (i) the Rights Agent and any shareholder, affiliate, director, officer or employee of the Rights Agent may buy, sell or deal in any securities of the Company or Tyrol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(m) 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Tyrol resulting from any such act, default, neglect or misconduct, absent gross negligence, fraud, bad faith or willful misconduct (each as determined by a final non-appealable judgment of a court of competent jurisdiction) in the selection and continued employment thereof. </w:t>
      </w:r>
    </w:p>
    <w:p>
      <w:pPr>
        <w:pStyle w:val="TextBody"/>
        <w:bidi w:val="0"/>
        <w:spacing w:before="120" w:after="0"/>
        <w:jc w:val="left"/>
        <w:rPr>
          <w:rFonts w:ascii="Times New Roman" w:hAnsi="Times New Roman"/>
          <w:sz w:val="20"/>
        </w:rPr>
      </w:pPr>
      <w:r>
        <w:rPr>
          <w:rFonts w:ascii="Times New Roman" w:hAnsi="Times New Roman"/>
          <w:sz w:val="20"/>
        </w:rPr>
        <w:t xml:space="preserve">(o)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(p) 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Legal Proceedings at Law or otherwise or to make any demand upon the Company. </w:t>
      </w:r>
    </w:p>
    <w:p>
      <w:pPr>
        <w:pStyle w:val="TextBody"/>
        <w:bidi w:val="0"/>
        <w:spacing w:before="120" w:after="0"/>
        <w:jc w:val="left"/>
        <w:rPr>
          <w:rFonts w:ascii="Times New Roman" w:hAnsi="Times New Roman"/>
          <w:sz w:val="20"/>
        </w:rPr>
      </w:pPr>
      <w:r>
        <w:rPr>
          <w:rFonts w:ascii="Times New Roman" w:hAnsi="Times New Roman"/>
          <w:sz w:val="20"/>
        </w:rPr>
        <w:t xml:space="preserve">(q)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120" w:after="0"/>
        <w:jc w:val="left"/>
        <w:rPr>
          <w:rFonts w:ascii="Times New Roman" w:hAnsi="Times New Roman"/>
          <w:sz w:val="20"/>
        </w:rPr>
      </w:pPr>
      <w:r>
        <w:rPr>
          <w:rFonts w:ascii="Times New Roman" w:hAnsi="Times New Roman"/>
          <w:sz w:val="20"/>
        </w:rPr>
        <w:t xml:space="preserve">(r) The Rights Agent shall not be liable or responsible for any failure of the Company to comply with any of its obligations relating to any registration statement filed with the SEC or this Agreement, including without limitation obligations under applicable regulation or Law. </w:t>
      </w:r>
    </w:p>
    <w:p>
      <w:pPr>
        <w:pStyle w:val="TextBody"/>
        <w:bidi w:val="0"/>
        <w:spacing w:before="120" w:after="0"/>
        <w:jc w:val="left"/>
        <w:rPr>
          <w:rFonts w:ascii="Times New Roman" w:hAnsi="Times New Roman"/>
          <w:sz w:val="20"/>
        </w:rPr>
      </w:pPr>
      <w:r>
        <w:rPr>
          <w:rFonts w:ascii="Times New Roman" w:hAnsi="Times New Roman"/>
          <w:sz w:val="20"/>
        </w:rPr>
        <w:t xml:space="preserve">(s) The obligations of the Company and the rights of the Rights Agent under this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survive the expiration of the CVRs and the termination of this Agreement and the resignation, replacement or removal of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(t)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(email being sufficient). </w:t>
      </w:r>
    </w:p>
    <w:p>
      <w:pPr>
        <w:pStyle w:val="TextBody"/>
        <w:bidi w:val="0"/>
        <w:spacing w:before="120" w:after="0"/>
        <w:jc w:val="left"/>
        <w:rPr>
          <w:rFonts w:ascii="Times New Roman" w:hAnsi="Times New Roman"/>
          <w:sz w:val="20"/>
        </w:rPr>
      </w:pPr>
      <w:r>
        <w:rPr>
          <w:rFonts w:ascii="Times New Roman" w:hAnsi="Times New Roman"/>
          <w:sz w:val="20"/>
        </w:rPr>
        <w:t xml:space="preserve">(u) The Rights Agent will have no liability and shall be held harmless by the Company in respect of the validity of this Agreement and the execution and delivery hereof (except the due execution and delivery hereof by the Rights Agent and the enforceability of this Agreement against the Rights Agent assuming the due execution and delivery hereof by the Company), nor shall it be responsible for any breach by the Company of any covenant or condition contained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u w:val="single"/>
        </w:rPr>
        <w:t xml:space="preserve">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7.2</w:t>
      </w:r>
      <w:r>
        <w:rPr>
          <w:rFonts w:ascii="Times New Roman" w:hAnsi="Times New Roman"/>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Acting Holders, the Company will not appoint as a successor Rights Agent any Person that is not a stock transfer agent of national reputation or the corporate trust department of a commercial bank.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except such rights which survive its resignation or removal under the terms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b/>
          <w:sz w:val="20"/>
          <w:u w:val="single"/>
        </w:rPr>
        <w:t>List of Holders</w:t>
      </w:r>
      <w:r>
        <w:rPr>
          <w:rFonts w:ascii="Times New Roman" w:hAnsi="Times New Roman"/>
          <w:sz w:val="20"/>
        </w:rPr>
        <w:t xml:space="preserve">.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4.2 </w:t>
      </w:r>
      <w:r>
        <w:rPr>
          <w:rFonts w:ascii="Times New Roman" w:hAnsi="Times New Roman"/>
          <w:b/>
          <w:sz w:val="20"/>
          <w:u w:val="single"/>
        </w:rPr>
        <w:t>Efforts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Disposition Period, the Company shall, and shall cause its Subsidiaries to, use Commercially Reasonable Efforts to effect Dispositions with respect to the Company Pre-Closing Assets to a third party that has delivered Inbound Interest delivered or otherwise made known to an executive officer or business development officer of the Company with respect to a Company Pre-Closing Asset after the Closing to the Company, its Subsidiaries or their Representatives in evaluating or potentially engaging in a Disposition.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4.2(a)</w:t>
            </w:r>
            <w:r>
              <w:rPr>
                <w:rFonts w:ascii="Times New Roman" w:hAnsi="Times New Roman"/>
                <w:sz w:val="20"/>
              </w:rPr>
              <w:t xml:space="preserve"> and the other contractual obligations of the Company expressly set forth in this Agreement, (i) the Holders acknowledge that the Company has a fiduciary obligation to operate its business in the best interests of its stockholders, and any potential obligation to pay CVR Payments will not create any express or implied obligation to operate its business in any particular manner in order to maximize such CVR Payments, (ii) except as expressly set forth in this Agreement,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Holders are not relying on any representation of the Company or any other Person with regard to any Disposition or other action involving the Company Pre-Closing Assets following the Closing, and neither the Company nor any other Person has provided, or can provide, any assurance to the Holders that any CVR Payments will in fact be earned and paid, and (iii) none of the Company or any of its Subsidiaries, officers or directors shall have any obligation or liability whatsoever to any Person relating to or in connection with any action, or failure to act, with respect to any Disposition.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4.3 </w:t>
      </w:r>
      <w:r>
        <w:rPr>
          <w:rFonts w:ascii="Times New Roman" w:hAnsi="Times New Roman"/>
          <w:b/>
          <w:sz w:val="20"/>
          <w:u w:val="single"/>
        </w:rPr>
        <w:t>Additional Covenants</w:t>
      </w:r>
      <w:r>
        <w:rPr>
          <w:rFonts w:ascii="Times New Roman" w:hAnsi="Times New Roman"/>
          <w:sz w:val="20"/>
        </w:rPr>
        <w:t xml:space="preserve">. During the Disposition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limiting any other provisions of this </w:t>
            </w:r>
            <w:r>
              <w:rPr>
                <w:rFonts w:ascii="Times New Roman" w:hAnsi="Times New Roman"/>
                <w:sz w:val="20"/>
                <w:u w:val="single"/>
              </w:rPr>
              <w:t>Section 4.3</w:t>
            </w:r>
            <w:r>
              <w:rPr>
                <w:rFonts w:ascii="Times New Roman" w:hAnsi="Times New Roman"/>
                <w:sz w:val="20"/>
              </w:rPr>
              <w:t xml:space="preserve">, neither the Company nor any of its Affiliates shall take any action in bad faith with respect to, or with the primary purpose of avoiding, the payment of the CVR Payment Amount, including by making any dividend, distribution or other transfer of Net Proceeds in a manner materially adverse to the Company’s obligations in respect of Net Proceeds pursuant to this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Company shall, and shall cause its subsidiaries to, use commercially reasonable efforts to continue to preserve and maintain the Company Pre-Closing Assets, including all Intellectual Property relating thereto but, and shall use commercially reasonable efforts to comply with such maintenance obligations as required by any license or related term set forth in any Disposition Agreement. Notwithstanding the foregoing, with respect to such efforts to preserve and maintain Intellectual Property relating to the Company Pre-Closing Assets, (A) the Company shall not be required to incur aggregate out-of-pocket costs and expenses in excess of $200,000 (the “</w:t>
            </w:r>
            <w:r>
              <w:rPr>
                <w:rFonts w:ascii="Times New Roman" w:hAnsi="Times New Roman"/>
                <w:b/>
                <w:sz w:val="20"/>
              </w:rPr>
              <w:t>IP Expense Fund</w:t>
            </w:r>
            <w:r>
              <w:rPr>
                <w:rFonts w:ascii="Times New Roman" w:hAnsi="Times New Roman"/>
                <w:sz w:val="20"/>
              </w:rPr>
              <w:t xml:space="preserve">”) and (B) the Company shall prioritize the application of the IP Expense Fund in accordance with the provisions of Schedule 1 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grant any lien, security interest, pledge or similar interest in any Company Pre-Closing Assets or any Net Proceeds other than (A) pursuant to the terms of a Disposition Agreement or (B) any such interest generally granted with respect to all assets of the Company and not specific to any of the Company Pre-Closing Assets, and which do not prohibit the ability of the Company to complete a Disposition and, in connection therewith, to deliver title to the Company Pre-Closing Assets to the purchaser thereof, free and clear of such interest.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promptly inform the director(s) on the Company board of directors who then hold CVRs if and after Inbound Interest is delivered or otherwise made known to an executive officer or business development officer of the Company, and shall keep such director(s) reasonably and promptly informed regarding material developments in the negotiation of Disposition Agreements.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4.4 </w:t>
      </w:r>
      <w:r>
        <w:rPr>
          <w:rFonts w:ascii="Times New Roman" w:hAnsi="Times New Roman"/>
          <w:b/>
          <w:sz w:val="20"/>
          <w:u w:val="single"/>
        </w:rPr>
        <w:t>Books and Records</w:t>
      </w:r>
      <w:r>
        <w:rPr>
          <w:rFonts w:ascii="Times New Roman" w:hAnsi="Times New Roman"/>
          <w:sz w:val="20"/>
        </w:rPr>
        <w:t xml:space="preserve">.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4.5 </w:t>
      </w:r>
      <w:r>
        <w:rPr>
          <w:rFonts w:ascii="Times New Roman" w:hAnsi="Times New Roman"/>
          <w:b/>
          <w:sz w:val="20"/>
          <w:u w:val="single"/>
        </w:rPr>
        <w:t>Audits</w:t>
      </w:r>
      <w:r>
        <w:rPr>
          <w:rFonts w:ascii="Times New Roman" w:hAnsi="Times New Roman"/>
          <w:sz w:val="20"/>
        </w:rPr>
        <w:t xml:space="preserve">. Until the expiration of this Agreement and for a period of one (1) year thereafter, the Company shall keep complete and accurate records in sufficient detail to support the accuracy of the payments due hereunder. The Acting Holders shall have the right to cause an independent accounting firm reasonably acceptable to the Company to audit such records for the sole purpose of confirming payments for a period covering not more than the date commencing with the first CVR Payment Period in which the Company or its Affiliates receives Gross Proceeds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Acting Holders, as applicable, unless after an accounting period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audited by the Acting Holders, as applicable, the Company restates its financial results for such accounting period, in which event the Acting Holders, as applicable, may conduct a second audit of such accounting period in accordance with this </w:t>
      </w:r>
      <w:r>
        <w:rPr>
          <w:rFonts w:ascii="Times New Roman" w:hAnsi="Times New Roman"/>
          <w:sz w:val="20"/>
          <w:u w:val="single"/>
        </w:rPr>
        <w:t>Section 4.5</w:t>
      </w:r>
      <w:r>
        <w:rPr>
          <w:rFonts w:ascii="Times New Roman" w:hAnsi="Times New Roman"/>
          <w:sz w:val="20"/>
        </w:rPr>
        <w:t xml:space="preserve">. Adjustments (including remittances of underpayments or overpayments disclosed by such audit) shall be made by the Company to reflect the results of such audit, which adjustments shall be paid promptly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Statement for the relevant CVR Payment Period.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as applicable, shall bear the full cost and expense of such audit unless such audit discloses an underpayment by the Company of twenty percent (20%)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No Conflict</w:t>
      </w:r>
      <w:r>
        <w:rPr>
          <w:rFonts w:ascii="Times New Roman" w:hAnsi="Times New Roman"/>
          <w:sz w:val="20"/>
        </w:rPr>
        <w:t xml:space="preserve">. The Company will not enter into any agreement with any Person that is, or otherwise take any actions or inactions, in conflict with this Agreement in any material respect or materially and adversely affect the performance of its obligations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b/>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with such consent not to be unreasonably withheld, conditioned or delayed) enter into one or more amendments to this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6.1</w:t>
      </w:r>
      <w:r>
        <w:rPr>
          <w:rFonts w:ascii="Times New Roman" w:hAnsi="Times New Roman"/>
          <w:sz w:val="20"/>
        </w:rPr>
        <w:t>, to evidence the succession of another person to the Company and the assumption of any such successor of the covenants of the Company outlined herein in a transaction contemplated by</w:t>
      </w:r>
      <w:r>
        <w:rPr>
          <w:rFonts w:ascii="Times New Roman" w:hAnsi="Times New Roman"/>
          <w:sz w:val="20"/>
          <w:u w:val="single"/>
        </w:rPr>
        <w:t xml:space="preserve"> 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to add to the covenants of the Company such further covenants, restrictions, conditions or provisions as the Company and the Rights Agent will consider to be for the protection and benefit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as may be necessary or appropriate to ensure that the CVRs are not subject to registration under the Securities Act or the Exchange Act and the rules and regulations promulgated thereunder, or any applicable state securities or “blue sky” laws; </w:t>
      </w:r>
    </w:p>
    <w:p>
      <w:pPr>
        <w:pStyle w:val="TextBody"/>
        <w:bidi w:val="0"/>
        <w:spacing w:before="120" w:after="0"/>
        <w:jc w:val="left"/>
        <w:rPr>
          <w:rFonts w:ascii="Times New Roman" w:hAnsi="Times New Roman"/>
          <w:sz w:val="20"/>
        </w:rPr>
      </w:pPr>
      <w:r>
        <w:rPr>
          <w:rFonts w:ascii="Times New Roman" w:hAnsi="Times New Roman"/>
          <w:sz w:val="20"/>
        </w:rPr>
        <w:t xml:space="preserve">(vi) as may be necessary or appropriate to ensure that the Company is not required to produce a prospectus or an admission document in order to comply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to cancel the CVRs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(ii) in order to give effect to the provisions of </w:t>
      </w:r>
      <w:r>
        <w:rPr>
          <w:rFonts w:ascii="Times New Roman" w:hAnsi="Times New Roman"/>
          <w:sz w:val="20"/>
          <w:u w:val="single"/>
        </w:rPr>
        <w:t>Section 2.7</w:t>
      </w:r>
      <w:r>
        <w:rPr>
          <w:rFonts w:ascii="Times New Roman" w:hAnsi="Times New Roman"/>
          <w:sz w:val="20"/>
        </w:rPr>
        <w:t xml:space="preserve"> or (iii) following a transfer of such CVRs to the Company or its Affiliates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as may be necessary or appropriate to ensure that the Company complies with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(ix) to effect any other amendment to this Agreement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in each case, such additions, eliminations or changes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the Company will (or will cause the Rights Agent to) notify the Holders in general terms of the substance of such amendment in accordance with</w:t>
      </w:r>
      <w:r>
        <w:rPr>
          <w:rFonts w:ascii="Times New Roman" w:hAnsi="Times New Roman"/>
          <w:sz w:val="20"/>
          <w:u w:val="single"/>
        </w:rPr>
        <w:t xml:space="preserve"> 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pursuant to </w:t>
      </w:r>
      <w:r>
        <w:rPr>
          <w:rFonts w:ascii="Times New Roman" w:hAnsi="Times New Roman"/>
          <w:sz w:val="20"/>
          <w:u w:val="single"/>
        </w:rPr>
        <w:t>Section 5.1</w:t>
      </w:r>
      <w:r>
        <w:rPr>
          <w:rFonts w:ascii="Times New Roman" w:hAnsi="Times New Roman"/>
          <w:sz w:val="20"/>
        </w:rPr>
        <w:t xml:space="preserve">, with the consent of the Acting Holders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5.3 </w:t>
      </w:r>
      <w:r>
        <w:rPr>
          <w:rFonts w:ascii="Times New Roman" w:hAnsi="Times New Roman"/>
          <w:b/>
          <w:sz w:val="20"/>
          <w:u w:val="single"/>
        </w:rPr>
        <w:t>Effect of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b/>
          <w:sz w:val="20"/>
          <w:u w:val="single"/>
        </w:rPr>
        <w:t>The Company May Not Consolidate, Etc</w:t>
      </w:r>
      <w:r>
        <w:rPr>
          <w:rFonts w:ascii="Times New Roman" w:hAnsi="Times New Roman"/>
          <w:sz w:val="20"/>
        </w:rPr>
        <w:t xml:space="preserve">. During the CVR Term, the Company shall not consolidate with or merge into any other Person or convey, transfer or lease its properties and assets substantially as an entirety to any Person, unless: </w:t>
      </w:r>
    </w:p>
    <w:p>
      <w:pPr>
        <w:pStyle w:val="TextBody"/>
        <w:bidi w:val="0"/>
        <w:spacing w:before="120" w:after="0"/>
        <w:jc w:val="left"/>
        <w:rPr>
          <w:rFonts w:ascii="Times New Roman" w:hAnsi="Times New Roman"/>
          <w:sz w:val="20"/>
        </w:rPr>
      </w:pPr>
      <w:r>
        <w:rPr>
          <w:rFonts w:ascii="Times New Roman" w:hAnsi="Times New Roman"/>
          <w:sz w:val="20"/>
        </w:rPr>
        <w:t>(a) the Person formed by such consolidation or into which the Company is merged or the Person that acquires by conveyance or transfer, or that leases, the properties and assets of the Company substantially as an entirety (the “</w:t>
      </w:r>
      <w:r>
        <w:rPr>
          <w:rFonts w:ascii="Times New Roman" w:hAnsi="Times New Roman"/>
          <w:b/>
          <w:sz w:val="20"/>
        </w:rPr>
        <w:t>Surviving Person</w:t>
      </w:r>
      <w:r>
        <w:rPr>
          <w:rFonts w:ascii="Times New Roman" w:hAnsi="Times New Roman"/>
          <w:sz w:val="20"/>
        </w:rPr>
        <w:t xml:space="preserve">”) shall expressly assume payment of amounts on all CVRs (when and as due hereunder) and the performance of every duty and covenant of this Agreement on the part of the Company to be performed or observed; and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delivered to the Rights Agent an Officer’s Certificate, stating that such consolidation, merger, conveyance, transfer or lease complies with this </w:t>
      </w:r>
      <w:r>
        <w:rPr>
          <w:rFonts w:ascii="Times New Roman" w:hAnsi="Times New Roman"/>
          <w:sz w:val="20"/>
          <w:u w:val="single"/>
        </w:rPr>
        <w:t>Article 6</w:t>
      </w:r>
      <w:r>
        <w:rPr>
          <w:rFonts w:ascii="Times New Roman" w:hAnsi="Times New Roman"/>
          <w:sz w:val="20"/>
        </w:rPr>
        <w:t xml:space="preserve"> and that all conditions precedent herein provided for relating to such transaction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6.2 </w:t>
      </w:r>
      <w:r>
        <w:rPr>
          <w:rFonts w:ascii="Times New Roman" w:hAnsi="Times New Roman"/>
          <w:b/>
          <w:sz w:val="20"/>
          <w:u w:val="single"/>
        </w:rPr>
        <w:t>Successor Substituted</w:t>
      </w:r>
      <w:r>
        <w:rPr>
          <w:rFonts w:ascii="Times New Roman" w:hAnsi="Times New Roman"/>
          <w:sz w:val="20"/>
        </w:rPr>
        <w:t xml:space="preserve">. Upon any consolidation of or merger by the Company with or into any other Person, or any conveyance, transfer or lease of the properties and assets substantially as an entirety to any Person in accordance with </w:t>
      </w:r>
      <w:r>
        <w:rPr>
          <w:rFonts w:ascii="Times New Roman" w:hAnsi="Times New Roman"/>
          <w:sz w:val="20"/>
          <w:u w:val="single"/>
        </w:rPr>
        <w:t>Section 6.3</w:t>
      </w:r>
      <w:r>
        <w:rPr>
          <w:rFonts w:ascii="Times New Roman" w:hAnsi="Times New Roman"/>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 </w:t>
      </w:r>
      <w:r>
        <w:rPr>
          <w:rFonts w:ascii="Times New Roman" w:hAnsi="Times New Roman"/>
          <w:b/>
          <w:sz w:val="20"/>
          <w:u w:val="single"/>
        </w:rPr>
        <w:t>Notices to Rights Agent and to the Company</w:t>
      </w:r>
      <w:r>
        <w:rPr>
          <w:rFonts w:ascii="Times New Roman" w:hAnsi="Times New Roman"/>
          <w:sz w:val="20"/>
        </w:rPr>
        <w:t>. All notices, requests and other communications (each, a “</w:t>
      </w:r>
      <w:r>
        <w:rPr>
          <w:rFonts w:ascii="Times New Roman" w:hAnsi="Times New Roman"/>
          <w:b/>
          <w:sz w:val="20"/>
        </w:rPr>
        <w:t>Notice</w:t>
      </w:r>
      <w:r>
        <w:rPr>
          <w:rFonts w:ascii="Times New Roman" w:hAnsi="Times New Roman"/>
          <w:sz w:val="20"/>
        </w:rPr>
        <w:t xml:space="preserve">”) to any party hereunder shall be in writing and shall be deemed to have been duly delivered and received hereunder (a) when sent, fees prepaid, via a reputable international overnight courier service in the case of delivery in person, by FedEx or other internationally recognized overnight courier service or (b) when sent, if sent by email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12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[_____] </w:t>
      </w:r>
    </w:p>
    <w:p>
      <w:pPr>
        <w:pStyle w:val="TextBody"/>
        <w:bidi w:val="0"/>
        <w:spacing w:before="0" w:after="0"/>
        <w:jc w:val="left"/>
        <w:rPr>
          <w:rFonts w:ascii="Times New Roman" w:hAnsi="Times New Roman"/>
          <w:sz w:val="20"/>
        </w:rPr>
      </w:pPr>
      <w:r>
        <w:rPr>
          <w:rFonts w:ascii="Times New Roman" w:hAnsi="Times New Roman"/>
          <w:sz w:val="20"/>
        </w:rPr>
        <w:t xml:space="preserve">Email: [_____]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 Miguel Vega; Marc Recht; Michael Rohr </w:t>
      </w:r>
    </w:p>
    <w:p>
      <w:pPr>
        <w:pStyle w:val="TextBody"/>
        <w:bidi w:val="0"/>
        <w:spacing w:before="0" w:after="0"/>
        <w:jc w:val="left"/>
        <w:rPr>
          <w:rFonts w:ascii="Times New Roman" w:hAnsi="Times New Roman"/>
          <w:sz w:val="20"/>
        </w:rPr>
      </w:pPr>
      <w:r>
        <w:rPr>
          <w:rFonts w:ascii="Times New Roman" w:hAnsi="Times New Roman"/>
          <w:sz w:val="20"/>
        </w:rPr>
        <w:t xml:space="preserve">E-mail:   mvega@cooley.com; mrecht@cooley.com; mrohr@cooley.com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as such party may hereafter specify for the purpose by notice to the other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7.2 </w:t>
      </w:r>
      <w:r>
        <w:rPr>
          <w:rFonts w:ascii="Times New Roman" w:hAnsi="Times New Roman"/>
          <w:b/>
          <w:sz w:val="20"/>
          <w:u w:val="single"/>
        </w:rPr>
        <w:t>Notice to Holders</w:t>
      </w:r>
      <w:r>
        <w:rPr>
          <w:rFonts w:ascii="Times New Roman" w:hAnsi="Times New Roman"/>
          <w:sz w:val="20"/>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7.3 </w:t>
      </w:r>
      <w:r>
        <w:rPr>
          <w:rFonts w:ascii="Times New Roman" w:hAnsi="Times New Roman"/>
          <w:b/>
          <w:sz w:val="20"/>
          <w:u w:val="single"/>
        </w:rPr>
        <w:t>Entire Agreement</w:t>
      </w:r>
      <w:r>
        <w:rPr>
          <w:rFonts w:ascii="Times New Roman" w:hAnsi="Times New Roman"/>
          <w:sz w:val="20"/>
        </w:rPr>
        <w:t xml:space="preserve">.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7.4 </w:t>
      </w:r>
      <w:r>
        <w:rPr>
          <w:rFonts w:ascii="Times New Roman" w:hAnsi="Times New Roman"/>
          <w:b/>
          <w:sz w:val="20"/>
          <w:u w:val="single"/>
        </w:rPr>
        <w:t>Merger or Consolidation or Change of Name of Rights Agent</w:t>
      </w:r>
      <w:r>
        <w:rPr>
          <w:rFonts w:ascii="Times New Roman" w:hAnsi="Times New Roman"/>
          <w:sz w:val="20"/>
        </w:rPr>
        <w:t xml:space="preserve">. Any Person into which the Rights Agent or any successor Rights Agent may be merged or with which it may be consolidated, or Person resulting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7.4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7.5 </w:t>
      </w:r>
      <w:r>
        <w:rPr>
          <w:rFonts w:ascii="Times New Roman" w:hAnsi="Times New Roman"/>
          <w:b/>
          <w:sz w:val="20"/>
          <w:u w:val="single"/>
        </w:rPr>
        <w:t>Successors and Assigns</w:t>
      </w:r>
      <w:r>
        <w:rPr>
          <w:rFonts w:ascii="Times New Roman" w:hAnsi="Times New Roman"/>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7.4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hAnsi="Times New Roman"/>
          <w:sz w:val="20"/>
          <w:u w:val="single"/>
        </w:rPr>
        <w:t>Section 7.5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7.6 </w:t>
      </w:r>
      <w:r>
        <w:rPr>
          <w:rFonts w:ascii="Times New Roman" w:hAnsi="Times New Roman"/>
          <w:b/>
          <w:sz w:val="20"/>
          <w:u w:val="single"/>
        </w:rPr>
        <w:t>Benefits of Agreement; Action by Acting Holders</w:t>
      </w:r>
      <w:r>
        <w:rPr>
          <w:rFonts w:ascii="Times New Roman" w:hAnsi="Times New Roman"/>
          <w:sz w:val="20"/>
        </w:rPr>
        <w:t xml:space="preserve">.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The Holders shall be intended third-party beneficiaries of the provisions of this Agreement; provided that, except for the rights of the Rights Agent set forth herein, the Acting Holders will have the sole right, on behalf of all Holders, by virtue of or under any provision of this Agreement, to institute any action or Legal Proceeding at Law or in equity with respect to this Agreement or otherwise to enforce the Holders’ rights hereunder, and no individual Holder or other group of Holders will be entitled to exercise such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7.7 </w:t>
      </w:r>
      <w:r>
        <w:rPr>
          <w:rFonts w:ascii="Times New Roman" w:hAnsi="Times New Roman"/>
          <w:b/>
          <w:sz w:val="20"/>
          <w:u w:val="single"/>
        </w:rPr>
        <w:t>Governing Law</w:t>
      </w:r>
      <w:r>
        <w:rPr>
          <w:rFonts w:ascii="Times New Roman" w:hAnsi="Times New Roman"/>
          <w:sz w:val="20"/>
        </w:rPr>
        <w:t xml:space="preserve">. This Agreement and the CVRs will be governed by, and construed in accordance with, the laws of the State of Delaware without regard to the conflicts of law rules of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7.8 </w:t>
      </w:r>
      <w:r>
        <w:rPr>
          <w:rFonts w:ascii="Times New Roman" w:hAnsi="Times New Roman"/>
          <w:b/>
          <w:sz w:val="20"/>
          <w:u w:val="single"/>
        </w:rPr>
        <w:t>Jurisdiction</w:t>
      </w:r>
      <w:r>
        <w:rPr>
          <w:rFonts w:ascii="Times New Roman" w:hAnsi="Times New Roman"/>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hAnsi="Times New Roman"/>
          <w:sz w:val="20"/>
          <w:u w:val="single"/>
        </w:rPr>
        <w:t>Section 7.8</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7.9 </w:t>
      </w:r>
      <w:r>
        <w:rPr>
          <w:rFonts w:ascii="Times New Roman" w:hAnsi="Times New Roman"/>
          <w:b/>
          <w:sz w:val="20"/>
          <w:u w:val="single"/>
        </w:rPr>
        <w:t>WAIVER OF JURY TRIAL</w:t>
      </w:r>
      <w:r>
        <w:rPr>
          <w:rFonts w:ascii="Times New Roman" w:hAnsi="Times New Roman"/>
          <w:b/>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7.9</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7.10 </w:t>
      </w:r>
      <w:r>
        <w:rPr>
          <w:rFonts w:ascii="Times New Roman" w:hAnsi="Times New Roman"/>
          <w:b/>
          <w:sz w:val="20"/>
          <w:u w:val="single"/>
        </w:rPr>
        <w:t>Severability Clause</w:t>
      </w:r>
      <w:r>
        <w:rPr>
          <w:rFonts w:ascii="Times New Roman" w:hAnsi="Times New Roman"/>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7.11 </w:t>
      </w:r>
      <w:r>
        <w:rPr>
          <w:rFonts w:ascii="Times New Roman" w:hAnsi="Times New Roman"/>
          <w:b/>
          <w:sz w:val="20"/>
          <w:u w:val="single"/>
        </w:rPr>
        <w:t>Counterparts; Effectiveness</w:t>
      </w:r>
      <w:r>
        <w:rPr>
          <w:rFonts w:ascii="Times New Roman" w:hAnsi="Times New Roman"/>
          <w:sz w:val="20"/>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7.12 </w:t>
      </w:r>
      <w:r>
        <w:rPr>
          <w:rFonts w:ascii="Times New Roman" w:hAnsi="Times New Roman"/>
          <w:b/>
          <w:sz w:val="20"/>
          <w:u w:val="single"/>
        </w:rPr>
        <w:t>Termination</w:t>
      </w:r>
      <w:r>
        <w:rPr>
          <w:rFonts w:ascii="Times New Roman" w:hAnsi="Times New Roman"/>
          <w:sz w:val="20"/>
        </w:rPr>
        <w:t xml:space="preserve">. 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Times New Roman" w:hAnsi="Times New Roman"/>
          <w:sz w:val="20"/>
          <w:u w:val="single"/>
        </w:rPr>
        <w:t>Section 2.4</w:t>
      </w:r>
      <w:r>
        <w:rPr>
          <w:rFonts w:ascii="Times New Roman" w:hAnsi="Times New Roman"/>
          <w:sz w:val="20"/>
        </w:rPr>
        <w:t xml:space="preserve"> to the extent earned prior to the termination of this Agreement, and the provisions applicable thereto will survive the expiration or termination of this Agreement until such CVR Payments have been made, if applicable. Upon termination or expiry of this Agreement pursuant to this </w:t>
      </w:r>
      <w:r>
        <w:rPr>
          <w:rFonts w:ascii="Times New Roman" w:hAnsi="Times New Roman"/>
          <w:sz w:val="20"/>
          <w:u w:val="single"/>
        </w:rPr>
        <w:t>Section 7.12</w:t>
      </w:r>
      <w:r>
        <w:rPr>
          <w:rFonts w:ascii="Times New Roman" w:hAnsi="Times New Roman"/>
          <w:sz w:val="20"/>
        </w:rPr>
        <w:t xml:space="preserve">, all CVRs issued hereunder shall be automatically cancelled and forfeited by the Holders without any consideration or payment therefor.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7.13 </w:t>
      </w:r>
      <w:r>
        <w:rPr>
          <w:rFonts w:ascii="Times New Roman" w:hAnsi="Times New Roman"/>
          <w:b/>
          <w:sz w:val="20"/>
          <w:u w:val="single"/>
        </w:rPr>
        <w:t>Funds</w:t>
      </w:r>
      <w:r>
        <w:rPr>
          <w:rFonts w:ascii="Times New Roman" w:hAnsi="Times New Roman"/>
          <w:sz w:val="20"/>
        </w:rPr>
        <w:t>. All funds received by Rights Agent under this Agreement that are to be distributed or applied by Rights Agent in the performance of services hereunder (the “</w:t>
      </w:r>
      <w:r>
        <w:rPr>
          <w:rFonts w:ascii="Times New Roman" w:hAnsi="Times New Roman"/>
          <w:b/>
          <w:sz w:val="20"/>
        </w:rPr>
        <w:t>Funds</w:t>
      </w:r>
      <w:r>
        <w:rPr>
          <w:rFonts w:ascii="Times New Roman" w:hAnsi="Times New Roman"/>
          <w:sz w:val="20"/>
        </w:rPr>
        <w:t xml:space="preserve">”) shall be held by the Rights Agent,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fraud or willful misconduct (as determined by a final non appealable judgment of a court of competent jurisdiction) on its part, have no responsibility or liability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diminution of the Funds that may result from any deposit made by it in accordance with this paragraph, including any losses resulting from a default by any bank, financial institution or other third party. The Rights Agent may from time to time receive interest, dividends or other earnings in connection with such deposits.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7.14 </w:t>
      </w:r>
      <w:r>
        <w:rPr>
          <w:rFonts w:ascii="Times New Roman" w:hAnsi="Times New Roman"/>
          <w:b/>
          <w:sz w:val="20"/>
          <w:u w:val="single"/>
        </w:rPr>
        <w:t>Further Assurance by Company</w:t>
      </w:r>
      <w:r>
        <w:rPr>
          <w:rFonts w:ascii="Times New Roman" w:hAnsi="Times New Roman"/>
          <w:sz w:val="20"/>
        </w:rPr>
        <w:t xml:space="preserve">.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7.15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120" w:after="0"/>
        <w:jc w:val="left"/>
        <w:rPr>
          <w:rFonts w:ascii="Times New Roman" w:hAnsi="Times New Roman"/>
          <w:sz w:val="20"/>
        </w:rPr>
      </w:pPr>
      <w:r>
        <w:rPr>
          <w:rFonts w:ascii="Times New Roman" w:hAnsi="Times New Roman"/>
          <w:sz w:val="20"/>
        </w:rPr>
        <w:t xml:space="preserve">(e)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1774" w:type="dxa"/>
        <w:jc w:val="left"/>
        <w:tblInd w:w="0" w:type="dxa"/>
        <w:tblLayout w:type="fixed"/>
        <w:tblCellMar>
          <w:top w:w="0" w:type="dxa"/>
          <w:left w:w="0" w:type="dxa"/>
          <w:bottom w:w="0" w:type="dxa"/>
          <w:right w:w="0" w:type="dxa"/>
        </w:tblCellMar>
      </w:tblPr>
      <w:tblGrid>
        <w:gridCol w:w="793"/>
        <w:gridCol w:w="148"/>
        <w:gridCol w:w="833"/>
      </w:tblGrid>
      <w:tr>
        <w:trPr/>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pPr>
            <w:r>
              <w:rPr/>
              <w:t>AVROBIO, INC.</w:t>
            </w:r>
          </w:p>
        </w:tc>
      </w:tr>
      <w:tr>
        <w:trPr/>
        <w:tc>
          <w:tcPr>
            <w:tcW w:w="793" w:type="dxa"/>
            <w:tcBorders/>
            <w:vAlign w:val="center"/>
          </w:tcPr>
          <w:p>
            <w:pPr>
              <w:pStyle w:val="TableContents"/>
              <w:bidi w:val="0"/>
              <w:spacing w:before="0" w:after="283"/>
              <w:jc w:val="left"/>
              <w:rPr>
                <w:sz w:val="4"/>
                <w:szCs w:val="4"/>
              </w:rPr>
            </w:pPr>
            <w:r>
              <w:rPr>
                <w:sz w:val="4"/>
                <w:szCs w:val="4"/>
              </w:rPr>
            </w:r>
          </w:p>
        </w:tc>
        <w:tc>
          <w:tcPr>
            <w:tcW w:w="981"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vAlign w:val="center"/>
          </w:tcPr>
          <w:p>
            <w:pPr>
              <w:pStyle w:val="TableContents"/>
              <w:bidi w:val="0"/>
              <w:spacing w:before="0" w:after="283"/>
              <w:jc w:val="left"/>
              <w:rPr/>
            </w:pPr>
            <w:r>
              <w:rPr/>
              <w:t>By:</w:t>
            </w:r>
          </w:p>
        </w:tc>
        <w:tc>
          <w:tcPr>
            <w:tcW w:w="148" w:type="dxa"/>
            <w:tcBorders/>
            <w:vAlign w:val="center"/>
          </w:tcPr>
          <w:p>
            <w:pPr>
              <w:pStyle w:val="TableContents"/>
              <w:bidi w:val="0"/>
              <w:spacing w:before="0" w:after="283"/>
              <w:jc w:val="left"/>
              <w:rPr/>
            </w:pPr>
            <w:r>
              <w:rPr/>
              <w:t> </w:t>
            </w:r>
          </w:p>
        </w:tc>
        <w:tc>
          <w:tcPr>
            <w:tcW w:w="833" w:type="dxa"/>
            <w:tcBorders/>
            <w:vAlign w:val="center"/>
          </w:tcPr>
          <w:p>
            <w:pPr>
              <w:pStyle w:val="TableContents"/>
              <w:pBdr>
                <w:bottom w:val="single" w:sz="2" w:space="1" w:color="000000"/>
              </w:pBdr>
              <w:bidi w:val="0"/>
              <w:spacing w:before="0" w:after="20"/>
              <w:jc w:val="left"/>
              <w:rPr/>
            </w:pPr>
            <w:r>
              <w:rPr/>
              <w:t>  </w:t>
            </w:r>
          </w:p>
        </w:tc>
      </w:tr>
      <w:tr>
        <w:trPr/>
        <w:tc>
          <w:tcPr>
            <w:tcW w:w="1774" w:type="dxa"/>
            <w:gridSpan w:val="3"/>
            <w:tcBorders/>
            <w:vAlign w:val="center"/>
          </w:tcPr>
          <w:p>
            <w:pPr>
              <w:pStyle w:val="TableContents"/>
              <w:bidi w:val="0"/>
              <w:spacing w:before="0" w:after="283"/>
              <w:jc w:val="left"/>
              <w:rPr/>
            </w:pPr>
            <w:r>
              <w:rPr/>
              <w:t>Name:</w:t>
            </w:r>
          </w:p>
        </w:tc>
      </w:tr>
      <w:tr>
        <w:trPr/>
        <w:tc>
          <w:tcPr>
            <w:tcW w:w="1774" w:type="dxa"/>
            <w:gridSpan w:val="3"/>
            <w:tcBorders/>
            <w:vAlign w:val="center"/>
          </w:tcPr>
          <w:p>
            <w:pPr>
              <w:pStyle w:val="TableContents"/>
              <w:bidi w:val="0"/>
              <w:spacing w:before="0" w:after="283"/>
              <w:jc w:val="left"/>
              <w:rPr/>
            </w:pPr>
            <w:r>
              <w:rPr/>
              <w:t>Title:</w:t>
            </w:r>
          </w:p>
        </w:tc>
      </w:tr>
      <w:tr>
        <w:trPr/>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pPr>
            <w:r>
              <w:rPr/>
              <w:t>[_____]</w:t>
            </w:r>
          </w:p>
        </w:tc>
      </w:tr>
      <w:tr>
        <w:trPr/>
        <w:tc>
          <w:tcPr>
            <w:tcW w:w="793" w:type="dxa"/>
            <w:tcBorders/>
            <w:vAlign w:val="center"/>
          </w:tcPr>
          <w:p>
            <w:pPr>
              <w:pStyle w:val="TableContents"/>
              <w:bidi w:val="0"/>
              <w:spacing w:before="0" w:after="283"/>
              <w:jc w:val="left"/>
              <w:rPr>
                <w:sz w:val="4"/>
                <w:szCs w:val="4"/>
              </w:rPr>
            </w:pPr>
            <w:r>
              <w:rPr>
                <w:sz w:val="4"/>
                <w:szCs w:val="4"/>
              </w:rPr>
            </w:r>
          </w:p>
        </w:tc>
        <w:tc>
          <w:tcPr>
            <w:tcW w:w="981"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vAlign w:val="center"/>
          </w:tcPr>
          <w:p>
            <w:pPr>
              <w:pStyle w:val="TableContents"/>
              <w:bidi w:val="0"/>
              <w:spacing w:before="0" w:after="283"/>
              <w:jc w:val="left"/>
              <w:rPr/>
            </w:pPr>
            <w:r>
              <w:rPr/>
              <w:t>By:</w:t>
            </w:r>
          </w:p>
        </w:tc>
        <w:tc>
          <w:tcPr>
            <w:tcW w:w="148" w:type="dxa"/>
            <w:tcBorders/>
            <w:vAlign w:val="center"/>
          </w:tcPr>
          <w:p>
            <w:pPr>
              <w:pStyle w:val="TableContents"/>
              <w:bidi w:val="0"/>
              <w:spacing w:before="0" w:after="283"/>
              <w:jc w:val="left"/>
              <w:rPr/>
            </w:pPr>
            <w:r>
              <w:rPr/>
              <w:t> </w:t>
            </w:r>
          </w:p>
        </w:tc>
        <w:tc>
          <w:tcPr>
            <w:tcW w:w="833" w:type="dxa"/>
            <w:tcBorders/>
            <w:vAlign w:val="center"/>
          </w:tcPr>
          <w:p>
            <w:pPr>
              <w:pStyle w:val="TableContents"/>
              <w:pBdr>
                <w:bottom w:val="single" w:sz="2" w:space="1" w:color="000000"/>
              </w:pBdr>
              <w:bidi w:val="0"/>
              <w:spacing w:before="0" w:after="20"/>
              <w:jc w:val="left"/>
              <w:rPr/>
            </w:pPr>
            <w:r>
              <w:rPr/>
              <w:t>  </w:t>
            </w:r>
          </w:p>
        </w:tc>
      </w:tr>
      <w:tr>
        <w:trPr/>
        <w:tc>
          <w:tcPr>
            <w:tcW w:w="1774" w:type="dxa"/>
            <w:gridSpan w:val="3"/>
            <w:tcBorders/>
            <w:vAlign w:val="center"/>
          </w:tcPr>
          <w:p>
            <w:pPr>
              <w:pStyle w:val="TableContents"/>
              <w:bidi w:val="0"/>
              <w:spacing w:before="0" w:after="283"/>
              <w:jc w:val="left"/>
              <w:rPr/>
            </w:pPr>
            <w:r>
              <w:rPr/>
              <w:t>Name:</w:t>
            </w:r>
          </w:p>
        </w:tc>
      </w:tr>
      <w:tr>
        <w:trPr/>
        <w:tc>
          <w:tcPr>
            <w:tcW w:w="1774" w:type="dxa"/>
            <w:gridSpan w:val="3"/>
            <w:tcBorders/>
            <w:vAlign w:val="center"/>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Rights Agent Fee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IP Expense Fund Prioritization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34" w:name="toc770053_207"/>
      <w:bookmarkEnd w:id="334"/>
      <w:r>
        <w:rPr>
          <w:rFonts w:ascii="Times New Roman" w:hAnsi="Times New Roman"/>
          <w:b/>
          <w:sz w:val="20"/>
        </w:rPr>
        <w:t xml:space="preserve">Annex G </w:t>
      </w:r>
    </w:p>
    <w:p>
      <w:pPr>
        <w:pStyle w:val="TextBody"/>
        <w:bidi w:val="0"/>
        <w:spacing w:before="36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(the “Corporation”), a corporation organized and existing under the laws of the State of Delaware,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That the Fourth Amended and Restated Certificate of Incorporation of the Corporation that was filed with the Secretary of State of Delaware on June 25, 2018 (the “Amended and Restated Certificate”) is hereby amended to add the following paragraph after the first paragraph of Article IV thereof to provide the following: </w:t>
      </w:r>
    </w:p>
    <w:p>
      <w:pPr>
        <w:pStyle w:val="TextBody"/>
        <w:bidi w:val="0"/>
        <w:spacing w:before="240" w:after="0"/>
        <w:jc w:val="left"/>
        <w:rPr>
          <w:rFonts w:ascii="Times New Roman" w:hAnsi="Times New Roman"/>
          <w:sz w:val="20"/>
        </w:rPr>
      </w:pPr>
      <w:r>
        <w:rPr>
          <w:rFonts w:ascii="Times New Roman" w:hAnsi="Times New Roman"/>
          <w:sz w:val="20"/>
        </w:rPr>
        <w:t xml:space="preserve">Upon this Certificate of Amendment becoming effective (the “Effective Time”) pursuant to the DGCL, each [    ]1 shares of the Common Stock issued and outstanding and held of record by each stockholder of the Corporation or issued and held by the Corporation in treasury immediately prior to the Effective Time shall automatically without further action on the part of the Corporation or any holder of such Common Stock, be combined into one (1) validly issued, fully paid and nonassessable share of Common Stock, subject to the treatment of fractional share interests as described below (the “Reverse Stock Split”). No fractional shares shall be issued as a result of the Reverse Stock Split. Instead,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Each holder of record of a certificate or certificates representing one or more shares of Common Stock pre-Reverse Stock Split shall be entitled to receive as soon as practicable following the Effective Time, upon surrender of such certificate or certificates, a certificate or certificates representing the whole number of shares of Common Stock post-Reverse Stock Split to which such holder shall be entitled pursuant to the Reverse Stock Split as well as cash in lieu of any fractional shares of Common Stock to which such holder may be entitled. Each certificate that immediately prior to the Effective Time represented shares of Common Stock (“Old Certificates”), shall thereafter represent that number of shares of Common Stock into which the shares of Common Stock represented by the Old Certificate shall have been combined (as well as the right to receive cash in lieu of fractional shares of Common Stock after the Effective Time of the Reverse Stock Split upon the surrender thereof). </w:t>
      </w:r>
    </w:p>
    <w:p>
      <w:pPr>
        <w:pStyle w:val="TextBody"/>
        <w:bidi w:val="0"/>
        <w:spacing w:before="240" w:after="0"/>
        <w:jc w:val="left"/>
        <w:rPr>
          <w:rFonts w:ascii="Times New Roman" w:hAnsi="Times New Roman"/>
          <w:sz w:val="20"/>
        </w:rPr>
      </w:pPr>
      <w:r>
        <w:rPr>
          <w:rFonts w:ascii="Times New Roman" w:hAnsi="Times New Roman"/>
          <w:sz w:val="20"/>
        </w:rPr>
        <w:t xml:space="preserve">2.  That the foregoing amendment was duly adopted in accordance with Section 242 of the General Corporation Law of the State of Delaware. </w:t>
      </w:r>
    </w:p>
    <w:p>
      <w:pPr>
        <w:pStyle w:val="TextBody"/>
        <w:bidi w:val="0"/>
        <w:spacing w:before="360" w:after="0"/>
        <w:jc w:val="center"/>
        <w:rPr>
          <w:rFonts w:ascii="Times New Roman" w:hAnsi="Times New Roman"/>
          <w:i/>
          <w:sz w:val="20"/>
        </w:rPr>
      </w:pPr>
      <w:r>
        <w:rPr>
          <w:rFonts w:ascii="Times New Roman" w:hAnsi="Times New Roman"/>
          <w:i/>
          <w:sz w:val="20"/>
        </w:rPr>
        <w:t xml:space="preserve">[Signature Page Follows]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Shall be a whole number equal to or greater than three (3) and equal to or less than thirty (30), which number is referred to as the “Reverse Split Factor” (it being understood that any Reverse Split Factor within such range shall, together with the remaining provisions of this Certificate of Amendment not appearing in brackets, constitute a separate amendment being approved and adopted by the board of directors and stockholders in accordance with Section 242 of the DGCL).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Amendment to the Amended and Restated Certificate of Incorporation has been executed by a duly authorized officer of this Corporation on this    day of     , 2024. </w:t>
      </w:r>
    </w:p>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380"/>
        <w:gridCol w:w="60"/>
        <w:gridCol w:w="770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0" w:type="dxa"/>
            <w:tcBorders/>
            <w:vAlign w:val="center"/>
          </w:tcPr>
          <w:p>
            <w:pPr>
              <w:pStyle w:val="TableContents"/>
              <w:bidi w:val="0"/>
              <w:spacing w:before="0" w:after="283"/>
              <w:jc w:val="left"/>
              <w:rPr>
                <w:sz w:val="4"/>
                <w:szCs w:val="4"/>
              </w:rPr>
            </w:pPr>
            <w:r>
              <w:rPr>
                <w:sz w:val="4"/>
                <w:szCs w:val="4"/>
              </w:rPr>
            </w:r>
          </w:p>
        </w:tc>
      </w:tr>
      <w:tr>
        <w:trPr/>
        <w:tc>
          <w:tcPr>
            <w:tcW w:w="8140" w:type="dxa"/>
            <w:gridSpan w:val="3"/>
            <w:tcBorders/>
            <w:vAlign w:val="center"/>
          </w:tcPr>
          <w:p>
            <w:pPr>
              <w:pStyle w:val="TableContents"/>
              <w:bidi w:val="0"/>
              <w:spacing w:before="0" w:after="283"/>
              <w:jc w:val="left"/>
              <w:rPr/>
            </w:pPr>
            <w:r>
              <w:rPr/>
              <w:t>AVROBIO,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776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left"/>
              <w:rPr/>
            </w:pPr>
            <w:r>
              <w:rPr/>
              <w:t>Erik Ostrowski</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left"/>
              <w:rPr/>
            </w:pPr>
            <w:r>
              <w:rPr/>
              <w:t>President, Interim Chief Executive Officer,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35" w:name="toc770053_208"/>
      <w:bookmarkEnd w:id="335"/>
      <w:r>
        <w:rPr>
          <w:rFonts w:ascii="Times New Roman" w:hAnsi="Times New Roman"/>
          <w:b/>
          <w:sz w:val="20"/>
        </w:rPr>
        <w:t xml:space="preserve">Annex H </w:t>
      </w:r>
    </w:p>
    <w:p>
      <w:pPr>
        <w:pStyle w:val="TextBody"/>
        <w:bidi w:val="0"/>
        <w:spacing w:before="36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(the “Corporation”), a corporation organized and existing under the laws of the State of Delaware,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That the Fourth Amended and Restated Certificate of Incorporation of the Corporation that was filed with the Secretary of State of Delaware on June 25, 2018 (the “Amended and Restated Certificate”) is hereby amended to add a new Article X thereto to read in its entirety as follows: </w:t>
      </w:r>
    </w:p>
    <w:p>
      <w:pPr>
        <w:pStyle w:val="TextBody"/>
        <w:bidi w:val="0"/>
        <w:spacing w:before="36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An Officer of the Corporation shall not be personally liable to the Corporation or its stockholders for monetary damages for breach of his or her fiduciary duty as an Officer,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in any action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have the meaning set forth in Section 102(b)(7) of the DGCL.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this Article X by either of (i) the stockholders of the Corporation or (ii) an amendment to the DGCL, or the adoption of any provision of this Certificate inconsistent with this Article X, shall not adversely affect any right or protection existing at the time of such amendment, repeal, modification or adoption with respect to any acts or omissions occurring before such amendment, repeal, modification or adoption of a person serving as an Officer at the time of such amendment, repeal, modification or adoption.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X. </w:t>
      </w:r>
    </w:p>
    <w:p>
      <w:pPr>
        <w:pStyle w:val="TextBody"/>
        <w:bidi w:val="0"/>
        <w:spacing w:before="240" w:after="0"/>
        <w:jc w:val="left"/>
        <w:rPr>
          <w:rFonts w:ascii="Times New Roman" w:hAnsi="Times New Roman"/>
          <w:sz w:val="20"/>
        </w:rPr>
      </w:pPr>
      <w:r>
        <w:rPr>
          <w:rFonts w:ascii="Times New Roman" w:hAnsi="Times New Roman"/>
          <w:sz w:val="20"/>
        </w:rPr>
        <w:t xml:space="preserve">2.  That the foregoing amendment was duly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Certificate of Amendment to the Amended and Restated Certificate of Incorporation has been executed by a duly authorized officer of this Corporation on this     day of    , 2024. </w:t>
      </w:r>
    </w:p>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380"/>
        <w:gridCol w:w="60"/>
        <w:gridCol w:w="770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0" w:type="dxa"/>
            <w:tcBorders/>
            <w:vAlign w:val="center"/>
          </w:tcPr>
          <w:p>
            <w:pPr>
              <w:pStyle w:val="TableContents"/>
              <w:bidi w:val="0"/>
              <w:spacing w:before="0" w:after="283"/>
              <w:jc w:val="left"/>
              <w:rPr>
                <w:sz w:val="4"/>
                <w:szCs w:val="4"/>
              </w:rPr>
            </w:pPr>
            <w:r>
              <w:rPr>
                <w:sz w:val="4"/>
                <w:szCs w:val="4"/>
              </w:rPr>
            </w:r>
          </w:p>
        </w:tc>
      </w:tr>
      <w:tr>
        <w:trPr/>
        <w:tc>
          <w:tcPr>
            <w:tcW w:w="8140" w:type="dxa"/>
            <w:gridSpan w:val="3"/>
            <w:tcBorders/>
            <w:vAlign w:val="center"/>
          </w:tcPr>
          <w:p>
            <w:pPr>
              <w:pStyle w:val="TableContents"/>
              <w:bidi w:val="0"/>
              <w:spacing w:before="0" w:after="283"/>
              <w:jc w:val="left"/>
              <w:rPr/>
            </w:pPr>
            <w:r>
              <w:rPr/>
              <w:t>AVROBIO,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776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left"/>
              <w:rPr/>
            </w:pPr>
            <w:r>
              <w:rPr/>
              <w:t>Erik Ostrowski</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left"/>
              <w:rPr/>
            </w:pPr>
            <w:r>
              <w:rPr/>
              <w:t>President, Interim Chief Executive Officer,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36" w:name="toc770053_209"/>
      <w:bookmarkEnd w:id="336"/>
      <w:r>
        <w:rPr>
          <w:rFonts w:ascii="Times New Roman" w:hAnsi="Times New Roman"/>
          <w:b/>
          <w:sz w:val="20"/>
        </w:rPr>
        <w:t xml:space="preserve">Annex I </w:t>
      </w:r>
    </w:p>
    <w:p>
      <w:pPr>
        <w:pStyle w:val="TextBody"/>
        <w:bidi w:val="0"/>
        <w:spacing w:before="480" w:after="0"/>
        <w:jc w:val="center"/>
        <w:rPr>
          <w:rFonts w:ascii="Times New Roman" w:hAnsi="Times New Roman"/>
          <w:b/>
          <w:sz w:val="20"/>
        </w:rPr>
      </w:pPr>
      <w:r>
        <w:rPr>
          <w:rFonts w:ascii="Times New Roman" w:hAnsi="Times New Roman"/>
          <w:b/>
          <w:sz w:val="20"/>
        </w:rPr>
        <w:t xml:space="preserve">ANNEX I FORM OF 2024 EQUITY INCENTIVE PLAN </w:t>
      </w:r>
    </w:p>
    <w:p>
      <w:pPr>
        <w:pStyle w:val="TextBody"/>
        <w:bidi w:val="0"/>
        <w:spacing w:before="240" w:after="0"/>
        <w:jc w:val="center"/>
        <w:rPr>
          <w:rFonts w:ascii="Times New Roman" w:hAnsi="Times New Roman"/>
          <w:b/>
          <w:sz w:val="20"/>
        </w:rPr>
      </w:pPr>
      <w:r>
        <w:rPr>
          <w:rFonts w:ascii="Times New Roman" w:hAnsi="Times New Roman"/>
          <w:b/>
          <w:sz w:val="20"/>
        </w:rPr>
        <w:t>T</w:t>
      </w:r>
      <w:r>
        <w:rPr>
          <w:rFonts w:ascii="Times New Roman" w:hAnsi="Times New Roman"/>
          <w:b/>
          <w:sz w:val="20"/>
          <w:u w:val="single"/>
        </w:rPr>
        <w:t>ECTONIC</w:t>
      </w:r>
      <w:r>
        <w:rPr>
          <w:rFonts w:ascii="Times New Roman" w:hAnsi="Times New Roman"/>
          <w:b/>
          <w:sz w:val="20"/>
        </w:rPr>
        <w:t xml:space="preserve"> T</w:t>
      </w:r>
      <w:r>
        <w:rPr>
          <w:rFonts w:ascii="Times New Roman" w:hAnsi="Times New Roman"/>
          <w:b/>
          <w:sz w:val="20"/>
          <w:u w:val="single"/>
        </w:rPr>
        <w:t>HERAPEUTIC</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2024 E</w:t>
      </w:r>
      <w:r>
        <w:rPr>
          <w:rFonts w:ascii="Times New Roman" w:hAnsi="Times New Roman"/>
          <w:b/>
          <w:sz w:val="20"/>
          <w:u w:val="single"/>
        </w:rPr>
        <w:t>QUITY</w:t>
      </w:r>
      <w:r>
        <w:rPr>
          <w:rFonts w:ascii="Times New Roman" w:hAnsi="Times New Roman"/>
          <w:b/>
          <w:sz w:val="20"/>
        </w:rPr>
        <w:t xml:space="preserve"> I</w:t>
      </w:r>
      <w:r>
        <w:rPr>
          <w:rFonts w:ascii="Times New Roman" w:hAnsi="Times New Roman"/>
          <w:b/>
          <w:sz w:val="20"/>
          <w:u w:val="single"/>
        </w:rPr>
        <w:t>NCENTIVE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DOPTED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xml:space="preserve">: [ ], 2024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xml:space="preserve">: [ ], 2024 </w:t>
      </w:r>
    </w:p>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215"/>
        <w:gridCol w:w="1085"/>
      </w:tblGrid>
      <w:tr>
        <w:trPr/>
        <w:tc>
          <w:tcPr>
            <w:tcW w:w="215" w:type="dxa"/>
            <w:tcBorders/>
            <w:vAlign w:val="center"/>
          </w:tcPr>
          <w:p>
            <w:pPr>
              <w:pStyle w:val="TableContents"/>
              <w:bidi w:val="0"/>
              <w:spacing w:before="0" w:after="283"/>
              <w:jc w:val="left"/>
              <w:rPr>
                <w:b/>
              </w:rPr>
            </w:pPr>
            <w:r>
              <w:rPr>
                <w:b/>
              </w:rPr>
              <w:t>1.</w:t>
            </w:r>
          </w:p>
        </w:tc>
        <w:tc>
          <w:tcPr>
            <w:tcW w:w="1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w:t>
            </w:r>
            <w:r>
              <w:rPr>
                <w:rFonts w:ascii="Times New Roman" w:hAnsi="Times New Roman"/>
                <w:b/>
                <w:sz w:val="20"/>
                <w:u w:val="single"/>
              </w:rPr>
              <w:t>ENERAL</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215"/>
        <w:gridCol w:w="3185"/>
      </w:tblGrid>
      <w:tr>
        <w:trPr/>
        <w:tc>
          <w:tcPr>
            <w:tcW w:w="215" w:type="dxa"/>
            <w:tcBorders/>
            <w:vAlign w:val="center"/>
          </w:tcPr>
          <w:p>
            <w:pPr>
              <w:pStyle w:val="TableContents"/>
              <w:bidi w:val="0"/>
              <w:spacing w:before="0" w:after="283"/>
              <w:jc w:val="left"/>
              <w:rPr>
                <w:b/>
              </w:rPr>
            </w:pPr>
            <w:r>
              <w:rPr>
                <w:b/>
              </w:rPr>
              <w:t>2.</w:t>
            </w:r>
          </w:p>
        </w:tc>
        <w:tc>
          <w:tcPr>
            <w:tcW w:w="3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w:t>
            </w:r>
            <w:r>
              <w:rPr>
                <w:rFonts w:ascii="Times New Roman" w:hAnsi="Times New Roman"/>
                <w:b/>
                <w:sz w:val="20"/>
                <w:u w:val="single"/>
              </w:rPr>
              <w:t>HARES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Share Reserve. </w:t>
      </w:r>
      <w:r>
        <w:rPr>
          <w:rFonts w:ascii="Times New Roman" w:hAnsi="Times New Roman"/>
          <w:sz w:val="20"/>
        </w:rPr>
        <w:t>Subject to adjustment in accordance with Section 2(c) and any adjustments as necessary to implement any Capitalization Adjustments, the aggregate number of shares of Common Stock that may be issued pursuant to Awards will not exceed a number of shares of Common Stock equal to twelve and one half percent (12.5%) of the total number of shares of the Company’s Capital Stock outstanding on a fully diluted basis determined as of immediately after the Effective Time (the “</w:t>
      </w:r>
      <w:r>
        <w:rPr>
          <w:rFonts w:ascii="Times New Roman" w:hAnsi="Times New Roman"/>
          <w:b/>
          <w:i/>
          <w:sz w:val="20"/>
        </w:rPr>
        <w:t>Initial Share Reserve</w:t>
      </w:r>
      <w:r>
        <w:rPr>
          <w:rFonts w:ascii="Times New Roman" w:hAnsi="Times New Roman"/>
          <w:sz w:val="20"/>
        </w:rPr>
        <w:t xml:space="preserve">”). In addition, subject to any adjustments as necessary to implement any Capitalization Adjustments, such aggregate number of shares of Common Stock will automatically increase on January 1 of each year for a period of ten years commencing on January 1, 2025 and ending on (and including) January 1, 2034, in an amount equal to five percent (5%) of the total number of shares of Common Stock outstanding on December 31 of the preceding year; provided, however, that the Board may act prior to January 1st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three (3) multiplied by the Initial Share Reserve. </w:t>
      </w:r>
    </w:p>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275"/>
        <w:gridCol w:w="22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(c)</w:t>
            </w:r>
          </w:p>
        </w:tc>
        <w:tc>
          <w:tcPr>
            <w:tcW w:w="22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 Reserve Operation. </w:t>
            </w:r>
          </w:p>
        </w:tc>
      </w:tr>
    </w:tbl>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215"/>
        <w:gridCol w:w="3215"/>
      </w:tblGrid>
      <w:tr>
        <w:trPr/>
        <w:tc>
          <w:tcPr>
            <w:tcW w:w="215" w:type="dxa"/>
            <w:tcBorders/>
            <w:vAlign w:val="center"/>
          </w:tcPr>
          <w:p>
            <w:pPr>
              <w:pStyle w:val="TableContents"/>
              <w:bidi w:val="0"/>
              <w:spacing w:before="0" w:after="283"/>
              <w:jc w:val="left"/>
              <w:rPr>
                <w:b/>
              </w:rPr>
            </w:pPr>
            <w:r>
              <w:rPr>
                <w:b/>
              </w:rPr>
              <w:t>3.</w:t>
            </w:r>
          </w:p>
        </w:tc>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LIGIBILITY</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L</w:t>
            </w:r>
            <w:r>
              <w:rPr>
                <w:rFonts w:ascii="Times New Roman" w:hAnsi="Times New Roman"/>
                <w:b/>
                <w:sz w:val="20"/>
                <w:u w:val="single"/>
              </w:rPr>
              <w:t>IMITATIONS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unless the stock underlying such Awards is treated as “service recipient stock” under Section 409A or unless such Awards otherwise comply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215"/>
        <w:gridCol w:w="4490"/>
      </w:tblGrid>
      <w:tr>
        <w:trPr/>
        <w:tc>
          <w:tcPr>
            <w:tcW w:w="215" w:type="dxa"/>
            <w:tcBorders/>
            <w:vAlign w:val="center"/>
          </w:tcPr>
          <w:p>
            <w:pPr>
              <w:pStyle w:val="TableContents"/>
              <w:bidi w:val="0"/>
              <w:spacing w:before="0" w:after="283"/>
              <w:jc w:val="left"/>
              <w:rPr>
                <w:b/>
              </w:rPr>
            </w:pPr>
            <w:r>
              <w:rPr>
                <w:b/>
              </w:rPr>
              <w:t>4.</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such shares have been held by the Participant for any minimum period necessary to avoid adverse accounting treatment as a result of such delivery;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applicable Award Agreement or other written agreement between a Participant and the Company,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bidi w:val="0"/>
        <w:jc w:val="left"/>
        <w:rPr/>
      </w:pPr>
      <w:r>
        <w:rPr/>
      </w:r>
    </w:p>
    <w:tbl>
      <w:tblPr>
        <w:tblW w:w="6940" w:type="dxa"/>
        <w:jc w:val="left"/>
        <w:tblInd w:w="0" w:type="dxa"/>
        <w:tblLayout w:type="fixed"/>
        <w:tblCellMar>
          <w:top w:w="0" w:type="dxa"/>
          <w:left w:w="0" w:type="dxa"/>
          <w:bottom w:w="0" w:type="dxa"/>
          <w:right w:w="0" w:type="dxa"/>
        </w:tblCellMar>
      </w:tblPr>
      <w:tblGrid>
        <w:gridCol w:w="215"/>
        <w:gridCol w:w="6725"/>
      </w:tblGrid>
      <w:tr>
        <w:trPr/>
        <w:tc>
          <w:tcPr>
            <w:tcW w:w="215" w:type="dxa"/>
            <w:tcBorders/>
            <w:vAlign w:val="center"/>
          </w:tcPr>
          <w:p>
            <w:pPr>
              <w:pStyle w:val="TableContents"/>
              <w:bidi w:val="0"/>
              <w:spacing w:before="0" w:after="283"/>
              <w:jc w:val="left"/>
              <w:rPr>
                <w:b/>
              </w:rPr>
            </w:pPr>
            <w:r>
              <w:rPr>
                <w:b/>
              </w:rPr>
              <w:t>5.</w:t>
            </w:r>
          </w:p>
        </w:tc>
        <w:tc>
          <w:tcPr>
            <w:tcW w:w="6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WARDS</w:t>
            </w:r>
            <w:r>
              <w:rPr>
                <w:rFonts w:ascii="Times New Roman" w:hAnsi="Times New Roman"/>
                <w:b/>
                <w:sz w:val="20"/>
              </w:rPr>
              <w:t xml:space="preserve"> O</w:t>
            </w:r>
            <w:r>
              <w:rPr>
                <w:rFonts w:ascii="Times New Roman" w:hAnsi="Times New Roman"/>
                <w:b/>
                <w:sz w:val="20"/>
                <w:u w:val="single"/>
              </w:rPr>
              <w:t>THER</w:t>
            </w:r>
            <w:r>
              <w:rPr>
                <w:rFonts w:ascii="Times New Roman" w:hAnsi="Times New Roman"/>
                <w:b/>
                <w:sz w:val="20"/>
              </w:rPr>
              <w:t xml:space="preserve"> T</w:t>
            </w:r>
            <w:r>
              <w:rPr>
                <w:rFonts w:ascii="Times New Roman" w:hAnsi="Times New Roman"/>
                <w:b/>
                <w:sz w:val="20"/>
                <w:u w:val="single"/>
              </w:rPr>
              <w:t>HAN</w:t>
            </w:r>
            <w:r>
              <w:rPr>
                <w:rFonts w:ascii="Times New Roman" w:hAnsi="Times New Roman"/>
                <w:b/>
                <w:sz w:val="20"/>
              </w:rPr>
              <w:t xml:space="preserve"> 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(i) Form of Award.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vesting of Restricted Stock Awards and RSU Awards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215"/>
        <w:gridCol w:w="8000"/>
      </w:tblGrid>
      <w:tr>
        <w:trPr/>
        <w:tc>
          <w:tcPr>
            <w:tcW w:w="215" w:type="dxa"/>
            <w:tcBorders/>
            <w:vAlign w:val="center"/>
          </w:tcPr>
          <w:p>
            <w:pPr>
              <w:pStyle w:val="TableContents"/>
              <w:bidi w:val="0"/>
              <w:spacing w:before="0" w:after="283"/>
              <w:jc w:val="left"/>
              <w:rPr>
                <w:b/>
              </w:rPr>
            </w:pPr>
            <w:r>
              <w:rPr>
                <w:b/>
              </w:rPr>
              <w:t>6.</w:t>
            </w:r>
          </w:p>
        </w:tc>
        <w:tc>
          <w:tcPr>
            <w:tcW w:w="80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DJUSTMENTS</w:t>
            </w:r>
            <w:r>
              <w:rPr>
                <w:rFonts w:ascii="Times New Roman" w:hAnsi="Times New Roman"/>
                <w:b/>
                <w:sz w:val="20"/>
              </w:rPr>
              <w:t xml:space="preserve"> </w:t>
            </w:r>
            <w:r>
              <w:rPr>
                <w:rFonts w:ascii="Times New Roman" w:hAnsi="Times New Roman"/>
                <w:b/>
                <w:sz w:val="20"/>
                <w:u w:val="single"/>
              </w:rPr>
              <w:t>UPON</w:t>
            </w:r>
            <w:r>
              <w:rPr>
                <w:rFonts w:ascii="Times New Roman" w:hAnsi="Times New Roman"/>
                <w:b/>
                <w:sz w:val="20"/>
              </w:rPr>
              <w:t xml:space="preserve"> C</w:t>
            </w:r>
            <w:r>
              <w:rPr>
                <w:rFonts w:ascii="Times New Roman" w:hAnsi="Times New Roman"/>
                <w:b/>
                <w:sz w:val="20"/>
                <w:u w:val="single"/>
              </w:rPr>
              <w:t>HANGES</w:t>
            </w:r>
            <w:r>
              <w:rPr>
                <w:rFonts w:ascii="Times New Roman" w:hAnsi="Times New Roman"/>
                <w:b/>
                <w:sz w:val="20"/>
              </w:rPr>
              <w:t xml:space="preserve"> </w:t>
            </w:r>
            <w:r>
              <w:rPr>
                <w:rFonts w:ascii="Times New Roman" w:hAnsi="Times New Roman"/>
                <w:b/>
                <w:sz w:val="20"/>
                <w:u w:val="single"/>
              </w:rPr>
              <w:t>IN</w:t>
            </w:r>
            <w:r>
              <w:rPr>
                <w:rFonts w:ascii="Times New Roman" w:hAnsi="Times New Roman"/>
                <w:b/>
                <w:sz w:val="20"/>
              </w:rPr>
              <w:t xml:space="preserve"> C</w:t>
            </w:r>
            <w:r>
              <w:rPr>
                <w:rFonts w:ascii="Times New Roman" w:hAnsi="Times New Roman"/>
                <w:b/>
                <w:sz w:val="20"/>
                <w:u w:val="single"/>
              </w:rPr>
              <w:t>OMMON</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O</w:t>
            </w:r>
            <w:r>
              <w:rPr>
                <w:rFonts w:ascii="Times New Roman" w:hAnsi="Times New Roman"/>
                <w:b/>
                <w:sz w:val="20"/>
                <w:u w:val="single"/>
              </w:rPr>
              <w:t>THER</w:t>
            </w:r>
            <w:r>
              <w:rPr>
                <w:rFonts w:ascii="Times New Roman" w:hAnsi="Times New Roman"/>
                <w:b/>
                <w:sz w:val="20"/>
              </w:rPr>
              <w:t xml:space="preserve"> C</w:t>
            </w:r>
            <w:r>
              <w:rPr>
                <w:rFonts w:ascii="Times New Roman" w:hAnsi="Times New Roman"/>
                <w:b/>
                <w:sz w:val="20"/>
                <w:u w:val="single"/>
              </w:rPr>
              <w:t>ORPORATE</w:t>
            </w:r>
            <w:r>
              <w:rPr>
                <w:rFonts w:ascii="Times New Roman" w:hAnsi="Times New Roman"/>
                <w:b/>
                <w:sz w:val="20"/>
              </w:rPr>
              <w:t xml:space="preserve"> E</w:t>
            </w:r>
            <w:r>
              <w:rPr>
                <w:rFonts w:ascii="Times New Roman" w:hAnsi="Times New Roman"/>
                <w:b/>
                <w:sz w:val="20"/>
                <w:u w:val="single"/>
              </w:rPr>
              <w:t>VENTS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except as set forth in Section 11, unless otherwise provided in the instrument evidencing the Award or any other written agreement between the Company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b/>
              </w:rPr>
            </w:pPr>
            <w:r>
              <w:rPr>
                <w:b/>
              </w:rPr>
              <w:t>7.</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DMINISTRATION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(vii)</w:t>
      </w:r>
      <w:r>
        <w:rPr>
          <w:rFonts w:ascii="Times New Roman" w:hAnsi="Times New Roman"/>
          <w:sz w:val="20"/>
        </w:rPr>
        <w:t>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275"/>
        <w:gridCol w:w="22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(c)</w:t>
            </w:r>
          </w:p>
        </w:tc>
        <w:tc>
          <w:tcPr>
            <w:tcW w:w="2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Delegation to Committee. </w:t>
            </w:r>
          </w:p>
        </w:tc>
      </w:tr>
    </w:tbl>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Effect of Board</w:t>
      </w:r>
      <w:r>
        <w:rPr>
          <w:rFonts w:ascii="Times New Roman" w:hAnsi="Times New Roman"/>
          <w:sz w:val="20"/>
        </w:rPr>
        <w:t>’</w:t>
      </w:r>
      <w:r>
        <w:rPr>
          <w:rFonts w:ascii="Times New Roman" w:hAnsi="Times New Roman"/>
          <w:b/>
          <w:sz w:val="20"/>
        </w:rPr>
        <w:t>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215"/>
        <w:gridCol w:w="2015"/>
      </w:tblGrid>
      <w:tr>
        <w:trPr/>
        <w:tc>
          <w:tcPr>
            <w:tcW w:w="215" w:type="dxa"/>
            <w:tcBorders/>
            <w:vAlign w:val="center"/>
          </w:tcPr>
          <w:p>
            <w:pPr>
              <w:pStyle w:val="TableContents"/>
              <w:bidi w:val="0"/>
              <w:spacing w:before="0" w:after="283"/>
              <w:jc w:val="left"/>
              <w:rPr>
                <w:b/>
              </w:rPr>
            </w:pPr>
            <w:r>
              <w:rPr>
                <w:b/>
              </w:rPr>
              <w:t>8.</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w:t>
            </w:r>
            <w:r>
              <w:rPr>
                <w:rFonts w:ascii="Times New Roman" w:hAnsi="Times New Roman"/>
                <w:b/>
                <w:sz w:val="20"/>
                <w:u w:val="single"/>
              </w:rPr>
              <w:t>AX</w:t>
            </w:r>
            <w:r>
              <w:rPr>
                <w:rFonts w:ascii="Times New Roman" w:hAnsi="Times New Roman"/>
                <w:b/>
                <w:sz w:val="20"/>
              </w:rPr>
              <w:t xml:space="preserve"> W</w:t>
            </w:r>
            <w:r>
              <w:rPr>
                <w:rFonts w:ascii="Times New Roman" w:hAnsi="Times New Roman"/>
                <w:b/>
                <w:sz w:val="20"/>
                <w:u w:val="single"/>
              </w:rPr>
              <w:t>ITHHOLDING</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pay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215"/>
        <w:gridCol w:w="1820"/>
      </w:tblGrid>
      <w:tr>
        <w:trPr/>
        <w:tc>
          <w:tcPr>
            <w:tcW w:w="215" w:type="dxa"/>
            <w:tcBorders/>
            <w:vAlign w:val="center"/>
          </w:tcPr>
          <w:p>
            <w:pPr>
              <w:pStyle w:val="TableContents"/>
              <w:bidi w:val="0"/>
              <w:spacing w:before="0" w:after="283"/>
              <w:jc w:val="left"/>
              <w:rPr>
                <w:b/>
              </w:rPr>
            </w:pPr>
            <w:r>
              <w:rPr>
                <w:b/>
              </w:rPr>
              <w:t>9.</w:t>
            </w:r>
          </w:p>
        </w:tc>
        <w:tc>
          <w:tcPr>
            <w:tcW w:w="1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w:t>
            </w:r>
            <w:r>
              <w:rPr>
                <w:rFonts w:ascii="Times New Roman" w:hAnsi="Times New Roman"/>
                <w:b/>
                <w:sz w:val="20"/>
                <w:u w:val="single"/>
              </w:rPr>
              <w:t>ISCELLANEOUS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sz w:val="20"/>
        </w:rPr>
        <w:t>C</w:t>
      </w:r>
      <w:r>
        <w:rPr>
          <w:rFonts w:ascii="Times New Roman" w:hAnsi="Times New Roman"/>
          <w:b/>
          <w:sz w:val="20"/>
          <w:u w:val="single"/>
        </w:rPr>
        <w:t>HOICE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L</w:t>
      </w:r>
      <w:r>
        <w:rPr>
          <w:rFonts w:ascii="Times New Roman" w:hAnsi="Times New Roman"/>
          <w:b/>
          <w:sz w:val="20"/>
          <w:u w:val="single"/>
        </w:rPr>
        <w:t>AW</w:t>
      </w:r>
      <w:r>
        <w:rPr>
          <w:rFonts w:ascii="Times New Roman" w:hAnsi="Times New Roman"/>
          <w:b/>
          <w:sz w:val="20"/>
        </w:rPr>
        <w:t xml:space="preserve">.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35"/>
        <w:gridCol w:w="3140"/>
      </w:tblGrid>
      <w:tr>
        <w:trPr/>
        <w:tc>
          <w:tcPr>
            <w:tcW w:w="335" w:type="dxa"/>
            <w:tcBorders/>
            <w:vAlign w:val="center"/>
          </w:tcPr>
          <w:p>
            <w:pPr>
              <w:pStyle w:val="TableContents"/>
              <w:bidi w:val="0"/>
              <w:spacing w:before="0" w:after="283"/>
              <w:jc w:val="left"/>
              <w:rPr>
                <w:b/>
              </w:rPr>
            </w:pPr>
            <w:r>
              <w:rPr>
                <w:b/>
              </w:rPr>
              <w:t>10.</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OVENANTS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C</w:t>
            </w:r>
            <w:r>
              <w:rPr>
                <w:rFonts w:ascii="Times New Roman" w:hAnsi="Times New Roman"/>
                <w:b/>
                <w:sz w:val="20"/>
                <w:u w:val="single"/>
              </w:rPr>
              <w:t>OMPANY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I-14 </w:t>
      </w:r>
      <w:r>
        <w:br w:type="page"/>
      </w:r>
    </w:p>
    <w:p>
      <w:pPr>
        <w:pStyle w:val="HorizontalLine"/>
        <w:bidi w:val="0"/>
        <w:jc w:val="left"/>
        <w:rPr/>
      </w:pPr>
      <w:r>
        <w:rPr/>
      </w:r>
    </w:p>
    <w:tbl>
      <w:tblPr>
        <w:tblW w:w="6400" w:type="dxa"/>
        <w:jc w:val="left"/>
        <w:tblInd w:w="0" w:type="dxa"/>
        <w:tblLayout w:type="fixed"/>
        <w:tblCellMar>
          <w:top w:w="0" w:type="dxa"/>
          <w:left w:w="0" w:type="dxa"/>
          <w:bottom w:w="0" w:type="dxa"/>
          <w:right w:w="0" w:type="dxa"/>
        </w:tblCellMar>
      </w:tblPr>
      <w:tblGrid>
        <w:gridCol w:w="335"/>
        <w:gridCol w:w="6065"/>
      </w:tblGrid>
      <w:tr>
        <w:trPr/>
        <w:tc>
          <w:tcPr>
            <w:tcW w:w="335" w:type="dxa"/>
            <w:tcBorders/>
            <w:vAlign w:val="center"/>
          </w:tcPr>
          <w:p>
            <w:pPr>
              <w:pStyle w:val="TableContents"/>
              <w:bidi w:val="0"/>
              <w:spacing w:before="0" w:after="283"/>
              <w:jc w:val="left"/>
              <w:rPr>
                <w:b/>
              </w:rPr>
            </w:pPr>
            <w:r>
              <w:rPr>
                <w:b/>
              </w:rPr>
              <w:t>11.</w:t>
            </w:r>
          </w:p>
        </w:tc>
        <w:tc>
          <w:tcPr>
            <w:tcW w:w="60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DDITIONAL</w:t>
            </w:r>
            <w:r>
              <w:rPr>
                <w:rFonts w:ascii="Times New Roman" w:hAnsi="Times New Roman"/>
                <w:b/>
                <w:sz w:val="20"/>
              </w:rPr>
              <w:t xml:space="preserve"> R</w:t>
            </w:r>
            <w:r>
              <w:rPr>
                <w:rFonts w:ascii="Times New Roman" w:hAnsi="Times New Roman"/>
                <w:b/>
                <w:sz w:val="20"/>
                <w:u w:val="single"/>
              </w:rPr>
              <w:t>ULES</w:t>
            </w:r>
            <w:r>
              <w:rPr>
                <w:rFonts w:ascii="Times New Roman" w:hAnsi="Times New Roman"/>
                <w:b/>
                <w:sz w:val="20"/>
              </w:rPr>
              <w:t xml:space="preserve"> </w:t>
            </w:r>
            <w:r>
              <w:rPr>
                <w:rFonts w:ascii="Times New Roman" w:hAnsi="Times New Roman"/>
                <w:b/>
                <w:sz w:val="20"/>
                <w:u w:val="single"/>
              </w:rPr>
              <w:t>FOR</w:t>
            </w:r>
            <w:r>
              <w:rPr>
                <w:rFonts w:ascii="Times New Roman" w:hAnsi="Times New Roman"/>
                <w:b/>
                <w:sz w:val="20"/>
              </w:rPr>
              <w:t xml:space="preserve"> A</w:t>
            </w:r>
            <w:r>
              <w:rPr>
                <w:rFonts w:ascii="Times New Roman" w:hAnsi="Times New Roman"/>
                <w:b/>
                <w:sz w:val="20"/>
                <w:u w:val="single"/>
              </w:rPr>
              <w:t>WARDS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S</w:t>
            </w:r>
            <w:r>
              <w:rPr>
                <w:rFonts w:ascii="Times New Roman" w:hAnsi="Times New Roman"/>
                <w:b/>
                <w:sz w:val="20"/>
                <w:u w:val="single"/>
              </w:rPr>
              <w:t>ECTION</w:t>
            </w:r>
            <w:r>
              <w:rPr>
                <w:rFonts w:ascii="Times New Roman" w:hAnsi="Times New Roman"/>
                <w:b/>
                <w:sz w:val="20"/>
              </w:rPr>
              <w:t xml:space="preserve"> 409A.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U.S. Treasury Regulations Section 1.409A-3(j)(4)(ix).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283"/>
              <w:jc w:val="left"/>
              <w:rPr>
                <w:b/>
              </w:rPr>
            </w:pPr>
            <w:r>
              <w:rPr>
                <w:b/>
              </w:rPr>
              <w:t>12.</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w:t>
            </w:r>
            <w:r>
              <w:rPr>
                <w:rFonts w:ascii="Times New Roman" w:hAnsi="Times New Roman"/>
                <w:b/>
                <w:sz w:val="20"/>
                <w:u w:val="single"/>
              </w:rPr>
              <w:t>EVERABILITY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I-17 </w:t>
      </w:r>
      <w:r>
        <w:br w:type="page"/>
      </w:r>
    </w:p>
    <w:p>
      <w:pPr>
        <w:pStyle w:val="HorizontalLine"/>
        <w:bidi w:val="0"/>
        <w:jc w:val="left"/>
        <w:rPr/>
      </w:pPr>
      <w:r>
        <w:rPr/>
      </w:r>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b/>
              </w:rPr>
            </w:pPr>
            <w:r>
              <w:rPr>
                <w:b/>
              </w:rPr>
              <w:t>13.</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b/>
              </w:rPr>
            </w:pPr>
            <w:r>
              <w:rPr>
                <w:b/>
              </w:rPr>
              <w:t>14.</w:t>
            </w:r>
          </w:p>
        </w:tc>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EFINITIONS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Cause</w:t>
      </w:r>
      <w:r>
        <w:rPr>
          <w:rFonts w:ascii="Times New Roman" w:hAnsi="Times New Roman"/>
          <w:sz w:val="20"/>
        </w:rPr>
        <w:t xml:space="preserve">” has the meaning ascribed to such term in any written agreement between a Participant and the Company or any Affiliate of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 individuals who, on the Adoption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Tectonic Therapeutic, Inc., a Delaware corporation, and any successor corporation thereto.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the date of the closing of the transactions contemplated by the Merger Agreement, provided that this Plan is approved by the Company’s stockholders prior to such date.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Effective Time</w:t>
      </w:r>
      <w:r>
        <w:rPr>
          <w:rFonts w:ascii="Times New Roman" w:hAnsi="Times New Roman"/>
          <w:sz w:val="20"/>
        </w:rPr>
        <w:t xml:space="preserve">” has the meaning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Merger Agreement</w:t>
      </w:r>
      <w:r>
        <w:rPr>
          <w:rFonts w:ascii="Times New Roman" w:hAnsi="Times New Roman"/>
          <w:sz w:val="20"/>
        </w:rPr>
        <w:t>” means that certain Agreement and Plan of Merger and Reorganization, dated as of January 30, 2024, among AVROBIO, Inc. a Delaware corporation (“</w:t>
      </w:r>
      <w:r>
        <w:rPr>
          <w:rFonts w:ascii="Times New Roman" w:hAnsi="Times New Roman"/>
          <w:b/>
          <w:i/>
          <w:sz w:val="20"/>
        </w:rPr>
        <w:t>Aspen</w:t>
      </w:r>
      <w:r>
        <w:rPr>
          <w:rFonts w:ascii="Times New Roman" w:hAnsi="Times New Roman"/>
          <w:sz w:val="20"/>
        </w:rPr>
        <w:t xml:space="preserve">”), Alpine Merger Subsidiary, Inc., a Delaware corporation and wholly owned subsidiary of Aspen, and the Tectonic Therapeutic, Inc, a Delaware corporation.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Arrangement.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w:t>
      </w:r>
      <w:r>
        <w:rPr>
          <w:rFonts w:ascii="Times New Roman" w:hAnsi="Times New Roman"/>
          <w:b/>
          <w:i/>
          <w:sz w:val="20"/>
        </w:rPr>
        <w:t>Non-Exempt Severance Arrangement</w:t>
      </w:r>
      <w:r>
        <w:rPr>
          <w:rFonts w:ascii="Times New Roman" w:hAnsi="Times New Roman"/>
          <w:sz w:val="20"/>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U.S. Treasury Regulations Section 1.409A-1(b)(4), 1.409A-1(b)(9) or otherwise.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w:t>
      </w:r>
      <w:r>
        <w:rPr>
          <w:rFonts w:ascii="Times New Roman" w:hAnsi="Times New Roman"/>
          <w:b/>
          <w:i/>
          <w:sz w:val="20"/>
        </w:rPr>
        <w:t>Option Agreement</w:t>
      </w:r>
      <w:r>
        <w:rPr>
          <w:rFonts w:ascii="Times New Roman" w:hAnsi="Times New Roman"/>
          <w:sz w:val="20"/>
        </w:rPr>
        <w:t xml:space="preserve">” means a written or electronic agreement between the Company and the Optionholder evidencing the terms and conditions of the Option grant. The Option Agreement includes the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w:t>
      </w:r>
      <w:r>
        <w:rPr>
          <w:rFonts w:ascii="Times New Roman" w:hAnsi="Times New Roman"/>
          <w:b/>
          <w:i/>
          <w:sz w:val="20"/>
        </w:rPr>
        <w:t>Other Award Agreement</w:t>
      </w:r>
      <w:r>
        <w:rPr>
          <w:rFonts w:ascii="Times New Roman" w:hAnsi="Times New Roman"/>
          <w:sz w:val="20"/>
        </w:rPr>
        <w:t xml:space="preserve">” means a written or electronic agreement between the Company and a holder of an Other Award evidencing the terms and conditions of an Other Award grant. Each Other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or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240" w:after="0"/>
        <w:jc w:val="left"/>
        <w:rPr>
          <w:rFonts w:ascii="Times New Roman" w:hAnsi="Times New Roman"/>
          <w:sz w:val="20"/>
        </w:rPr>
      </w:pPr>
      <w:r>
        <w:rPr>
          <w:rFonts w:ascii="Times New Roman" w:hAnsi="Times New Roman"/>
          <w:b/>
          <w:sz w:val="20"/>
        </w:rPr>
        <w:t>(zz)</w:t>
      </w:r>
      <w:r>
        <w:rPr>
          <w:rFonts w:ascii="Times New Roman" w:hAnsi="Times New Roman"/>
          <w:sz w:val="20"/>
        </w:rPr>
        <w:t>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Tectonic Therapeutic, Inc. 2024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day-to-day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(ddd)</w:t>
      </w:r>
      <w:r>
        <w:rPr>
          <w:rFonts w:ascii="Times New Roman" w:hAnsi="Times New Roman"/>
          <w:sz w:val="20"/>
        </w:rPr>
        <w:t> “</w:t>
      </w:r>
      <w:r>
        <w:rPr>
          <w:rFonts w:ascii="Times New Roman" w:hAnsi="Times New Roman"/>
          <w:b/>
          <w:i/>
          <w:sz w:val="20"/>
        </w:rPr>
        <w:t>Restricted Stock Award</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w:t>
      </w:r>
      <w:r>
        <w:rPr>
          <w:rFonts w:ascii="Times New Roman" w:hAnsi="Times New Roman"/>
          <w:b/>
          <w:i/>
          <w:sz w:val="20"/>
        </w:rPr>
        <w:t>Restricted Stock Award Agreement</w:t>
      </w:r>
      <w:r>
        <w:rPr>
          <w:rFonts w:ascii="Times New Roman" w:hAnsi="Times New Roman"/>
          <w:sz w:val="20"/>
        </w:rPr>
        <w:t xml:space="preserve">” means a written or electronic agreement between the Company and a holder of a Restricted Stock Award evidencing the terms and conditions of a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w:t>
      </w:r>
      <w:r>
        <w:rPr>
          <w:rFonts w:ascii="Times New Roman" w:hAnsi="Times New Roman"/>
          <w:b/>
          <w:i/>
          <w:sz w:val="20"/>
        </w:rPr>
        <w:t>RSU Award Agreement</w:t>
      </w:r>
      <w:r>
        <w:rPr>
          <w:rFonts w:ascii="Times New Roman" w:hAnsi="Times New Roman"/>
          <w:sz w:val="20"/>
        </w:rPr>
        <w:t xml:space="preserve">”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w:t>
      </w:r>
      <w:r>
        <w:rPr>
          <w:rFonts w:ascii="Times New Roman" w:hAnsi="Times New Roman"/>
          <w:b/>
          <w:i/>
          <w:sz w:val="20"/>
        </w:rPr>
        <w:t>SAR Agreement</w:t>
      </w:r>
      <w:r>
        <w:rPr>
          <w:rFonts w:ascii="Times New Roman" w:hAnsi="Times New Roman"/>
          <w:sz w:val="20"/>
        </w:rPr>
        <w:t xml:space="preserve">”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(mmm)</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(nnn)</w:t>
      </w:r>
      <w:r>
        <w:rPr>
          <w:rFonts w:ascii="Times New Roman" w:hAnsi="Times New Roman"/>
          <w:sz w:val="20"/>
        </w:rPr>
        <w:t>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(ooo)</w:t>
      </w:r>
      <w:r>
        <w:rPr>
          <w:rFonts w:ascii="Times New Roman" w:hAnsi="Times New Roman"/>
          <w:sz w:val="20"/>
        </w:rPr>
        <w:t>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(ppp)</w:t>
      </w:r>
      <w:r>
        <w:rPr>
          <w:rFonts w:ascii="Times New Roman" w:hAnsi="Times New Roman"/>
          <w:sz w:val="20"/>
        </w:rPr>
        <w:t>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(qqq)</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(rrr)</w:t>
      </w:r>
      <w:r>
        <w:rPr>
          <w:rFonts w:ascii="Times New Roman" w:hAnsi="Times New Roman"/>
          <w:sz w:val="20"/>
        </w:rPr>
        <w:t>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(sss)</w:t>
      </w:r>
      <w:r>
        <w:rPr>
          <w:rFonts w:ascii="Times New Roman" w:hAnsi="Times New Roman"/>
          <w:sz w:val="20"/>
        </w:rPr>
        <w:t>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(ttt)</w:t>
      </w:r>
      <w:r>
        <w:rPr>
          <w:rFonts w:ascii="Times New Roman" w:hAnsi="Times New Roman"/>
          <w:sz w:val="20"/>
        </w:rPr>
        <w:t>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left"/>
        <w:rPr>
          <w:rFonts w:ascii="Times New Roman" w:hAnsi="Times New Roman"/>
          <w:sz w:val="20"/>
        </w:rPr>
      </w:pPr>
      <w:r>
        <w:rPr>
          <w:rFonts w:ascii="Times New Roman" w:hAnsi="Times New Roman"/>
          <w:b/>
          <w:sz w:val="20"/>
        </w:rPr>
        <w:t>(uuu)</w:t>
      </w:r>
      <w:r>
        <w:rPr>
          <w:rFonts w:ascii="Times New Roman" w:hAnsi="Times New Roman"/>
          <w:sz w:val="20"/>
        </w:rPr>
        <w:t>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I-27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37" w:name="toc770053_210"/>
      <w:bookmarkEnd w:id="337"/>
      <w:r>
        <w:rPr>
          <w:rFonts w:ascii="Times New Roman" w:hAnsi="Times New Roman"/>
          <w:b/>
          <w:sz w:val="20"/>
        </w:rPr>
        <w:t xml:space="preserve">Annex J </w:t>
      </w:r>
    </w:p>
    <w:p>
      <w:pPr>
        <w:pStyle w:val="TextBody"/>
        <w:bidi w:val="0"/>
        <w:spacing w:before="480" w:after="0"/>
        <w:jc w:val="center"/>
        <w:rPr>
          <w:rFonts w:ascii="Times New Roman" w:hAnsi="Times New Roman"/>
          <w:b/>
          <w:sz w:val="20"/>
        </w:rPr>
      </w:pPr>
      <w:r>
        <w:rPr>
          <w:rFonts w:ascii="Times New Roman" w:hAnsi="Times New Roman"/>
          <w:b/>
          <w:sz w:val="20"/>
        </w:rPr>
        <w:t xml:space="preserve">ANNEX J FORM OF 2024 ESPP </w:t>
      </w:r>
    </w:p>
    <w:p>
      <w:pPr>
        <w:pStyle w:val="TextBody"/>
        <w:bidi w:val="0"/>
        <w:spacing w:before="240" w:after="0"/>
        <w:jc w:val="center"/>
        <w:rPr>
          <w:rFonts w:ascii="Times New Roman" w:hAnsi="Times New Roman"/>
          <w:b/>
          <w:sz w:val="20"/>
        </w:rPr>
      </w:pPr>
      <w:r>
        <w:rPr>
          <w:rFonts w:ascii="Times New Roman" w:hAnsi="Times New Roman"/>
          <w:b/>
          <w:sz w:val="20"/>
        </w:rPr>
        <w:t>T</w:t>
      </w:r>
      <w:r>
        <w:rPr>
          <w:rFonts w:ascii="Times New Roman" w:hAnsi="Times New Roman"/>
          <w:b/>
          <w:sz w:val="20"/>
          <w:u w:val="single"/>
        </w:rPr>
        <w:t>ECTONIC</w:t>
      </w:r>
      <w:r>
        <w:rPr>
          <w:rFonts w:ascii="Times New Roman" w:hAnsi="Times New Roman"/>
          <w:b/>
          <w:sz w:val="20"/>
        </w:rPr>
        <w:t xml:space="preserve"> T</w:t>
      </w:r>
      <w:r>
        <w:rPr>
          <w:rFonts w:ascii="Times New Roman" w:hAnsi="Times New Roman"/>
          <w:b/>
          <w:sz w:val="20"/>
          <w:u w:val="single"/>
        </w:rPr>
        <w:t>HERAPEUTIC</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2024 E</w:t>
      </w:r>
      <w:r>
        <w:rPr>
          <w:rFonts w:ascii="Times New Roman" w:hAnsi="Times New Roman"/>
          <w:b/>
          <w:sz w:val="20"/>
          <w:u w:val="single"/>
        </w:rPr>
        <w:t>MPLOYEE</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P</w:t>
      </w:r>
      <w:r>
        <w:rPr>
          <w:rFonts w:ascii="Times New Roman" w:hAnsi="Times New Roman"/>
          <w:b/>
          <w:sz w:val="20"/>
          <w:u w:val="single"/>
        </w:rPr>
        <w:t>URCHASE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DOPTED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xml:space="preserve">: [ ], 2024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xml:space="preserve">: [ ], 2024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b/>
              </w:rPr>
            </w:pPr>
            <w:r>
              <w:rPr>
                <w:b/>
              </w:rPr>
              <w:t>1.</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w:t>
            </w:r>
            <w:r>
              <w:rPr>
                <w:rFonts w:ascii="Times New Roman" w:hAnsi="Times New Roman"/>
                <w:b/>
                <w:sz w:val="20"/>
                <w:u w:val="single"/>
              </w:rPr>
              <w:t>ENERAL</w:t>
            </w:r>
            <w:r>
              <w:rPr>
                <w:rFonts w:ascii="Times New Roman" w:hAnsi="Times New Roman"/>
                <w:b/>
                <w:sz w:val="20"/>
              </w:rPr>
              <w:t>; P</w:t>
            </w:r>
            <w:r>
              <w:rPr>
                <w:rFonts w:ascii="Times New Roman" w:hAnsi="Times New Roman"/>
                <w:b/>
                <w:sz w:val="20"/>
                <w:u w:val="single"/>
              </w:rPr>
              <w:t>URPOSE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b/>
              </w:rPr>
            </w:pPr>
            <w:r>
              <w:rPr>
                <w:b/>
              </w:rPr>
              <w:t>2.</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DMINISTRATION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will not be subject to review by any person and will be final, binding and conclusive on all persons.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215"/>
        <w:gridCol w:w="5195"/>
      </w:tblGrid>
      <w:tr>
        <w:trPr/>
        <w:tc>
          <w:tcPr>
            <w:tcW w:w="215" w:type="dxa"/>
            <w:tcBorders/>
            <w:vAlign w:val="center"/>
          </w:tcPr>
          <w:p>
            <w:pPr>
              <w:pStyle w:val="TableContents"/>
              <w:bidi w:val="0"/>
              <w:spacing w:before="0" w:after="283"/>
              <w:jc w:val="left"/>
              <w:rPr>
                <w:b/>
              </w:rPr>
            </w:pPr>
            <w:r>
              <w:rPr>
                <w:b/>
              </w:rPr>
              <w:t>3.</w:t>
            </w:r>
          </w:p>
        </w:tc>
        <w:tc>
          <w:tcPr>
            <w:tcW w:w="5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w:t>
            </w:r>
            <w:r>
              <w:rPr>
                <w:rFonts w:ascii="Times New Roman" w:hAnsi="Times New Roman"/>
                <w:b/>
                <w:sz w:val="20"/>
                <w:u w:val="single"/>
              </w:rPr>
              <w:t>HARES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C</w:t>
            </w:r>
            <w:r>
              <w:rPr>
                <w:rFonts w:ascii="Times New Roman" w:hAnsi="Times New Roman"/>
                <w:b/>
                <w:sz w:val="20"/>
                <w:u w:val="single"/>
              </w:rPr>
              <w:t>OMMON</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 Subject to the provisions of Section 11(a) relating to Capitalization Adjustments, the maximum number of shares of Common Stock that may be issued under the Plan will not exceed a number of shares of Common Stock equal to one percent (1%) of the total number of shares of Common Stock issued and outstanding determined as of immediately after the Effective Time (the “</w:t>
      </w:r>
      <w:r>
        <w:rPr>
          <w:rFonts w:ascii="Times New Roman" w:hAnsi="Times New Roman"/>
          <w:b/>
          <w:i/>
          <w:sz w:val="20"/>
        </w:rPr>
        <w:t>Initial Share Reserve</w:t>
      </w:r>
      <w:r>
        <w:rPr>
          <w:rFonts w:ascii="Times New Roman" w:hAnsi="Times New Roman"/>
          <w:sz w:val="20"/>
        </w:rPr>
        <w:t xml:space="preserve">”), plus the number of shares of Common Stock that are automatically added on January 1st of each year for a period of up to ten years, commencing on January 1, 2025 and ending on (and including) January 1, 2034, in an amount equal to the lesser of (x) one percent (1%) of the total number of shares of Common Stock outstanding on December 31st of the preceding calendar year, and (y) a number of shares equal to three times the Initial Share Reserve.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reserved under this Section 3(a) may be used to satisfy purchases of Common Stock under the 423 Component and any remaining portion of such maximum number of shares may be used to satisfy purchases of Common Stock under the Non-423 Component.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283"/>
              <w:jc w:val="left"/>
              <w:rPr>
                <w:b/>
              </w:rPr>
            </w:pPr>
            <w:r>
              <w:rPr>
                <w:b/>
              </w:rPr>
              <w:t>4.</w:t>
            </w:r>
          </w:p>
        </w:tc>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w:t>
            </w:r>
            <w:r>
              <w:rPr>
                <w:rFonts w:ascii="Times New Roman" w:hAnsi="Times New Roman"/>
                <w:b/>
                <w:sz w:val="20"/>
                <w:u w:val="single"/>
              </w:rPr>
              <w:t>RANT</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P</w:t>
            </w:r>
            <w:r>
              <w:rPr>
                <w:rFonts w:ascii="Times New Roman" w:hAnsi="Times New Roman"/>
                <w:b/>
                <w:sz w:val="20"/>
                <w:u w:val="single"/>
              </w:rPr>
              <w:t>URCHASE</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O</w:t>
            </w:r>
            <w:r>
              <w:rPr>
                <w:rFonts w:ascii="Times New Roman" w:hAnsi="Times New Roman"/>
                <w:b/>
                <w:sz w:val="20"/>
                <w:u w:val="single"/>
              </w:rPr>
              <w:t>FFERING</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the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215"/>
        <w:gridCol w:w="1385"/>
      </w:tblGrid>
      <w:tr>
        <w:trPr/>
        <w:tc>
          <w:tcPr>
            <w:tcW w:w="215" w:type="dxa"/>
            <w:tcBorders/>
            <w:vAlign w:val="center"/>
          </w:tcPr>
          <w:p>
            <w:pPr>
              <w:pStyle w:val="TableContents"/>
              <w:bidi w:val="0"/>
              <w:spacing w:before="0" w:after="283"/>
              <w:jc w:val="left"/>
              <w:rPr>
                <w:b/>
              </w:rPr>
            </w:pPr>
            <w:r>
              <w:rPr>
                <w:b/>
              </w:rPr>
              <w:t>5.</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LIGIBILITY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the individual will not receive any Purchase Right under that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215"/>
        <w:gridCol w:w="3770"/>
      </w:tblGrid>
      <w:tr>
        <w:trPr/>
        <w:tc>
          <w:tcPr>
            <w:tcW w:w="215" w:type="dxa"/>
            <w:tcBorders/>
            <w:vAlign w:val="center"/>
          </w:tcPr>
          <w:p>
            <w:pPr>
              <w:pStyle w:val="TableContents"/>
              <w:bidi w:val="0"/>
              <w:spacing w:before="0" w:after="283"/>
              <w:jc w:val="left"/>
              <w:rPr>
                <w:b/>
              </w:rPr>
            </w:pPr>
            <w:r>
              <w:rPr>
                <w:b/>
              </w:rPr>
              <w:t>6.</w:t>
            </w:r>
          </w:p>
        </w:tc>
        <w:tc>
          <w:tcPr>
            <w:tcW w:w="3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w:t>
            </w:r>
            <w:r>
              <w:rPr>
                <w:rFonts w:ascii="Times New Roman" w:hAnsi="Times New Roman"/>
                <w:b/>
                <w:sz w:val="20"/>
                <w:u w:val="single"/>
              </w:rPr>
              <w:t>URCHASE</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P</w:t>
            </w:r>
            <w:r>
              <w:rPr>
                <w:rFonts w:ascii="Times New Roman" w:hAnsi="Times New Roman"/>
                <w:b/>
                <w:sz w:val="20"/>
                <w:u w:val="single"/>
              </w:rPr>
              <w:t>URCHASE</w:t>
            </w:r>
            <w:r>
              <w:rPr>
                <w:rFonts w:ascii="Times New Roman" w:hAnsi="Times New Roman"/>
                <w:b/>
                <w:sz w:val="20"/>
              </w:rPr>
              <w:t xml:space="preserve"> P</w:t>
            </w:r>
            <w:r>
              <w:rPr>
                <w:rFonts w:ascii="Times New Roman" w:hAnsi="Times New Roman"/>
                <w:b/>
                <w:sz w:val="20"/>
                <w:u w:val="single"/>
              </w:rPr>
              <w:t>RICE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Offering Date (or such later date as the Board determines for a particular Offering) and ends on the date stated in the Offering, which date will be no later than the end of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specified by the Board prior to commencement of an Offering and will not be less than the lesser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215"/>
        <w:gridCol w:w="4745"/>
      </w:tblGrid>
      <w:tr>
        <w:trPr/>
        <w:tc>
          <w:tcPr>
            <w:tcW w:w="215" w:type="dxa"/>
            <w:tcBorders/>
            <w:vAlign w:val="center"/>
          </w:tcPr>
          <w:p>
            <w:pPr>
              <w:pStyle w:val="TableContents"/>
              <w:bidi w:val="0"/>
              <w:spacing w:before="0" w:after="283"/>
              <w:jc w:val="left"/>
              <w:rPr>
                <w:b/>
              </w:rPr>
            </w:pPr>
            <w:r>
              <w:rPr>
                <w:b/>
              </w:rPr>
              <w:t>7.</w:t>
            </w:r>
          </w:p>
        </w:tc>
        <w:tc>
          <w:tcPr>
            <w:tcW w:w="4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w:t>
            </w:r>
            <w:r>
              <w:rPr>
                <w:rFonts w:ascii="Times New Roman" w:hAnsi="Times New Roman"/>
                <w:b/>
                <w:sz w:val="20"/>
                <w:u w:val="single"/>
              </w:rPr>
              <w:t>ARTICIPATION</w:t>
            </w:r>
            <w:r>
              <w:rPr>
                <w:rFonts w:ascii="Times New Roman" w:hAnsi="Times New Roman"/>
                <w:b/>
                <w:sz w:val="20"/>
              </w:rPr>
              <w:t>; W</w:t>
            </w:r>
            <w:r>
              <w:rPr>
                <w:rFonts w:ascii="Times New Roman" w:hAnsi="Times New Roman"/>
                <w:b/>
                <w:sz w:val="20"/>
                <w:u w:val="single"/>
              </w:rPr>
              <w:t>ITHDRAWAL</w:t>
            </w:r>
            <w:r>
              <w:rPr>
                <w:rFonts w:ascii="Times New Roman" w:hAnsi="Times New Roman"/>
                <w:b/>
                <w:sz w:val="20"/>
              </w:rPr>
              <w:t>; T</w:t>
            </w:r>
            <w:r>
              <w:rPr>
                <w:rFonts w:ascii="Times New Roman" w:hAnsi="Times New Roman"/>
                <w:b/>
                <w:sz w:val="20"/>
                <w:u w:val="single"/>
              </w:rPr>
              <w:t>ERMINATION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 Purchase Rights granted pursuant to any Offering under the Plan will terminate immediately if the Participant either (i) is no longer an Employee for any reason or for no reason or (ii) is otherwise no longer eligible to participate. The Company will distribute as soon as practicable to such individual all of such individual’s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215"/>
        <w:gridCol w:w="3320"/>
      </w:tblGrid>
      <w:tr>
        <w:trPr/>
        <w:tc>
          <w:tcPr>
            <w:tcW w:w="215" w:type="dxa"/>
            <w:tcBorders/>
            <w:vAlign w:val="center"/>
          </w:tcPr>
          <w:p>
            <w:pPr>
              <w:pStyle w:val="TableContents"/>
              <w:bidi w:val="0"/>
              <w:spacing w:before="0" w:after="283"/>
              <w:jc w:val="left"/>
              <w:rPr>
                <w:b/>
              </w:rPr>
            </w:pPr>
            <w:r>
              <w:rPr>
                <w:b/>
              </w:rPr>
              <w:t>8.</w:t>
            </w:r>
          </w:p>
        </w:tc>
        <w:tc>
          <w:tcPr>
            <w:tcW w:w="3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XERCISE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P</w:t>
            </w:r>
            <w:r>
              <w:rPr>
                <w:rFonts w:ascii="Times New Roman" w:hAnsi="Times New Roman"/>
                <w:b/>
                <w:sz w:val="20"/>
                <w:u w:val="single"/>
              </w:rPr>
              <w:t>URCHASE</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283"/>
              <w:jc w:val="left"/>
              <w:rPr>
                <w:b/>
              </w:rPr>
            </w:pPr>
            <w:r>
              <w:rPr>
                <w:b/>
              </w:rPr>
              <w:t>9.</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OVENANTS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C</w:t>
            </w:r>
            <w:r>
              <w:rPr>
                <w:rFonts w:ascii="Times New Roman" w:hAnsi="Times New Roman"/>
                <w:b/>
                <w:sz w:val="20"/>
                <w:u w:val="single"/>
              </w:rPr>
              <w:t>OMPANY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335"/>
        <w:gridCol w:w="3200"/>
      </w:tblGrid>
      <w:tr>
        <w:trPr/>
        <w:tc>
          <w:tcPr>
            <w:tcW w:w="335" w:type="dxa"/>
            <w:tcBorders/>
            <w:vAlign w:val="center"/>
          </w:tcPr>
          <w:p>
            <w:pPr>
              <w:pStyle w:val="TableContents"/>
              <w:bidi w:val="0"/>
              <w:spacing w:before="0" w:after="283"/>
              <w:jc w:val="left"/>
              <w:rPr>
                <w:b/>
              </w:rPr>
            </w:pPr>
            <w:r>
              <w:rPr>
                <w:b/>
              </w:rPr>
              <w:t>10.</w:t>
            </w:r>
          </w:p>
        </w:tc>
        <w:tc>
          <w:tcPr>
            <w:tcW w:w="3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ESIGNATION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B</w:t>
            </w:r>
            <w:r>
              <w:rPr>
                <w:rFonts w:ascii="Times New Roman" w:hAnsi="Times New Roman"/>
                <w:b/>
                <w:sz w:val="20"/>
                <w:u w:val="single"/>
              </w:rPr>
              <w:t>ENEFICIARY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335"/>
        <w:gridCol w:w="7985"/>
      </w:tblGrid>
      <w:tr>
        <w:trPr/>
        <w:tc>
          <w:tcPr>
            <w:tcW w:w="335" w:type="dxa"/>
            <w:tcBorders/>
            <w:vAlign w:val="center"/>
          </w:tcPr>
          <w:p>
            <w:pPr>
              <w:pStyle w:val="TableContents"/>
              <w:bidi w:val="0"/>
              <w:spacing w:before="0" w:after="283"/>
              <w:jc w:val="left"/>
              <w:rPr>
                <w:b/>
              </w:rPr>
            </w:pPr>
            <w:r>
              <w:rPr>
                <w:b/>
              </w:rPr>
              <w:t>11.</w:t>
            </w:r>
          </w:p>
        </w:tc>
        <w:tc>
          <w:tcPr>
            <w:tcW w:w="7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DJUSTMENTS</w:t>
            </w:r>
            <w:r>
              <w:rPr>
                <w:rFonts w:ascii="Times New Roman" w:hAnsi="Times New Roman"/>
                <w:b/>
                <w:sz w:val="20"/>
              </w:rPr>
              <w:t xml:space="preserve"> </w:t>
            </w:r>
            <w:r>
              <w:rPr>
                <w:rFonts w:ascii="Times New Roman" w:hAnsi="Times New Roman"/>
                <w:b/>
                <w:sz w:val="20"/>
                <w:u w:val="single"/>
              </w:rPr>
              <w:t>UPON</w:t>
            </w:r>
            <w:r>
              <w:rPr>
                <w:rFonts w:ascii="Times New Roman" w:hAnsi="Times New Roman"/>
                <w:b/>
                <w:sz w:val="20"/>
              </w:rPr>
              <w:t xml:space="preserve"> C</w:t>
            </w:r>
            <w:r>
              <w:rPr>
                <w:rFonts w:ascii="Times New Roman" w:hAnsi="Times New Roman"/>
                <w:b/>
                <w:sz w:val="20"/>
                <w:u w:val="single"/>
              </w:rPr>
              <w:t>HANGES</w:t>
            </w:r>
            <w:r>
              <w:rPr>
                <w:rFonts w:ascii="Times New Roman" w:hAnsi="Times New Roman"/>
                <w:b/>
                <w:sz w:val="20"/>
              </w:rPr>
              <w:t xml:space="preserve"> </w:t>
            </w:r>
            <w:r>
              <w:rPr>
                <w:rFonts w:ascii="Times New Roman" w:hAnsi="Times New Roman"/>
                <w:b/>
                <w:sz w:val="20"/>
                <w:u w:val="single"/>
              </w:rPr>
              <w:t>IN</w:t>
            </w:r>
            <w:r>
              <w:rPr>
                <w:rFonts w:ascii="Times New Roman" w:hAnsi="Times New Roman"/>
                <w:b/>
                <w:sz w:val="20"/>
              </w:rPr>
              <w:t xml:space="preserve"> C</w:t>
            </w:r>
            <w:r>
              <w:rPr>
                <w:rFonts w:ascii="Times New Roman" w:hAnsi="Times New Roman"/>
                <w:b/>
                <w:sz w:val="20"/>
                <w:u w:val="single"/>
              </w:rPr>
              <w:t>OMMON</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C</w:t>
            </w:r>
            <w:r>
              <w:rPr>
                <w:rFonts w:ascii="Times New Roman" w:hAnsi="Times New Roman"/>
                <w:b/>
                <w:sz w:val="20"/>
                <w:u w:val="single"/>
              </w:rPr>
              <w:t>ORPORATE</w:t>
            </w:r>
            <w:r>
              <w:rPr>
                <w:rFonts w:ascii="Times New Roman" w:hAnsi="Times New Roman"/>
                <w:b/>
                <w:sz w:val="20"/>
              </w:rPr>
              <w:t xml:space="preserve"> T</w:t>
            </w:r>
            <w:r>
              <w:rPr>
                <w:rFonts w:ascii="Times New Roman" w:hAnsi="Times New Roman"/>
                <w:b/>
                <w:sz w:val="20"/>
                <w:u w:val="single"/>
              </w:rPr>
              <w:t>RANSACTIONS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bidi w:val="0"/>
        <w:jc w:val="left"/>
        <w:rPr/>
      </w:pPr>
      <w:r>
        <w:rPr/>
      </w:r>
    </w:p>
    <w:tbl>
      <w:tblPr>
        <w:tblW w:w="6205" w:type="dxa"/>
        <w:jc w:val="left"/>
        <w:tblInd w:w="0" w:type="dxa"/>
        <w:tblLayout w:type="fixed"/>
        <w:tblCellMar>
          <w:top w:w="0" w:type="dxa"/>
          <w:left w:w="0" w:type="dxa"/>
          <w:bottom w:w="0" w:type="dxa"/>
          <w:right w:w="0" w:type="dxa"/>
        </w:tblCellMar>
      </w:tblPr>
      <w:tblGrid>
        <w:gridCol w:w="335"/>
        <w:gridCol w:w="5870"/>
      </w:tblGrid>
      <w:tr>
        <w:trPr/>
        <w:tc>
          <w:tcPr>
            <w:tcW w:w="335" w:type="dxa"/>
            <w:tcBorders/>
            <w:vAlign w:val="center"/>
          </w:tcPr>
          <w:p>
            <w:pPr>
              <w:pStyle w:val="TableContents"/>
              <w:bidi w:val="0"/>
              <w:spacing w:before="0" w:after="283"/>
              <w:jc w:val="left"/>
              <w:rPr>
                <w:b/>
              </w:rPr>
            </w:pPr>
            <w:r>
              <w:rPr>
                <w:b/>
              </w:rPr>
              <w:t>12.</w:t>
            </w:r>
          </w:p>
        </w:tc>
        <w:tc>
          <w:tcPr>
            <w:tcW w:w="5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MENDMENT</w:t>
            </w:r>
            <w:r>
              <w:rPr>
                <w:rFonts w:ascii="Times New Roman" w:hAnsi="Times New Roman"/>
                <w:b/>
                <w:sz w:val="20"/>
              </w:rPr>
              <w:t>, 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OR</w:t>
            </w:r>
            <w:r>
              <w:rPr>
                <w:rFonts w:ascii="Times New Roman" w:hAnsi="Times New Roman"/>
                <w:b/>
                <w:sz w:val="20"/>
              </w:rPr>
              <w:t xml:space="preserve"> S</w:t>
            </w:r>
            <w:r>
              <w:rPr>
                <w:rFonts w:ascii="Times New Roman" w:hAnsi="Times New Roman"/>
                <w:b/>
                <w:sz w:val="20"/>
                <w:u w:val="single"/>
              </w:rPr>
              <w:t>USPENSION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335"/>
        <w:gridCol w:w="4205"/>
      </w:tblGrid>
      <w:tr>
        <w:trPr/>
        <w:tc>
          <w:tcPr>
            <w:tcW w:w="335" w:type="dxa"/>
            <w:tcBorders/>
            <w:vAlign w:val="center"/>
          </w:tcPr>
          <w:p>
            <w:pPr>
              <w:pStyle w:val="TableContents"/>
              <w:bidi w:val="0"/>
              <w:spacing w:before="0" w:after="283"/>
              <w:jc w:val="left"/>
              <w:rPr>
                <w:b/>
              </w:rPr>
            </w:pPr>
            <w:r>
              <w:rPr>
                <w:b/>
              </w:rPr>
              <w:t>13.</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w:t>
            </w:r>
            <w:r>
              <w:rPr>
                <w:rFonts w:ascii="Times New Roman" w:hAnsi="Times New Roman"/>
                <w:b/>
                <w:sz w:val="20"/>
                <w:u w:val="single"/>
              </w:rPr>
              <w:t>AX</w:t>
            </w:r>
            <w:r>
              <w:rPr>
                <w:rFonts w:ascii="Times New Roman" w:hAnsi="Times New Roman"/>
                <w:b/>
                <w:sz w:val="20"/>
              </w:rPr>
              <w:t xml:space="preserve"> Q</w:t>
            </w:r>
            <w:r>
              <w:rPr>
                <w:rFonts w:ascii="Times New Roman" w:hAnsi="Times New Roman"/>
                <w:b/>
                <w:sz w:val="20"/>
                <w:u w:val="single"/>
              </w:rPr>
              <w:t>UALIFICATION</w:t>
            </w:r>
            <w:r>
              <w:rPr>
                <w:rFonts w:ascii="Times New Roman" w:hAnsi="Times New Roman"/>
                <w:b/>
                <w:sz w:val="20"/>
              </w:rPr>
              <w:t>; T</w:t>
            </w:r>
            <w:r>
              <w:rPr>
                <w:rFonts w:ascii="Times New Roman" w:hAnsi="Times New Roman"/>
                <w:b/>
                <w:sz w:val="20"/>
                <w:u w:val="single"/>
              </w:rPr>
              <w:t>AX</w:t>
            </w:r>
            <w:r>
              <w:rPr>
                <w:rFonts w:ascii="Times New Roman" w:hAnsi="Times New Roman"/>
                <w:b/>
                <w:sz w:val="20"/>
              </w:rPr>
              <w:t xml:space="preserve"> W</w:t>
            </w:r>
            <w:r>
              <w:rPr>
                <w:rFonts w:ascii="Times New Roman" w:hAnsi="Times New Roman"/>
                <w:b/>
                <w:sz w:val="20"/>
                <w:u w:val="single"/>
              </w:rPr>
              <w:t>ITHHOLDING</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335"/>
        <w:gridCol w:w="2720"/>
      </w:tblGrid>
      <w:tr>
        <w:trPr/>
        <w:tc>
          <w:tcPr>
            <w:tcW w:w="335" w:type="dxa"/>
            <w:tcBorders/>
            <w:vAlign w:val="center"/>
          </w:tcPr>
          <w:p>
            <w:pPr>
              <w:pStyle w:val="TableContents"/>
              <w:bidi w:val="0"/>
              <w:spacing w:before="0" w:after="283"/>
              <w:jc w:val="left"/>
              <w:rPr>
                <w:b/>
              </w:rPr>
            </w:pPr>
            <w:r>
              <w:rPr>
                <w:b/>
              </w:rPr>
              <w:t>14.</w:t>
            </w:r>
          </w:p>
        </w:tc>
        <w:tc>
          <w:tcPr>
            <w:tcW w:w="2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FFECTIVE</w:t>
            </w:r>
            <w:r>
              <w:rPr>
                <w:rFonts w:ascii="Times New Roman" w:hAnsi="Times New Roman"/>
                <w:b/>
                <w:sz w:val="20"/>
              </w:rPr>
              <w:t xml:space="preserve"> D</w:t>
            </w:r>
            <w:r>
              <w:rPr>
                <w:rFonts w:ascii="Times New Roman" w:hAnsi="Times New Roman"/>
                <w:b/>
                <w:sz w:val="20"/>
                <w:u w:val="single"/>
              </w:rPr>
              <w:t>ATE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335"/>
        <w:gridCol w:w="3050"/>
      </w:tblGrid>
      <w:tr>
        <w:trPr/>
        <w:tc>
          <w:tcPr>
            <w:tcW w:w="335" w:type="dxa"/>
            <w:tcBorders/>
            <w:vAlign w:val="center"/>
          </w:tcPr>
          <w:p>
            <w:pPr>
              <w:pStyle w:val="TableContents"/>
              <w:bidi w:val="0"/>
              <w:spacing w:before="0" w:after="283"/>
              <w:jc w:val="left"/>
              <w:rPr>
                <w:b/>
              </w:rPr>
            </w:pPr>
            <w:r>
              <w:rPr>
                <w:b/>
              </w:rPr>
              <w:t>15.</w:t>
            </w:r>
          </w:p>
        </w:tc>
        <w:tc>
          <w:tcPr>
            <w:tcW w:w="30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w:t>
            </w:r>
            <w:r>
              <w:rPr>
                <w:rFonts w:ascii="Times New Roman" w:hAnsi="Times New Roman"/>
                <w:b/>
                <w:sz w:val="20"/>
                <w:u w:val="single"/>
              </w:rPr>
              <w:t>ISCELLANEOUS</w:t>
            </w:r>
            <w:r>
              <w:rPr>
                <w:rFonts w:ascii="Times New Roman" w:hAnsi="Times New Roman"/>
                <w:b/>
                <w:sz w:val="20"/>
              </w:rPr>
              <w:t xml:space="preserve"> P</w:t>
            </w:r>
            <w:r>
              <w:rPr>
                <w:rFonts w:ascii="Times New Roman" w:hAnsi="Times New Roman"/>
                <w:b/>
                <w:sz w:val="20"/>
                <w:u w:val="single"/>
              </w:rPr>
              <w:t>ROVISIONS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provisions of the Plan will be governed by the laws of the State of Delaware without resort to that state’s conflict of laws rules.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b/>
              </w:rPr>
            </w:pPr>
            <w:r>
              <w:rPr>
                <w:b/>
              </w:rPr>
              <w:t>16.</w:t>
            </w:r>
          </w:p>
        </w:tc>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EFINITIONS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Tectonic Therapeutic, Inc., a Delaware corporation.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Contributions</w:t>
      </w:r>
      <w:r>
        <w:rPr>
          <w:rFonts w:ascii="Times New Roman" w:hAnsi="Times New Roman"/>
          <w:sz w:val="20"/>
        </w:rPr>
        <w:t xml:space="preserve">” 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the date of the closing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Effective Time</w:t>
      </w:r>
      <w:r>
        <w:rPr>
          <w:rFonts w:ascii="Times New Roman" w:hAnsi="Times New Roman"/>
          <w:sz w:val="20"/>
        </w:rPr>
        <w:t xml:space="preserve">” has the meaning set forth in the Merger Agreement.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w:t>
      </w:r>
      <w:r>
        <w:rPr>
          <w:rFonts w:ascii="Times New Roman" w:hAnsi="Times New Roman"/>
          <w:b/>
          <w:sz w:val="20"/>
          <w:u w:val="single"/>
        </w:rPr>
        <w:t>closing sales price</w:t>
      </w:r>
      <w:r>
        <w:rPr>
          <w:rFonts w:ascii="Times New Roman" w:hAnsi="Times New Roman"/>
          <w:sz w:val="20"/>
        </w:rPr>
        <w:t xml:space="preserve"> for such stock as quoted on such exchange or market (or the exchange or market with the greatest volume of trading in the Common Stock) </w:t>
      </w:r>
      <w:r>
        <w:rPr>
          <w:rFonts w:ascii="Times New Roman" w:hAnsi="Times New Roman"/>
          <w:b/>
          <w:sz w:val="20"/>
          <w:u w:val="single"/>
        </w:rPr>
        <w:t>on the date of determination</w:t>
      </w:r>
      <w:r>
        <w:rPr>
          <w:rFonts w:ascii="Times New Roman" w:hAnsi="Times New Roman"/>
          <w:sz w:val="20"/>
        </w:rPr>
        <w:t xml:space="preserve">,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Merger Agreement</w:t>
      </w:r>
      <w:r>
        <w:rPr>
          <w:rFonts w:ascii="Times New Roman" w:hAnsi="Times New Roman"/>
          <w:sz w:val="20"/>
        </w:rPr>
        <w:t>” means that certain Agreement and Plan of Merger and Reorganization, dated as of January 30, 2024, among AVROBIO, Inc. a Delaware corporation (“</w:t>
      </w:r>
      <w:r>
        <w:rPr>
          <w:rFonts w:ascii="Times New Roman" w:hAnsi="Times New Roman"/>
          <w:b/>
          <w:i/>
          <w:sz w:val="20"/>
        </w:rPr>
        <w:t>Aspen</w:t>
      </w:r>
      <w:r>
        <w:rPr>
          <w:rFonts w:ascii="Times New Roman" w:hAnsi="Times New Roman"/>
          <w:sz w:val="20"/>
        </w:rPr>
        <w:t xml:space="preserve">”), Alpine Merger Subsidiary, Inc., a Delaware corporation and wholly owned subsidiary of Aspen, and the Tectonic Therapeutic, Inc, a Delaware corporation.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Non-423 Component</w:t>
      </w:r>
      <w:r>
        <w:rPr>
          <w:rFonts w:ascii="Times New Roman" w:hAnsi="Times New Roman"/>
          <w:sz w:val="20"/>
        </w:rPr>
        <w:t xml:space="preserve">”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Tectonic Therapeutic, Inc. 2024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J-13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338" w:name="toc770053_211"/>
      <w:bookmarkEnd w:id="338"/>
      <w:r>
        <w:rPr>
          <w:rFonts w:ascii="Times New Roman" w:hAnsi="Times New Roman"/>
          <w:b/>
          <w:sz w:val="20"/>
        </w:rPr>
        <w:t xml:space="preserve">Annex K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fractional shares or fractional depository receipts described in the foregoing paragraphs (b)(2)a. and b. of this section;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shares of stock, depository receipts and cash in lieu of fractional shares or fractional depository receipts described in the foregoing paragraphs (b)(2)a., b. and c. of this section.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(3)</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tc>
      </w:tr>
    </w:tbl>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75"/>
        <w:gridCol w:w="290"/>
        <w:gridCol w:w="10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[Repealed.]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(d),(e), and (g) of this section, shall apply as nearly as is practicable.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290"/>
        <w:gridCol w:w="37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perfected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 merger, consolidation, conversion, transfer, domestication or continuance, and any beneficial owner who has demanded appraisal under paragraph (d)(3) of this section, of the date that the merger, consolidation or conversion has become effective;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to the effective date, the record date shall be the close of business on the day next preceding the day on which the notice is given.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(3)</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(e)</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(f)</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forms of the notices by mail and by publication shall be approved by the Court, and the costs thereof shall be borne by the surviving, resulting or converted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(g)</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(h)</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(j)</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(k)</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(l)</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K-6 </w:t>
      </w:r>
      <w:r>
        <w:br w:type="page"/>
      </w:r>
    </w:p>
    <w:p>
      <w:pPr>
        <w:pStyle w:val="HorizontalLine"/>
        <w:bidi w:val="0"/>
        <w:jc w:val="left"/>
        <w:rPr/>
      </w:pPr>
      <w:r>
        <w:rPr/>
      </w:r>
    </w:p>
    <w:p>
      <w:pPr>
        <w:pStyle w:val="TextBody"/>
        <w:bidi w:val="0"/>
        <w:spacing w:before="0" w:after="0"/>
        <w:jc w:val="right"/>
        <w:rPr>
          <w:rFonts w:ascii="Arial Narrow" w:hAnsi="Arial Narrow"/>
          <w:b/>
          <w:sz w:val="20"/>
        </w:rPr>
      </w:pPr>
      <w:bookmarkStart w:id="339" w:name="toc770053_212"/>
      <w:bookmarkEnd w:id="339"/>
      <w:r>
        <w:rPr>
          <w:rFonts w:ascii="Arial Narrow" w:hAnsi="Arial Narrow"/>
          <w:b/>
          <w:sz w:val="20"/>
        </w:rPr>
        <w:t xml:space="preserve">Annex L </w:t>
      </w:r>
    </w:p>
    <w:p>
      <w:pPr>
        <w:pStyle w:val="TextBody"/>
        <w:bidi w:val="0"/>
        <w:spacing w:before="240" w:after="0"/>
        <w:jc w:val="right"/>
        <w:rPr>
          <w:rFonts w:ascii="Arial Narrow" w:hAnsi="Arial Narrow"/>
          <w:b/>
          <w:sz w:val="16"/>
        </w:rPr>
      </w:pPr>
      <w:r>
        <w:rPr>
          <w:rFonts w:ascii="Arial Narrow" w:hAnsi="Arial Narrow"/>
          <w:b/>
          <w:sz w:val="16"/>
        </w:rPr>
        <w:t xml:space="preserve">YOUR VOTE IS IMPORTANT! PLEASE VOTE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7"/>
        <w:gridCol w:w="120"/>
        <w:gridCol w:w="469"/>
        <w:gridCol w:w="120"/>
        <w:gridCol w:w="7839"/>
      </w:tblGrid>
      <w:tr>
        <w:trPr/>
        <w:tc>
          <w:tcPr>
            <w:tcW w:w="16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39" w:type="dxa"/>
            <w:tcBorders/>
            <w:vAlign w:val="center"/>
          </w:tcPr>
          <w:p>
            <w:pPr>
              <w:pStyle w:val="TableContents"/>
              <w:bidi w:val="0"/>
              <w:spacing w:before="0" w:after="283"/>
              <w:jc w:val="left"/>
              <w:rPr>
                <w:sz w:val="4"/>
                <w:szCs w:val="4"/>
              </w:rPr>
            </w:pPr>
            <w:r>
              <w:rPr>
                <w:sz w:val="4"/>
                <w:szCs w:val="4"/>
              </w:rPr>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469"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7839"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rFonts w:ascii="Arial Narrow" w:hAnsi="Arial Narrow"/>
                <w:b/>
              </w:rPr>
            </w:pPr>
            <w:r>
              <w:rPr>
                <w:rFonts w:ascii="Arial Narrow" w:hAnsi="Arial Narrow"/>
                <w:b/>
              </w:rPr>
              <w:t>INTERNET</w:t>
            </w:r>
          </w:p>
        </w:tc>
      </w:tr>
      <w:tr>
        <w:trPr/>
        <w:tc>
          <w:tcPr>
            <w:tcW w:w="1657" w:type="dxa"/>
            <w:vMerge w:val="restart"/>
            <w:tcBorders/>
            <w:vAlign w:val="center"/>
          </w:tcPr>
          <w:p>
            <w:pPr>
              <w:pStyle w:val="TableContents"/>
              <w:bidi w:val="0"/>
              <w:spacing w:before="0" w:after="0"/>
              <w:jc w:val="left"/>
              <w:rPr/>
            </w:pPr>
            <w:r>
              <w:rPr/>
              <w:drawing>
                <wp:inline distT="0" distB="0" distL="0" distR="0">
                  <wp:extent cx="181610" cy="41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81610" cy="41275"/>
                          </a:xfrm>
                          <a:prstGeom prst="rect">
                            <a:avLst/>
                          </a:prstGeom>
                        </pic:spPr>
                      </pic:pic>
                    </a:graphicData>
                  </a:graphic>
                </wp:inline>
              </w:drawing>
            </w:r>
            <w:r>
              <w:rPr/>
              <w:t xml:space="preserve"> </w:t>
            </w:r>
          </w:p>
          <w:p>
            <w:pPr>
              <w:pStyle w:val="TableContents"/>
              <w:bidi w:val="0"/>
              <w:spacing w:before="0" w:after="20"/>
              <w:jc w:val="left"/>
              <w:rPr>
                <w:rFonts w:ascii="Arial Narrow" w:hAnsi="Arial Narrow"/>
                <w:sz w:val="12"/>
              </w:rPr>
            </w:pPr>
            <w:r>
              <w:rPr>
                <w:rFonts w:ascii="Arial Narrow" w:hAnsi="Arial Narrow"/>
                <w:sz w:val="12"/>
              </w:rPr>
              <w:t>P.O. BOX 8016, CARY, NC 27512-9903</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39" w:type="dxa"/>
            <w:tcBorders>
              <w:right w:val="single" w:sz="6" w:space="0" w:color="000000"/>
            </w:tcBorders>
            <w:tcMar>
              <w:right w:w="40" w:type="dxa"/>
            </w:tcMar>
            <w:vAlign w:val="center"/>
          </w:tcPr>
          <w:p>
            <w:pPr>
              <w:pStyle w:val="TableContents"/>
              <w:bidi w:val="0"/>
              <w:spacing w:before="0" w:after="283"/>
              <w:jc w:val="left"/>
              <w:rPr>
                <w:rFonts w:ascii="Arial Narrow" w:hAnsi="Arial Narrow"/>
              </w:rPr>
            </w:pPr>
            <w:r>
              <w:rPr>
                <w:rFonts w:ascii="Arial Narrow" w:hAnsi="Arial Narrow"/>
              </w:rPr>
              <w:t xml:space="preserve">Go To: </w:t>
            </w:r>
            <w:r>
              <w:rPr>
                <w:rFonts w:ascii="Arial Narrow" w:hAnsi="Arial Narrow"/>
                <w:b/>
              </w:rPr>
              <w:t xml:space="preserve">www.proxypush.com/AVRO </w:t>
            </w:r>
          </w:p>
        </w:tc>
      </w:tr>
      <w:tr>
        <w:trPr/>
        <w:tc>
          <w:tcPr>
            <w:tcW w:w="1657" w:type="dxa"/>
            <w:vMerge w:val="continue"/>
            <w:tcBorders/>
            <w:vAlign w:val="center"/>
          </w:tcPr>
          <w:p>
            <w:pPr>
              <w:pStyle w:val="Normal"/>
              <w:bidi w:val="0"/>
              <w:jc w:val="left"/>
              <w:rPr/>
            </w:pPr>
            <w:r>
              <w:rPr/>
            </w:r>
          </w:p>
        </w:tc>
        <w:tc>
          <w:tcPr>
            <w:tcW w:w="120" w:type="dxa"/>
            <w:vMerge w:val="restart"/>
            <w:tcBorders>
              <w:left w:val="single" w:sz="6" w:space="0" w:color="000000"/>
            </w:tcBorders>
            <w:tcMar>
              <w:left w:w="28" w:type="dxa"/>
            </w:tcMar>
            <w:vAlign w:val="center"/>
          </w:tcPr>
          <w:p>
            <w:pPr>
              <w:pStyle w:val="TableContents"/>
              <w:bidi w:val="0"/>
              <w:spacing w:before="0" w:after="283"/>
              <w:jc w:val="left"/>
              <w:rPr/>
            </w:pPr>
            <w:r>
              <w:rPr/>
              <w:t>  </w:t>
            </w:r>
          </w:p>
        </w:tc>
        <w:tc>
          <w:tcPr>
            <w:tcW w:w="469" w:type="dxa"/>
            <w:vMerge w:val="restart"/>
            <w:tcBorders/>
            <w:vAlign w:val="center"/>
          </w:tcPr>
          <w:p>
            <w:pPr>
              <w:pStyle w:val="TableContents"/>
              <w:bidi w:val="0"/>
              <w:spacing w:before="0" w:after="283"/>
              <w:jc w:val="center"/>
              <w:rPr/>
            </w:pPr>
            <w:r>
              <w:rPr/>
              <w:drawing>
                <wp:inline distT="0" distB="0" distL="0" distR="0">
                  <wp:extent cx="247015" cy="1543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47015" cy="1543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83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sz w:val="16"/>
              </w:rPr>
              <w:t>Cast your vote online</w:t>
            </w:r>
          </w:p>
        </w:tc>
      </w:tr>
      <w:tr>
        <w:trPr/>
        <w:tc>
          <w:tcPr>
            <w:tcW w:w="1657" w:type="dxa"/>
            <w:vMerge w:val="continue"/>
            <w:tcBorders/>
            <w:vAlign w:val="center"/>
          </w:tcPr>
          <w:p>
            <w:pPr>
              <w:pStyle w:val="Normal"/>
              <w:bidi w:val="0"/>
              <w:jc w:val="left"/>
              <w:rPr/>
            </w:pPr>
            <w:r>
              <w:rPr/>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46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83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b/>
                <w:sz w:val="16"/>
              </w:rPr>
              <w:t>Have your Proxy Card ready</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9"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Narrow" w:hAnsi="Arial Narrow"/>
                <w:sz w:val="16"/>
              </w:rPr>
              <w:t>Follow the simple instructions to record your vote</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39" w:type="dxa"/>
            <w:tcBorders>
              <w:right w:val="single" w:sz="6" w:space="0" w:color="000000"/>
            </w:tcBorders>
            <w:tcMar>
              <w:right w:w="40" w:type="dxa"/>
            </w:tcMar>
            <w:vAlign w:val="center"/>
          </w:tcPr>
          <w:p>
            <w:pPr>
              <w:pStyle w:val="TableContents"/>
              <w:bidi w:val="0"/>
              <w:spacing w:before="0" w:after="283"/>
              <w:jc w:val="left"/>
              <w:rPr>
                <w:rFonts w:ascii="Arial Narrow" w:hAnsi="Arial Narrow"/>
              </w:rPr>
            </w:pPr>
            <w:r>
              <w:rPr>
                <w:rFonts w:ascii="Arial Narrow" w:hAnsi="Arial Narrow"/>
                <w:b/>
              </w:rPr>
              <w:t xml:space="preserve">PHONE </w:t>
            </w:r>
            <w:r>
              <w:rPr>
                <w:rFonts w:ascii="Arial Narrow" w:hAnsi="Arial Narrow"/>
              </w:rPr>
              <w:t xml:space="preserve">Call </w:t>
            </w:r>
            <w:r>
              <w:rPr>
                <w:rFonts w:ascii="Arial Narrow" w:hAnsi="Arial Narrow"/>
                <w:b/>
              </w:rPr>
              <w:t xml:space="preserve">1-866-430-8290 </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vMerge w:val="restart"/>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9" w:type="dxa"/>
            <w:vMerge w:val="restart"/>
            <w:tcBorders>
              <w:bottom w:val="single" w:sz="6" w:space="0" w:color="000000"/>
            </w:tcBorders>
            <w:tcMar>
              <w:bottom w:w="28" w:type="dxa"/>
            </w:tcMar>
            <w:vAlign w:val="center"/>
          </w:tcPr>
          <w:p>
            <w:pPr>
              <w:pStyle w:val="TableContents"/>
              <w:bidi w:val="0"/>
              <w:spacing w:before="0" w:after="283"/>
              <w:jc w:val="center"/>
              <w:rPr/>
            </w:pPr>
            <w:r>
              <w:rPr/>
              <w:drawing>
                <wp:inline distT="0" distB="0" distL="0" distR="0">
                  <wp:extent cx="111125" cy="19748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125" cy="19748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83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sz w:val="16"/>
              </w:rPr>
              <w:t>Use any touch-tone telephone</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469" w:type="dxa"/>
            <w:vMerge w:val="continue"/>
            <w:tcBorders>
              <w:bottom w:val="single" w:sz="6" w:space="0" w:color="000000"/>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83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b/>
                <w:sz w:val="16"/>
              </w:rPr>
              <w:t>Have your Proxy Card ready</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469" w:type="dxa"/>
            <w:vMerge w:val="continue"/>
            <w:tcBorders>
              <w:bottom w:val="single" w:sz="6" w:space="0" w:color="000000"/>
            </w:tcBorders>
            <w:tcMar>
              <w:bottom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Narrow" w:hAnsi="Arial Narrow"/>
                <w:sz w:val="16"/>
              </w:rPr>
              <w:t>Follow the simple recorded instructions</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39" w:type="dxa"/>
            <w:tcBorders>
              <w:right w:val="single" w:sz="6" w:space="0" w:color="000000"/>
            </w:tcBorders>
            <w:tcMar>
              <w:right w:w="40" w:type="dxa"/>
            </w:tcMar>
            <w:vAlign w:val="center"/>
          </w:tcPr>
          <w:p>
            <w:pPr>
              <w:pStyle w:val="TableContents"/>
              <w:bidi w:val="0"/>
              <w:spacing w:before="0" w:after="283"/>
              <w:jc w:val="left"/>
              <w:rPr>
                <w:rFonts w:ascii="Arial Narrow" w:hAnsi="Arial Narrow"/>
                <w:b/>
              </w:rPr>
            </w:pPr>
            <w:r>
              <w:rPr>
                <w:rFonts w:ascii="Arial Narrow" w:hAnsi="Arial Narrow"/>
                <w:b/>
              </w:rPr>
              <w:t>MAIL</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vMerge w:val="restart"/>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9" w:type="dxa"/>
            <w:vMerge w:val="restart"/>
            <w:tcBorders>
              <w:bottom w:val="single" w:sz="6" w:space="0" w:color="000000"/>
            </w:tcBorders>
            <w:tcMar>
              <w:bottom w:w="28" w:type="dxa"/>
            </w:tcMar>
            <w:vAlign w:val="center"/>
          </w:tcPr>
          <w:p>
            <w:pPr>
              <w:pStyle w:val="TableContents"/>
              <w:bidi w:val="0"/>
              <w:spacing w:before="0" w:after="283"/>
              <w:jc w:val="center"/>
              <w:rPr/>
            </w:pPr>
            <w:r>
              <w:rPr/>
              <w:drawing>
                <wp:inline distT="0" distB="0" distL="0" distR="0">
                  <wp:extent cx="265430" cy="17335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65430" cy="17335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83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sz w:val="16"/>
              </w:rPr>
              <w:t>Mark, sign and date your Proxy Card</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469" w:type="dxa"/>
            <w:vMerge w:val="continue"/>
            <w:tcBorders>
              <w:bottom w:val="single" w:sz="6" w:space="0" w:color="000000"/>
            </w:tcBorders>
            <w:tcMar>
              <w:bottom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Narrow" w:hAnsi="Arial Narrow"/>
                <w:sz w:val="16"/>
              </w:rPr>
              <w:t>Fold and return your Proxy Card in the postage-paid envelope provided</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9" w:type="dxa"/>
            <w:tcBorders>
              <w:bottom w:val="single" w:sz="6" w:space="0" w:color="000000"/>
            </w:tcBorders>
            <w:tcMar>
              <w:bottom w:w="28" w:type="dxa"/>
            </w:tcMar>
            <w:vAlign w:val="center"/>
          </w:tcPr>
          <w:p>
            <w:pPr>
              <w:pStyle w:val="TableContents"/>
              <w:bidi w:val="0"/>
              <w:spacing w:before="0" w:after="283"/>
              <w:jc w:val="center"/>
              <w:rPr/>
            </w:pPr>
            <w:r>
              <w:rPr/>
              <w:drawing>
                <wp:inline distT="0" distB="0" distL="0" distR="0">
                  <wp:extent cx="259715" cy="1543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59715" cy="154305"/>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Narrow" w:hAnsi="Arial Narrow"/>
                <w:sz w:val="16"/>
              </w:rPr>
            </w:pPr>
            <w:r>
              <w:rPr>
                <w:rFonts w:ascii="Arial Narrow" w:hAnsi="Arial Narrow"/>
                <w:sz w:val="16"/>
              </w:rPr>
              <w:t>You must register by June 10, 2024 at 5:00 PM Eastern Time to attend the meeting online and/or participate at www.proxydocs.com/AVRO</w:t>
            </w:r>
          </w:p>
          <w:p>
            <w:pPr>
              <w:pStyle w:val="TableContents"/>
              <w:bidi w:val="0"/>
              <w:spacing w:before="0" w:after="20"/>
              <w:jc w:val="left"/>
              <w:rPr/>
            </w:pPr>
            <w:r>
              <w:rPr/>
              <w:t> </w:t>
            </w:r>
          </w:p>
        </w:tc>
      </w:tr>
    </w:tbl>
    <w:p>
      <w:pPr>
        <w:pStyle w:val="TextBody"/>
        <w:bidi w:val="0"/>
        <w:spacing w:before="0" w:after="0"/>
        <w:jc w:val="left"/>
        <w:rPr/>
      </w:pPr>
      <w:r>
        <w:rPr/>
        <w:t> </w:t>
      </w:r>
    </w:p>
    <w:tbl>
      <w:tblPr>
        <w:tblW w:w="4722" w:type="dxa"/>
        <w:jc w:val="left"/>
        <w:tblInd w:w="0" w:type="dxa"/>
        <w:tblLayout w:type="fixed"/>
        <w:tblCellMar>
          <w:top w:w="0" w:type="dxa"/>
          <w:left w:w="0" w:type="dxa"/>
          <w:bottom w:w="0" w:type="dxa"/>
          <w:right w:w="0" w:type="dxa"/>
        </w:tblCellMar>
      </w:tblPr>
      <w:tblGrid>
        <w:gridCol w:w="4340"/>
        <w:gridCol w:w="120"/>
        <w:gridCol w:w="262"/>
      </w:tblGrid>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340" w:type="dxa"/>
            <w:tcBorders/>
            <w:vAlign w:val="center"/>
          </w:tcPr>
          <w:p>
            <w:pPr>
              <w:pStyle w:val="TableContents"/>
              <w:bidi w:val="0"/>
              <w:spacing w:before="0" w:after="0"/>
              <w:jc w:val="left"/>
              <w:rPr>
                <w:rFonts w:ascii="Arial Narrow" w:hAnsi="Arial Narrow"/>
                <w:b/>
                <w:sz w:val="34"/>
              </w:rPr>
            </w:pPr>
            <w:r>
              <w:rPr>
                <w:rFonts w:ascii="Arial Narrow" w:hAnsi="Arial Narrow"/>
                <w:b/>
                <w:sz w:val="34"/>
              </w:rPr>
              <w:t>AVROBIO, Inc.</w:t>
            </w:r>
          </w:p>
          <w:p>
            <w:pPr>
              <w:pStyle w:val="TableContents"/>
              <w:bidi w:val="0"/>
              <w:spacing w:before="0" w:after="0"/>
              <w:jc w:val="left"/>
              <w:rPr/>
            </w:pPr>
            <w:r>
              <w:rPr/>
              <w:t> </w:t>
            </w:r>
          </w:p>
          <w:p>
            <w:pPr>
              <w:pStyle w:val="TableContents"/>
              <w:bidi w:val="0"/>
              <w:spacing w:before="0" w:after="0"/>
              <w:jc w:val="left"/>
              <w:rPr>
                <w:rFonts w:ascii="Arial Narrow" w:hAnsi="Arial Narrow"/>
                <w:b/>
                <w:sz w:val="22"/>
              </w:rPr>
            </w:pPr>
            <w:r>
              <w:rPr>
                <w:rFonts w:ascii="Arial Narrow" w:hAnsi="Arial Narrow"/>
                <w:b/>
                <w:sz w:val="22"/>
              </w:rPr>
              <w:t>Special Meeting of Stockholders</w:t>
            </w:r>
          </w:p>
          <w:p>
            <w:pPr>
              <w:pStyle w:val="TableContents"/>
              <w:bidi w:val="0"/>
              <w:spacing w:before="0" w:after="0"/>
              <w:jc w:val="left"/>
              <w:rPr/>
            </w:pPr>
            <w:r>
              <w:rPr/>
              <w:t> </w:t>
            </w:r>
          </w:p>
          <w:p>
            <w:pPr>
              <w:pStyle w:val="TableContents"/>
              <w:bidi w:val="0"/>
              <w:spacing w:before="0" w:after="20"/>
              <w:jc w:val="left"/>
              <w:rPr>
                <w:rFonts w:ascii="Arial Narrow" w:hAnsi="Arial Narrow"/>
                <w:sz w:val="18"/>
              </w:rPr>
            </w:pPr>
            <w:r>
              <w:rPr>
                <w:rFonts w:ascii="Arial Narrow" w:hAnsi="Arial Narrow"/>
                <w:sz w:val="18"/>
              </w:rPr>
              <w:t>For stockholders of record at the close of business on April 29, 2024</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drawing>
                <wp:inline distT="0" distB="0" distL="0" distR="0">
                  <wp:extent cx="118745" cy="28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8745" cy="28575"/>
                          </a:xfrm>
                          <a:prstGeom prst="rect">
                            <a:avLst/>
                          </a:prstGeom>
                        </pic:spPr>
                      </pic:pic>
                    </a:graphicData>
                  </a:graphic>
                </wp:inline>
              </w:drawing>
            </w:r>
            <w:r>
              <w:rPr/>
              <w:t xml:space="preserve"> </w:t>
            </w:r>
          </w:p>
        </w:tc>
      </w:tr>
    </w:tbl>
    <w:p>
      <w:pPr>
        <w:pStyle w:val="TextBody"/>
        <w:bidi w:val="0"/>
        <w:spacing w:before="360" w:after="0"/>
        <w:jc w:val="left"/>
        <w:rPr>
          <w:rFonts w:ascii="Arial Narrow" w:hAnsi="Arial Narrow"/>
          <w:sz w:val="18"/>
        </w:rPr>
      </w:pPr>
      <w:r>
        <w:rPr>
          <w:rFonts w:ascii="Arial Narrow" w:hAnsi="Arial Narrow"/>
          <w:b/>
          <w:sz w:val="18"/>
        </w:rPr>
        <w:t>DATE:</w:t>
      </w:r>
      <w:r>
        <w:rPr>
          <w:rFonts w:ascii="Arial Narrow" w:hAnsi="Arial Narrow"/>
          <w:sz w:val="18"/>
        </w:rPr>
        <w:t xml:space="preserve">    Tuesday, June 11, 2024 </w:t>
      </w:r>
    </w:p>
    <w:p>
      <w:pPr>
        <w:pStyle w:val="TextBody"/>
        <w:bidi w:val="0"/>
        <w:spacing w:before="0" w:after="0"/>
        <w:jc w:val="left"/>
        <w:rPr>
          <w:rFonts w:ascii="Arial Narrow" w:hAnsi="Arial Narrow"/>
          <w:sz w:val="18"/>
        </w:rPr>
      </w:pPr>
      <w:r>
        <w:rPr>
          <w:rFonts w:ascii="Arial Narrow" w:hAnsi="Arial Narrow"/>
          <w:b/>
          <w:sz w:val="18"/>
        </w:rPr>
        <w:t>TIME:  </w:t>
      </w:r>
      <w:r>
        <w:rPr>
          <w:rFonts w:ascii="Arial Narrow" w:hAnsi="Arial Narrow"/>
          <w:sz w:val="18"/>
        </w:rPr>
        <w:t xml:space="preserve">9:00 AM, Eastern Time </w:t>
      </w:r>
    </w:p>
    <w:p>
      <w:pPr>
        <w:pStyle w:val="TextBody"/>
        <w:bidi w:val="0"/>
        <w:spacing w:before="0" w:after="0"/>
        <w:jc w:val="left"/>
        <w:rPr>
          <w:rFonts w:ascii="Arial Narrow" w:hAnsi="Arial Narrow"/>
          <w:sz w:val="18"/>
        </w:rPr>
      </w:pPr>
      <w:r>
        <w:rPr>
          <w:rFonts w:ascii="Arial Narrow" w:hAnsi="Arial Narrow"/>
          <w:b/>
          <w:sz w:val="18"/>
        </w:rPr>
        <w:t>PLACE: </w:t>
      </w:r>
      <w:r>
        <w:rPr>
          <w:rFonts w:ascii="Arial Narrow" w:hAnsi="Arial Narrow"/>
          <w:sz w:val="18"/>
        </w:rPr>
        <w:t xml:space="preserve">Special Meeting to be held live via the internet - please visit </w:t>
      </w:r>
    </w:p>
    <w:p>
      <w:pPr>
        <w:pStyle w:val="TextBody"/>
        <w:bidi w:val="0"/>
        <w:spacing w:before="0" w:after="0"/>
        <w:jc w:val="left"/>
        <w:rPr/>
      </w:pPr>
      <w:r>
        <w:rPr/>
        <w:t>  </w:t>
      </w:r>
      <w:r>
        <w:rPr>
          <w:rFonts w:ascii="Arial Narrow" w:hAnsi="Arial Narrow"/>
          <w:sz w:val="18"/>
        </w:rPr>
        <w:t xml:space="preserve">www.proxydocs.com/AVRO for more details </w:t>
      </w:r>
    </w:p>
    <w:p>
      <w:pPr>
        <w:pStyle w:val="TextBody"/>
        <w:bidi w:val="0"/>
        <w:spacing w:before="240" w:after="0"/>
        <w:jc w:val="center"/>
        <w:rPr>
          <w:rFonts w:ascii="Arial Narrow" w:hAnsi="Arial Narrow"/>
          <w:b/>
          <w:sz w:val="20"/>
        </w:rPr>
      </w:pPr>
      <w:r>
        <w:rPr>
          <w:rFonts w:ascii="Arial Narrow" w:hAnsi="Arial Narrow"/>
          <w:b/>
          <w:sz w:val="20"/>
        </w:rPr>
        <w:t xml:space="preserve">This proxy is being solicited on behalf of the Board of Directors </w:t>
      </w:r>
    </w:p>
    <w:p>
      <w:pPr>
        <w:pStyle w:val="TextBody"/>
        <w:bidi w:val="0"/>
        <w:spacing w:before="120" w:after="0"/>
        <w:jc w:val="left"/>
        <w:rPr>
          <w:rFonts w:ascii="Arial Narrow" w:hAnsi="Arial Narrow"/>
          <w:sz w:val="16"/>
        </w:rPr>
      </w:pPr>
      <w:r>
        <w:rPr>
          <w:rFonts w:ascii="Arial Narrow" w:hAnsi="Arial Narrow"/>
          <w:sz w:val="16"/>
        </w:rPr>
        <w:t xml:space="preserve">The undersigned hereby appoints Erik Ostrowski and Steven Avruch, and each of them (the “Named Proxies”), as the true and lawful attorneys of the undersigned, with full power of substitution and revocation, and authorizes them, and each of them, to vote all the shares of capital stock of AVROBIO, Inc. which the undersigned is entitled to vote at said meeting and any adjournment thereof upon the matters specified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240" w:after="0"/>
        <w:jc w:val="left"/>
        <w:rPr>
          <w:rFonts w:ascii="Arial Narrow" w:hAnsi="Arial Narrow"/>
          <w:sz w:val="16"/>
        </w:rPr>
      </w:pPr>
      <w:r>
        <w:rPr>
          <w:rFonts w:ascii="Arial Narrow" w:hAnsi="Arial Narrow"/>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240" w:after="0"/>
        <w:jc w:val="left"/>
        <w:rPr>
          <w:rFonts w:ascii="Arial Narrow" w:hAnsi="Arial Narrow"/>
          <w:sz w:val="16"/>
        </w:rPr>
      </w:pPr>
      <w:r>
        <w:rPr>
          <w:rFonts w:ascii="Arial Narrow" w:hAnsi="Arial Narrow"/>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960" w:after="0"/>
        <w:jc w:val="center"/>
        <w:rPr>
          <w:rFonts w:ascii="Arial Narrow" w:hAnsi="Arial Narrow"/>
          <w:sz w:val="16"/>
        </w:rPr>
      </w:pPr>
      <w:r>
        <w:rPr>
          <w:rFonts w:ascii="Arial Narrow" w:hAnsi="Arial Narrow"/>
          <w:sz w:val="16"/>
        </w:rPr>
        <w:t xml:space="preserve">PLEASE BE SURE TO SIGN AND DATE THIS PROXY CARD AND MARK ON THE REVERSE SIDE </w:t>
      </w:r>
    </w:p>
    <w:p>
      <w:pPr>
        <w:pStyle w:val="TextBody"/>
        <w:bidi w:val="0"/>
        <w:spacing w:before="0" w:after="0"/>
        <w:jc w:val="left"/>
        <w:rPr/>
      </w:pPr>
      <w:r>
        <w:rPr/>
        <w:t> </w:t>
      </w:r>
    </w:p>
    <w:p>
      <w:pPr>
        <w:pStyle w:val="TextBody"/>
        <w:bidi w:val="0"/>
        <w:spacing w:before="0" w:after="0"/>
        <w:jc w:val="center"/>
        <w:rPr>
          <w:rFonts w:ascii="Arial Narrow" w:hAnsi="Arial Narrow"/>
          <w:sz w:val="20"/>
        </w:rPr>
      </w:pPr>
      <w:r>
        <w:rPr>
          <w:rFonts w:ascii="Arial Narrow" w:hAnsi="Arial Narrow"/>
          <w:sz w:val="20"/>
        </w:rPr>
        <w:t xml:space="preserve">L-1 </w:t>
      </w:r>
      <w:r>
        <w:br w:type="page"/>
      </w:r>
    </w:p>
    <w:p>
      <w:pPr>
        <w:pStyle w:val="HorizontalLine"/>
        <w:bidi w:val="0"/>
        <w:jc w:val="left"/>
        <w:rPr/>
      </w:pPr>
      <w:r>
        <w:rPr/>
      </w:r>
    </w:p>
    <w:p>
      <w:pPr>
        <w:pStyle w:val="TextBody"/>
        <w:bidi w:val="0"/>
        <w:spacing w:before="0" w:after="0"/>
        <w:jc w:val="center"/>
        <w:rPr>
          <w:rFonts w:ascii="Arial Narrow" w:hAnsi="Arial Narrow"/>
          <w:b/>
          <w:sz w:val="36"/>
        </w:rPr>
      </w:pPr>
      <w:r>
        <w:rPr>
          <w:rFonts w:ascii="Arial Narrow" w:hAnsi="Arial Narrow"/>
          <w:b/>
          <w:sz w:val="36"/>
        </w:rPr>
        <w:t xml:space="preserve">AVROBIO, Inc. </w:t>
      </w:r>
    </w:p>
    <w:p>
      <w:pPr>
        <w:pStyle w:val="TextBody"/>
        <w:bidi w:val="0"/>
        <w:spacing w:before="0" w:after="0"/>
        <w:jc w:val="center"/>
        <w:rPr>
          <w:rFonts w:ascii="Arial Narrow" w:hAnsi="Arial Narrow"/>
          <w:b/>
          <w:sz w:val="24"/>
        </w:rPr>
      </w:pPr>
      <w:r>
        <w:rPr>
          <w:rFonts w:ascii="Arial Narrow" w:hAnsi="Arial Narrow"/>
          <w:b/>
          <w:sz w:val="24"/>
        </w:rPr>
        <w:t xml:space="preserve">Special Meeting of Stockholders </w:t>
      </w:r>
    </w:p>
    <w:p>
      <w:pPr>
        <w:pStyle w:val="TextBody"/>
        <w:bidi w:val="0"/>
        <w:spacing w:before="0" w:after="0"/>
        <w:jc w:val="left"/>
        <w:rPr/>
      </w:pPr>
      <w:r>
        <w:rPr/>
        <w:t> </w:t>
      </w:r>
    </w:p>
    <w:tbl>
      <w:tblPr>
        <w:tblW w:w="2467" w:type="dxa"/>
        <w:jc w:val="left"/>
        <w:tblInd w:w="0" w:type="dxa"/>
        <w:tblLayout w:type="fixed"/>
        <w:tblCellMar>
          <w:top w:w="0" w:type="dxa"/>
          <w:left w:w="0" w:type="dxa"/>
          <w:bottom w:w="0" w:type="dxa"/>
          <w:right w:w="0" w:type="dxa"/>
        </w:tblCellMar>
      </w:tblPr>
      <w:tblGrid>
        <w:gridCol w:w="2300"/>
        <w:gridCol w:w="60"/>
        <w:gridCol w:w="107"/>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rFonts w:ascii="Arial Narrow" w:hAnsi="Arial Narrow"/>
                <w:b/>
                <w:sz w:val="16"/>
              </w:rPr>
            </w:pPr>
            <w:r>
              <w:rPr>
                <w:rFonts w:ascii="Arial Narrow" w:hAnsi="Arial Narrow"/>
                <w:b/>
                <w:sz w:val="16"/>
              </w:rPr>
              <w:t>Please make your marks like this:</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drawing>
                <wp:inline distT="0" distB="0" distL="0" distR="0">
                  <wp:extent cx="20320" cy="2032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0320" cy="20320"/>
                          </a:xfrm>
                          <a:prstGeom prst="rect">
                            <a:avLst/>
                          </a:prstGeom>
                        </pic:spPr>
                      </pic:pic>
                    </a:graphicData>
                  </a:graphic>
                </wp:inline>
              </w:drawing>
            </w:r>
            <w:r>
              <w:rPr/>
              <w:t xml:space="preserve"> </w:t>
            </w:r>
          </w:p>
        </w:tc>
      </w:tr>
    </w:tbl>
    <w:p>
      <w:pPr>
        <w:pStyle w:val="TextBody"/>
        <w:bidi w:val="0"/>
        <w:spacing w:before="120" w:after="0"/>
        <w:jc w:val="left"/>
        <w:rPr>
          <w:rFonts w:ascii="Arial Narrow" w:hAnsi="Arial Narrow"/>
          <w:b/>
          <w:sz w:val="16"/>
        </w:rPr>
      </w:pPr>
      <w:r>
        <w:rPr>
          <w:rFonts w:ascii="Arial Narrow" w:hAnsi="Arial Narrow"/>
          <w:b/>
          <w:sz w:val="16"/>
        </w:rPr>
        <w:t xml:space="preserve">THE BOARD OF DIRECTORS RECOMMENDS A VOTE “FOR” PROPOSAL 1, 2, 3, 4, 5, 6, AND 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
        <w:gridCol w:w="60"/>
        <w:gridCol w:w="5615"/>
        <w:gridCol w:w="120"/>
        <w:gridCol w:w="425"/>
        <w:gridCol w:w="120"/>
        <w:gridCol w:w="1175"/>
        <w:gridCol w:w="120"/>
        <w:gridCol w:w="875"/>
        <w:gridCol w:w="120"/>
        <w:gridCol w:w="1461"/>
      </w:tblGrid>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b/>
              </w:rPr>
            </w:pPr>
            <w:r>
              <w:rPr>
                <w:rFonts w:ascii="Arial Narrow" w:hAnsi="Arial Narrow"/>
                <w:b/>
              </w:rPr>
              <w:t>PROPOSAL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Arial Narrow" w:hAnsi="Arial Narrow"/>
                <w:b/>
              </w:rPr>
            </w:pPr>
            <w:r>
              <w:rPr>
                <w:rFonts w:ascii="Arial Narrow" w:hAnsi="Arial Narrow"/>
                <w:b/>
              </w:rPr>
              <w:t>YOUR VOTE</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rPr>
            </w:pPr>
            <w:r>
              <w:rPr>
                <w:rFonts w:ascii="Arial Narrow" w:hAnsi="Arial Narrow"/>
                <w:b/>
              </w:rPr>
              <w:t>BOARD OF</w:t>
              <w:br/>
              <w:t>DIRECTORS</w:t>
              <w:br/>
              <w:t>RECOMMENDS</w:t>
            </w:r>
          </w:p>
        </w:tc>
      </w:tr>
      <w:tr>
        <w:trPr/>
        <w:tc>
          <w:tcPr>
            <w:tcW w:w="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pPr>
            <w:r>
              <w:rPr/>
              <w:drawing>
                <wp:inline distT="0" distB="0" distL="0" distR="0">
                  <wp:extent cx="216535" cy="24701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16535" cy="247015"/>
                          </a:xfrm>
                          <a:prstGeom prst="rect">
                            <a:avLst/>
                          </a:prstGeom>
                        </pic:spPr>
                      </pic:pic>
                    </a:graphicData>
                  </a:graphic>
                </wp:inline>
              </w:drawing>
            </w:r>
            <w:r>
              <w:rPr/>
              <w:t xml:space="preserve"> </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AGAINST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1.</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Nasdaq Stock Issuance Proposal</w:t>
            </w:r>
            <w:r>
              <w:rPr>
                <w:rFonts w:ascii="Arial Narrow" w:hAnsi="Arial Narrow"/>
                <w:sz w:val="16"/>
              </w:rPr>
              <w:t xml:space="preserve"> - To approve (i) the issuance of shares of AVROBIO common stock to Tectonic stockholders pursuant to the Merger Agreement, a copy of which is attached as Annex A to the accompanying proxy statement/prospectus, and (ii) the change of control of AVROBIO resulting from the merger, pursuant to Nasdaq Listing Rules 5635(a) and 5635(b).</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AGAINST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2.</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Reverse Stock Split Proposal</w:t>
            </w:r>
            <w:r>
              <w:rPr>
                <w:rFonts w:ascii="Arial Narrow" w:hAnsi="Arial Narrow"/>
                <w:sz w:val="16"/>
              </w:rPr>
              <w:t xml:space="preserve"> - 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AVROBIO’s Board of Directors and Tectonic’s Board of Directors prior to the effective time or, if the Nasdaq Stock Issuance Proposal is not approved by AVROBIO stockholders, determined solely by AVROBIO’s Board of Directors, in the form attached as Annex G to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AGAINST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3.</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Officer Exculpation Proposal</w:t>
            </w:r>
            <w:r>
              <w:rPr>
                <w:rFonts w:ascii="Arial Narrow" w:hAnsi="Arial Narrow"/>
                <w:sz w:val="16"/>
              </w:rPr>
              <w:t xml:space="preserve"> - To approve an amendment to AVROBIO’s charter to provide for the exculpation of officers, in the form attached as Annex H to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AGAINST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4.</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Incentive Plan Proposal</w:t>
            </w:r>
            <w:r>
              <w:rPr>
                <w:rFonts w:ascii="Arial Narrow" w:hAnsi="Arial Narrow"/>
                <w:sz w:val="16"/>
              </w:rPr>
              <w:t xml:space="preserve"> - To approve the Tectonic Therapeutic, Inc. 2024 Equity Incentive Plan, in the form attached as Annex I to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AGAINST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5.</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ESPP Proposal</w:t>
            </w:r>
            <w:r>
              <w:rPr>
                <w:rFonts w:ascii="Arial Narrow" w:hAnsi="Arial Narrow"/>
                <w:sz w:val="16"/>
              </w:rPr>
              <w:t xml:space="preserve"> - To approve the Tectonic Therapeutic, Inc. 2024 Employee Stock Purchase Plan, in the form attached as Annex J to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AGAINST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6.</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Executive Compensation Arrangements Proposal</w:t>
            </w:r>
            <w:r>
              <w:rPr>
                <w:rFonts w:ascii="Arial Narrow" w:hAnsi="Arial Narrow"/>
                <w:sz w:val="16"/>
              </w:rPr>
              <w:t xml:space="preserve"> - To approve, on a non-binding advisory vote basis, compensation that will or may become payable by AVROBIO to its named executive officers in connection with the merger, each as described in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AGAINST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7.</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Adjournment Proposal</w:t>
            </w:r>
            <w:r>
              <w:rPr>
                <w:rFonts w:ascii="Arial Narrow" w:hAnsi="Arial Narrow"/>
                <w:sz w:val="16"/>
              </w:rPr>
              <w:t xml:space="preserve"> - To approve an adjournment of the AVROBIO special meeting, if necessary, to solicit additional proxies if there are not sufficient votes in favor of the Nasdaq Stock Issuance Proposal and/or the Reverse Stock Split Proposal.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bl>
    <w:p>
      <w:pPr>
        <w:pStyle w:val="TextBody"/>
        <w:bidi w:val="0"/>
        <w:spacing w:before="240" w:after="0"/>
        <w:jc w:val="center"/>
        <w:rPr>
          <w:rFonts w:ascii="Arial Narrow" w:hAnsi="Arial Narrow"/>
          <w:b/>
          <w:sz w:val="18"/>
        </w:rPr>
      </w:pPr>
      <w:r>
        <w:rPr>
          <w:rFonts w:ascii="Arial Narrow" w:hAnsi="Arial Narrow"/>
          <w:b/>
          <w:sz w:val="18"/>
        </w:rPr>
        <w:t xml:space="preserve">You must register by June 10, 2024 at 5:00 PM Eastern Time to attend the meeting online and/or participate at www.proxydocs.com/AVRO. </w:t>
      </w:r>
    </w:p>
    <w:p>
      <w:pPr>
        <w:pStyle w:val="TextBody"/>
        <w:bidi w:val="0"/>
        <w:spacing w:before="240" w:after="0"/>
        <w:jc w:val="left"/>
        <w:rPr>
          <w:rFonts w:ascii="Arial Narrow" w:hAnsi="Arial Narrow"/>
          <w:b/>
          <w:sz w:val="16"/>
        </w:rPr>
      </w:pPr>
      <w:r>
        <w:rPr>
          <w:rFonts w:ascii="Arial Narrow" w:hAnsi="Arial Narrow"/>
          <w:b/>
          <w:sz w:val="16"/>
        </w:rPr>
        <w:t xml:space="preserve">Upon completing your registration, you will receive further instructions via email, including your unique links that will allow you to access the meeting and also permit you to submit questions. Please be sure to follow instructions found on your Proxy Card and/or Voting Authorization Form and subsequent instructions that will be delivered to you via email. </w:t>
      </w:r>
    </w:p>
    <w:p>
      <w:pPr>
        <w:pStyle w:val="TextBody"/>
        <w:bidi w:val="0"/>
        <w:spacing w:before="240" w:after="0"/>
        <w:jc w:val="left"/>
        <w:rPr>
          <w:rFonts w:ascii="Arial Narrow" w:hAnsi="Arial Narrow"/>
          <w:sz w:val="16"/>
        </w:rPr>
      </w:pPr>
      <w:r>
        <w:rPr>
          <w:rFonts w:ascii="Arial Narrow" w:hAnsi="Arial Narrow"/>
          <w:sz w:val="16"/>
        </w:rPr>
        <w:t xml:space="preserve">Authorized Signatures - Must be completed for your instructions to be executed. </w:t>
      </w:r>
    </w:p>
    <w:p>
      <w:pPr>
        <w:pStyle w:val="TextBody"/>
        <w:bidi w:val="0"/>
        <w:spacing w:before="240" w:after="0"/>
        <w:jc w:val="left"/>
        <w:rPr>
          <w:rFonts w:ascii="Arial Narrow" w:hAnsi="Arial Narrow"/>
          <w:sz w:val="16"/>
        </w:rPr>
      </w:pPr>
      <w:r>
        <w:rPr>
          <w:rFonts w:ascii="Arial Narrow" w:hAnsi="Arial Narrow"/>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885"/>
        <w:gridCol w:w="120"/>
        <w:gridCol w:w="905"/>
        <w:gridCol w:w="120"/>
        <w:gridCol w:w="260"/>
        <w:gridCol w:w="120"/>
        <w:gridCol w:w="2120"/>
        <w:gridCol w:w="120"/>
        <w:gridCol w:w="920"/>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885" w:type="dxa"/>
            <w:tcBorders>
              <w:top w:val="single" w:sz="6" w:space="0" w:color="000000"/>
            </w:tcBorders>
            <w:tcMar>
              <w:top w:w="28" w:type="dxa"/>
            </w:tcMar>
            <w:vAlign w:val="center"/>
          </w:tcPr>
          <w:p>
            <w:pPr>
              <w:pStyle w:val="TableContents"/>
              <w:bidi w:val="0"/>
              <w:spacing w:before="0" w:after="283"/>
              <w:jc w:val="left"/>
              <w:rPr>
                <w:rFonts w:ascii="Arial Narrow" w:hAnsi="Arial Narrow"/>
              </w:rPr>
            </w:pPr>
            <w:r>
              <w:rPr>
                <w:rFonts w:ascii="Arial Narrow" w:hAnsi="Arial Narrow"/>
              </w:rPr>
              <w:t>Signature (and Title if applicable)</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905" w:type="dxa"/>
            <w:tcBorders>
              <w:top w:val="single" w:sz="6" w:space="0" w:color="000000"/>
            </w:tcBorders>
            <w:tcMar>
              <w:top w:w="28" w:type="dxa"/>
            </w:tcMar>
            <w:vAlign w:val="center"/>
          </w:tcPr>
          <w:p>
            <w:pPr>
              <w:pStyle w:val="TableContents"/>
              <w:bidi w:val="0"/>
              <w:spacing w:before="0" w:after="283"/>
              <w:jc w:val="right"/>
              <w:rPr>
                <w:rFonts w:ascii="Arial Narrow" w:hAnsi="Arial Narrow"/>
              </w:rPr>
            </w:pPr>
            <w:r>
              <w:rPr>
                <w:rFonts w:ascii="Arial Narrow" w:hAnsi="Arial Narrow"/>
              </w:rPr>
              <w:t>Date  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120" w:type="dxa"/>
            <w:tcBorders>
              <w:top w:val="single" w:sz="6" w:space="0" w:color="000000"/>
            </w:tcBorders>
            <w:tcMar>
              <w:top w:w="28" w:type="dxa"/>
            </w:tcMar>
            <w:vAlign w:val="center"/>
          </w:tcPr>
          <w:p>
            <w:pPr>
              <w:pStyle w:val="TableContents"/>
              <w:bidi w:val="0"/>
              <w:spacing w:before="0" w:after="283"/>
              <w:jc w:val="left"/>
              <w:rPr>
                <w:rFonts w:ascii="Arial Narrow" w:hAnsi="Arial Narrow"/>
              </w:rPr>
            </w:pPr>
            <w:r>
              <w:rPr>
                <w:rFonts w:ascii="Arial Narrow" w:hAnsi="Arial Narrow"/>
              </w:rPr>
              <w:t>Signature (if held jointly)</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920" w:type="dxa"/>
            <w:tcBorders>
              <w:top w:val="single" w:sz="6" w:space="0" w:color="000000"/>
            </w:tcBorders>
            <w:tcMar>
              <w:top w:w="28" w:type="dxa"/>
            </w:tcMar>
            <w:vAlign w:val="center"/>
          </w:tcPr>
          <w:p>
            <w:pPr>
              <w:pStyle w:val="TableContents"/>
              <w:bidi w:val="0"/>
              <w:spacing w:before="0" w:after="283"/>
              <w:jc w:val="left"/>
              <w:rPr>
                <w:rFonts w:ascii="Arial Narrow" w:hAnsi="Arial Narrow"/>
              </w:rPr>
            </w:pPr>
            <w:r>
              <w:rPr>
                <w:rFonts w:ascii="Arial Narrow" w:hAnsi="Arial Narrow"/>
              </w:rPr>
              <w:t>Date  </w:t>
            </w:r>
          </w:p>
        </w:tc>
      </w:tr>
    </w:tbl>
    <w:p>
      <w:pPr>
        <w:pStyle w:val="TextBody"/>
        <w:bidi w:val="0"/>
        <w:spacing w:before="0" w:after="0"/>
        <w:jc w:val="left"/>
        <w:rPr/>
      </w:pPr>
      <w:r>
        <w:rPr/>
        <w:t> </w:t>
      </w:r>
    </w:p>
    <w:p>
      <w:pPr>
        <w:pStyle w:val="TextBody"/>
        <w:bidi w:val="0"/>
        <w:spacing w:before="0" w:after="0"/>
        <w:jc w:val="center"/>
        <w:rPr>
          <w:rFonts w:ascii="Arial Narrow" w:hAnsi="Arial Narrow"/>
          <w:sz w:val="20"/>
        </w:rPr>
      </w:pPr>
      <w:r>
        <w:rPr>
          <w:rFonts w:ascii="Arial Narrow" w:hAnsi="Arial Narrow"/>
          <w:sz w:val="20"/>
        </w:rPr>
        <w:t xml:space="preserve">L-2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845"/>
        <w:gridCol w:w="3560"/>
      </w:tblGrid>
      <w:tr>
        <w:trPr/>
        <w:tc>
          <w:tcPr>
            <w:tcW w:w="845" w:type="dxa"/>
            <w:tcBorders/>
            <w:vAlign w:val="center"/>
          </w:tcPr>
          <w:p>
            <w:pPr>
              <w:pStyle w:val="TableContents"/>
              <w:bidi w:val="0"/>
              <w:spacing w:before="0" w:after="283"/>
              <w:jc w:val="left"/>
              <w:rPr>
                <w:b/>
              </w:rPr>
            </w:pPr>
            <w:r>
              <w:rPr>
                <w:b/>
              </w:rPr>
              <w:t>Item 20.</w:t>
            </w:r>
          </w:p>
        </w:tc>
        <w:tc>
          <w:tcPr>
            <w:tcW w:w="35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 of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AVROBIO has adopted provisions in its charter that limit or eliminate the personal liability of AVROBIO’s directors to the fullest extent permitted by the DGCL, as it now exists or may in the future be amended. Consequently, a director will not be personally liable to AVROBIO or its stockholders for monetary damages or breach of fiduciary duty as a director, except for liability for: </w:t>
      </w:r>
    </w:p>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AVROBIO or its stockholders;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AVROBIO’s bylaws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indemnify its directors, officers and, in the discretion of the AVROBIO Board, certain employees to the fullest extent permitted by the DGCL, as it now exists or may in the future be amended;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advance expenses, including attorneys’ fees, to its directors and, in the discretion of the AVROBIO Board, to its officers and certain employees, in connection with legal proceedings relating to their service for or on behalf of AVROBIO,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has entered into indemnification agreements with its directors and executive officers. These agreements provide that AVROBIO will indemnify each of its directors and executive officers to the fullest extent permitted by Delaware law. AVROBIO will advance expenses, including attorneys’ fees (but excluding judgments, fines and settlement amounts), to each indemnified director or executive officer in connection with any proceeding in which indemnification is available and AVROBIO will indemnify its directors and officers for any action or proceeding arising out of that person’s services as a director or officer brought on behalf of AVROBIO or in furtherance of AVROBIO’s rights. Additionally, certain of AVROBIO’s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AVROBIO has agreed in the indemnification agreements that AVROBIO’s obligations to those same directors are primary and any obligation of such affiliates or other third parties to advance expenses or to provide indemnification for the expenses or liabilities incurred by those directors are secondary.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AVROBIO also maintains general liability insurance which covers certain liabilities of its directors and officers arising out of claims based on acts or omissions in their capacities as directors or officers,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from the effective time through the sixth anniversary of the date of the effective time, AVROBIO and the surviving corporation agree to indemnify and hold harmless each person who was, as of January 30 , 2024, the signing date of the Merger Agreement, or had been at any time prior, or who becomes prior to the effective time, a director or officer of AVROBIO or Tectonic, against all claims, losses, liabilities, damages, judgments, fines and reasonable fees, costs and expenses pertaining to claims arising out of the fact that such person was a director or officer of AVROBIO or Tectonic, at or prior to the effective time, to the fullest extent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the certificate of incorporation and bylaws of the surviving corporation in the merger with respect to indemnification, advancement of expenses and exculpation of present and former directors and officers of AVROBIO that are set forth in the certificate of incorporation and bylaws of AVROBIO in effect as of May 2, 2023, the date of the Merger Agreement, shall not be amended, modified or repealed for a period of six years from the effective time in a manner that would adversely affect the rights of such individuals who at the effective time were officers or directors of AVROBIO, unless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AVROBIO shall purchase an insurance policy in effect for six years from the effective time, providing no less favorable coverage as the current directors’ and officers’ liability insurance policies maintained by AVROBIO with respect to any actual or alleged error, misstatement, misleading statement, act, omission, neglect, breach of duty or any m atter claimed against the current and former officers and directors of AVROBIO. </w:t>
      </w:r>
    </w:p>
    <w:p>
      <w:pPr>
        <w:pStyle w:val="TextBody"/>
        <w:bidi w:val="0"/>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Exhibit Index </w:t>
      </w:r>
    </w:p>
    <w:p>
      <w:pPr>
        <w:pStyle w:val="TextBody"/>
        <w:bidi w:val="0"/>
        <w:spacing w:before="240" w:after="0"/>
        <w:jc w:val="left"/>
        <w:rPr>
          <w:rFonts w:ascii="Times New Roman" w:hAnsi="Times New Roman"/>
          <w:sz w:val="20"/>
        </w:rPr>
      </w:pPr>
      <w:r>
        <w:rPr>
          <w:rFonts w:ascii="Times New Roman" w:hAnsi="Times New Roman"/>
          <w:sz w:val="20"/>
        </w:rPr>
        <w:t xml:space="preserve">A list of exhibits filed with this registration statement on Form S-4 is set forth on the Exhibit Index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filed with this registration statement on Form S-4 are set forth on the Financial Statement Index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registrant hereby undertakes: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(1)</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230"/>
        <w:gridCol w:w="62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table in the effective registration statement; and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(iii)</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(3)</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xml:space="preserve">Agreement and Plan of Merger and Reorganization, dated as of January 30, 2024, by and among AVROBIO, Inc., Alpine Merger Subsidiary, Inc. and Tectonic (included as </w:t>
            </w:r>
            <w:hyperlink w:anchor="toc770053_201">
              <w:r>
                <w:rPr>
                  <w:rStyle w:val="InternetLink"/>
                  <w:u w:val="single"/>
                </w:rPr>
                <w:t>Annex A</w:t>
              </w:r>
            </w:hyperlink>
            <w:r>
              <w:rPr/>
              <w:t xml:space="preserve"> to the proxy statement/prospectus and incorporated herein by reference).</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6">
              <w:r>
                <w:rPr>
                  <w:rStyle w:val="InternetLink"/>
                </w:rPr>
                <w:t xml:space="preserve">Asset Purchase Agreement by and among Novartis Pharma AG, Novartis Pharmaceuticals Corporation and AVROBIO, Inc., dated May 19, 2023 (filed as Exhibit 2.1 to AVROBIO, Inc.’s Quarterly Report on Form 10-Q filed on August 10, 2023 (File No. 001-38537)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7">
              <w:r>
                <w:rPr>
                  <w:rStyle w:val="InternetLink"/>
                </w:rPr>
                <w:t xml:space="preserve">Certificate of Incorporation of Tectonic Therapeutic, Inc., as currently in effect (filed as Exhibit 3.1 to AVROBIO, Inc.’s Registration Statement on Form S-4 filed on February 14,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8">
              <w:r>
                <w:rPr>
                  <w:rStyle w:val="InternetLink"/>
                </w:rPr>
                <w:t xml:space="preserve">Bylaws of Tectonic Therapeutic, Inc., as currently in effect (filed as Exhibit 3.2 to AVROBIO, Inc.’s Registration Statement on Form S-4 filed on February 14,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9">
              <w:r>
                <w:rPr>
                  <w:rStyle w:val="InternetLink"/>
                </w:rPr>
                <w:t xml:space="preserve">Fourth Amended and Restated Certificate of Incorporation of AVROBIO, Inc. (filed as Exhibit 3.1 to AVROBIO, Inc.’s Current Report on Form 8-K filed on June 25, 2018 (File No. 001-38537)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0">
              <w:r>
                <w:rPr>
                  <w:rStyle w:val="InternetLink"/>
                </w:rPr>
                <w:t>Certificate of Change of Registered Agent and/or Registered Office of AVROBIO, Inc. (filed as Exhibit 3.2 to AVROBIO, Inc.’s Quarterly Report on Form 10-Q filed on November 5, 2020 (File No. 001-38537)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1">
              <w:r>
                <w:rPr>
                  <w:rStyle w:val="InternetLink"/>
                </w:rPr>
                <w:t xml:space="preserve">Amended and Restated By-laws (filed as Exhibit 3.2 to AVROBIO, Inc.’s Current Report on Form 8-K filed on June 25, 2018 (File No. 001-38537)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2">
              <w:r>
                <w:rPr>
                  <w:rStyle w:val="InternetLink"/>
                </w:rPr>
                <w:t xml:space="preserve">Form of Specimen Common Stock Certificate of AVROBIO, Inc. (filed as Exhibit 4.1 to AVROBIO, Inc.’s Second Amendment to the Registration Statement on Form S-1 filed on June 11, 2018 (File No. 333-225213)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3">
              <w:r>
                <w:rPr>
                  <w:rStyle w:val="InternetLink"/>
                </w:rPr>
                <w:t>Opinion of Goodwin Procter LLP, counsel of AVROBIO, Inc. (filed as Exhibit 5.1 to AVROBIO, Inc.’s Amendment No. 1 to the Registration Statement on Form S-4 filed on March 26, 2024 (File No. 333-277048)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8.1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4">
              <w:r>
                <w:rPr>
                  <w:rStyle w:val="InternetLink"/>
                </w:rPr>
                <w:t xml:space="preserve">Opinion of Cooley LLP, counsel of Tectonic Therapeutic, Inc. (filed as Exhibit 8.1 to AVROBIO, Inc.’s Amendment No. 2 to the Registration Statement on Form S-4 filed on April 15,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8.2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5">
              <w:r>
                <w:rPr>
                  <w:rStyle w:val="InternetLink"/>
                </w:rPr>
                <w:t xml:space="preserve">Opinion of Goodwin Procter LLP, counsel of AVROBIO, Inc. (filed as Exhibit 8.2 to AVROBIO, Inc.’s Amendment No. 2 to the Registration Statement on Form S-4 filed on April 15,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6">
              <w:r>
                <w:rPr>
                  <w:rStyle w:val="InternetLink"/>
                </w:rPr>
                <w:t xml:space="preserve">AVROBIO, Inc. 2015 Amended and Restated Stock Option and Grant Plan, as amended, and forms of award agreements thereunder (filed as Exhibit 10.1 to AVROBIO, Inc.’s Registration Statement on Form S-1 filed on May 25, 2018 (File No. 333-225213)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7">
              <w:r>
                <w:rPr>
                  <w:rStyle w:val="InternetLink"/>
                </w:rPr>
                <w:t xml:space="preserve">AVROBIO, Inc. 2018 Stock Option and Incentive Plan and forms of award agreements thereunder (filed as Exhibit 10.2 to AVROBIO, Inc.’s Second Amendment to the Registration Statement on Form S-1 filed on June 11, 2018 (File No. 333-225213)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8">
              <w:r>
                <w:rPr>
                  <w:rStyle w:val="InternetLink"/>
                </w:rPr>
                <w:t xml:space="preserve">First Amendment to the AVROBIO, Inc. 2018 Stock Option and Incentive Plan (filed as Exhibit 10.1 to Current Report on Form 8-K filed on June 9, 2020 (File No. 001-38537)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9">
              <w:r>
                <w:rPr>
                  <w:rStyle w:val="InternetLink"/>
                </w:rPr>
                <w:t xml:space="preserve">Second Amendment to the AVROBIO, Inc. 2018 Stock Option and Incentive Plan (filed as Exhibit 10.1 to AVROBIO, Inc.’s Current Report on Form 8-K filed on June 10, 2022 (File No. 001-38537) and incorporated herein by reference). </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901"/>
        <w:gridCol w:w="120"/>
        <w:gridCol w:w="9184"/>
      </w:tblGrid>
      <w:tr>
        <w:trPr/>
        <w:tc>
          <w:tcPr>
            <w:tcW w:w="9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4"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84"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0">
              <w:r>
                <w:rPr>
                  <w:rStyle w:val="InternetLink"/>
                </w:rPr>
                <w:t xml:space="preserve">AVROBIO, Inc. Senior Executive Cash Incentive Bonus Plan (filed as Exhibit 10.3 to AVROBIO, Inc.’s Second Amendment to the Registration Statement on Form S-1 filed on June 11,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1">
              <w:r>
                <w:rPr>
                  <w:rStyle w:val="InternetLink"/>
                </w:rPr>
                <w:t xml:space="preserve">AVROBIO, Inc. Form of Indemnification Agreement (filed as Exhibit 10.4 to AVROBIO, Inc.’s Second Amendment to the Registration Statement on Form S-1 filed on June 11,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2">
              <w:r>
                <w:rPr>
                  <w:rStyle w:val="InternetLink"/>
                </w:rPr>
                <w:t xml:space="preserve">Exclusive License Agreement, by and between AVROBIO, Inc. and University Health Network, dated November 4, 2016, as amended (filed as Exhibit 10.5 to AVROBIO, Inc.’s First Amendment to the Registration Statement on Form S-1 filed on June 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3">
              <w:r>
                <w:rPr>
                  <w:rStyle w:val="InternetLink"/>
                </w:rPr>
                <w:t xml:space="preserve">License Agreement, by and between AVROBIO, Inc. and BioMarin Pharmaceutical Inc., dated August 31, 2017 (filed as Exhibit 10.6 to AVROBIO, Inc.’s Second Amendment to the Registration Statement on Form S-1 filed on June 11,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4">
              <w:r>
                <w:rPr>
                  <w:rStyle w:val="InternetLink"/>
                </w:rPr>
                <w:t>Amendment No. 1 to License Agreement, by and between AVROBIO, Inc. and BioMarin Pharmaceutical Inc., dated February 21, 2018 (filed as Exhibit 10.7 to AVROBIO, Inc.’s Annual Report on Form 10-K filed on March 16, 2020 (File No. 001-38537) and incorporated herein by reference).</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5">
              <w:r>
                <w:rPr>
                  <w:rStyle w:val="InternetLink"/>
                </w:rPr>
                <w:t>Amendment No. 2 to License Agreement, by and between AVROBIO, Inc. and BioMarin Pharmaceutical Inc., dated January 7, 2020 (filed as Exhibit 10.8 to AVROBIO, Inc.’s Annual Report on Form 10-K filed on March 16, 2020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6">
              <w:r>
                <w:rPr>
                  <w:rStyle w:val="InternetLink"/>
                </w:rPr>
                <w:t xml:space="preserve">Exclusive License Agreement, by and among AVROBIO, Inc., Stefan Karlsson and Maria Dahl, dated January 30, 2017 (filed as Exhibit 10.7 to AVROBIO, Inc.’s Registration Statement on Form S-1 filed on May 25,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7">
              <w:r>
                <w:rPr>
                  <w:rStyle w:val="InternetLink"/>
                </w:rPr>
                <w:t xml:space="preserve">Amended and Restated Employment Agreement, by and between AVROBIO, Inc. and Geoff MacKay, effective as of June 25, 2018 (filed as Exhibit 10.9 to AVROBIO, Inc.’s Second Amendment to the Registration Statement on Form S-1 filed on June 11,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8">
              <w:r>
                <w:rPr>
                  <w:rStyle w:val="InternetLink"/>
                </w:rPr>
                <w:t xml:space="preserve">Amendment to Employment Agreement, by and between AVROBIO, Inc. and Geoff MacKay, dated April 5, 2021 (filed as Exhibit 10.1 to AVROBIO, Inc.’s Quarterly Report on Form 10-Q filed on May 13, 2021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9">
              <w:r>
                <w:rPr>
                  <w:rStyle w:val="InternetLink"/>
                </w:rPr>
                <w:t xml:space="preserve">Employment Agreement, by and between AVROBIO, Inc. and Erik Ostrowski, dated December 17, 2018 (filed as Exhibit 10.1 to AVROBIO, Inc.’s Current Report on Form 8-K filed on December 21, 2018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50">
              <w:r>
                <w:rPr>
                  <w:rStyle w:val="InternetLink"/>
                </w:rPr>
                <w:t xml:space="preserve">Amendment to Employment Agreement, by and between AVROBIO, Inc. and Erik Ostrowski, dated April 5, 2021 (filed as Exhibit 10.2 to AVROBIO, Inc.’s Quarterly Report on Form 10-Q filed on May 13, 2021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51">
              <w:r>
                <w:rPr>
                  <w:rStyle w:val="InternetLink"/>
                </w:rPr>
                <w:t xml:space="preserve">Employment Agreement, by and between AVROBIO, Inc. and Steven Avruch, dated December 17, 2018 (filed as Exhibit 10.13 to AVROBIO, Inc.’s Annual Report on Form 10-K filed on March 25, 2019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52">
              <w:r>
                <w:rPr>
                  <w:rStyle w:val="InternetLink"/>
                </w:rPr>
                <w:t xml:space="preserve">Amendment to Employment Agreement, by and between AVROBIO, Inc. and Steven Avruch, dated April 5, 2021 (filed as Exhibit 10.3 to AVROBIO, Inc.’s Quarterly Report on Form 10-Q filed on May 13, 2021 (File No. 001-38537) and incorporated herein by reference). </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902"/>
        <w:gridCol w:w="120"/>
        <w:gridCol w:w="9183"/>
      </w:tblGrid>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3" w:type="dxa"/>
            <w:tcBorders/>
            <w:vAlign w:val="center"/>
          </w:tcPr>
          <w:p>
            <w:pPr>
              <w:pStyle w:val="TableContents"/>
              <w:bidi w:val="0"/>
              <w:spacing w:before="0" w:after="283"/>
              <w:jc w:val="left"/>
              <w:rPr>
                <w:sz w:val="4"/>
                <w:szCs w:val="4"/>
              </w:rPr>
            </w:pPr>
            <w:r>
              <w:rPr>
                <w:sz w:val="4"/>
                <w:szCs w:val="4"/>
              </w:rPr>
            </w:r>
          </w:p>
        </w:tc>
      </w:tr>
      <w:tr>
        <w:trPr/>
        <w:tc>
          <w:tcPr>
            <w:tcW w:w="902"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83"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3">
              <w:r>
                <w:rPr>
                  <w:rStyle w:val="InternetLink"/>
                </w:rPr>
                <w:t xml:space="preserve">Employment Agreement, by and between AVROBIO, Inc. and Deanna Petersen, dated September 1, 2018 (filed as Exhibit 10.16 to AVROBIO, Inc.’s Annual Report on Form 10-K filed on March 16, 2020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4">
              <w:r>
                <w:rPr>
                  <w:rStyle w:val="InternetLink"/>
                </w:rPr>
                <w:t xml:space="preserve">Amendment to Employment Agreement, by and between AVROBIO, Inc. and Deanna Petersen, dated April 5, 2021 (filed as Exhibit 10.6 to AVROBIO, Inc.’s Quarterly Report on Form 10-Q filed on May 13, 2021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5">
              <w:r>
                <w:rPr>
                  <w:rStyle w:val="InternetLink"/>
                </w:rPr>
                <w:t xml:space="preserve">Employment Agreement, by and between AVROBIO, Inc. and Essra Ridha, dated October 6, 2021 (filed as Exhibit 10.22 to AVROBIO, Inc.’s Annual Report on Form 10-K filed on March 17, 2022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6">
              <w:r>
                <w:rPr>
                  <w:rStyle w:val="InternetLink"/>
                </w:rPr>
                <w:t xml:space="preserve">Employment Agreement, by and between AVROBIO, Inc. and Azadeh Golipour, dated January 26, 2022 (filed as Exhibit 10.21 to AVROBIO, Inc.’s Registration Statement on Form S-4 filed on February 14, 2024 (File No. 333-277048)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7">
              <w:r>
                <w:rPr>
                  <w:rStyle w:val="InternetLink"/>
                </w:rPr>
                <w:t xml:space="preserve">Employee Relocation and Transition Benefits Agreement, by and between AVROBIO, Inc. and Azadeh Golipour, dated January 31, 2022 (filed as Exhibit 10.22 to AVROBIO, Inc.’s Registration Statement on Form S-4 filed on February 14, 2024 (File No. 333-277048)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8">
              <w:r>
                <w:rPr>
                  <w:rStyle w:val="InternetLink"/>
                </w:rPr>
                <w:t xml:space="preserve">AVROBIO, Inc. 2018 Employee Stock Purchase Plan (filed as Exhibit 10.14 to AVROBIO, Inc.’s Second Amendment to the Registration Statement on Form S-1 filed on June 11, 2018 (File No. 333-225213)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10.24#</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9">
              <w:r>
                <w:rPr>
                  <w:rStyle w:val="InternetLink"/>
                </w:rPr>
                <w:t xml:space="preserve">Lease Agreement, dated as of January 12, 2018, by and between AVROBIO, Inc. and ARE-MA Region No. 59, LLC (filed as Exhibit 10.12 to AVROBIO, Inc.’s Registration Statement on Form S-1 filed on May 25, 2018 (File No. 333-225213)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10.25#</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60">
              <w:r>
                <w:rPr>
                  <w:rStyle w:val="InternetLink"/>
                </w:rPr>
                <w:t xml:space="preserve">AVROBIO, Inc. 2019 Inducement Plan and form of award agreement thereunder (filed as Exhibit 99.1 to AVROBIO, Inc.’s Registration Statement on Form S-8 filed on December 20, 2019 (File No. 333-235643)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10.26#</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61">
              <w:r>
                <w:rPr>
                  <w:rStyle w:val="InternetLink"/>
                </w:rPr>
                <w:t xml:space="preserve">AVROBIO, Inc. Form of 2019 Inducement Stock Option Award (filed as Exhibit 99.1 to AVROBIO, Inc.’s Registration Statement on Form S-8 filed on March 25, 2019 (File No. 333-230493)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10.27#</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62">
              <w:r>
                <w:rPr>
                  <w:rStyle w:val="InternetLink"/>
                </w:rPr>
                <w:t xml:space="preserve">AVROBIO, Inc. 2020 Inducement Plan and form of award agreement thereunder (filed as Exhibit 10.25 to AVROBIO, Inc.’s Annual Report on Form 10-K filed on March 18, 2021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10.28††</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63">
              <w:r>
                <w:rPr>
                  <w:rStyle w:val="InternetLink"/>
                </w:rPr>
                <w:t xml:space="preserve">Amended and Restated Master Services Agreement, by and between AVROBIO, Inc. and Miltenyi Biotec, Inc., dated November 20, 2021 (filed as Exhibit 10.3 to AVROBIO, Inc.’s Quarterly Report on Form 10-Q filed on August 9, 2022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10.29</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xml:space="preserve">Form of AVROBIO Support Agreement (included as </w:t>
            </w:r>
            <w:hyperlink w:anchor="toc770053_203">
              <w:r>
                <w:rPr>
                  <w:rStyle w:val="InternetLink"/>
                  <w:u w:val="single"/>
                </w:rPr>
                <w:t>Annex C</w:t>
              </w:r>
            </w:hyperlink>
            <w:r>
              <w:rPr/>
              <w:t xml:space="preserve"> to this proxy statement/prospectus and incorporated herein by reference).</w:t>
            </w:r>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10.30</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xml:space="preserve">Form of Tectonic Support Agreement (included as </w:t>
            </w:r>
            <w:hyperlink w:anchor="toc770053_204">
              <w:r>
                <w:rPr>
                  <w:rStyle w:val="InternetLink"/>
                  <w:u w:val="single"/>
                </w:rPr>
                <w:t>Annex D</w:t>
              </w:r>
            </w:hyperlink>
            <w:r>
              <w:rPr/>
              <w:t xml:space="preserve"> to this proxy statement/prospectus and incorporated herein by reference).</w:t>
            </w:r>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10.31</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xml:space="preserve">Form of Lock-Up Agreement (included as </w:t>
            </w:r>
            <w:hyperlink w:anchor="toc770053_205">
              <w:r>
                <w:rPr>
                  <w:rStyle w:val="InternetLink"/>
                  <w:u w:val="single"/>
                </w:rPr>
                <w:t>Annex E</w:t>
              </w:r>
            </w:hyperlink>
            <w:r>
              <w:rPr/>
              <w:t xml:space="preserve"> to this proxy statement/prospectus and incorporated herein by reference).</w:t>
            </w:r>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10.32</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xml:space="preserve">Form of Contingent Value Rights Agreement (included as </w:t>
            </w:r>
            <w:hyperlink w:anchor="toc770053_206">
              <w:r>
                <w:rPr>
                  <w:rStyle w:val="InternetLink"/>
                  <w:u w:val="single"/>
                </w:rPr>
                <w:t>Annex F</w:t>
              </w:r>
            </w:hyperlink>
            <w:r>
              <w:rPr/>
              <w:t xml:space="preserve"> to this proxy statement/prospectus and incorporated herein by reference).</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900"/>
        <w:gridCol w:w="120"/>
        <w:gridCol w:w="9185"/>
      </w:tblGrid>
      <w:tr>
        <w:trPr/>
        <w:tc>
          <w:tcPr>
            <w:tcW w:w="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90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10.33#</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r>
              <w:rPr/>
              <w:t xml:space="preserve">2024 Equity Incentive Plan (included as </w:t>
            </w:r>
            <w:hyperlink w:anchor="toc770053_209">
              <w:r>
                <w:rPr>
                  <w:rStyle w:val="InternetLink"/>
                  <w:u w:val="single"/>
                </w:rPr>
                <w:t>Annex I</w:t>
              </w:r>
            </w:hyperlink>
            <w:r>
              <w:rPr>
                <w:u w:val="single"/>
              </w:rPr>
              <w:t xml:space="preserve"> </w:t>
            </w:r>
            <w:r>
              <w:rPr/>
              <w:t>to this proxy statement/prospectus and incorporated herein by reference).</w:t>
            </w:r>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10.34#</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r>
              <w:rPr/>
              <w:t xml:space="preserve">2024 Employee Stock Purchase Plan (included as </w:t>
            </w:r>
            <w:hyperlink w:anchor="toc770053_210">
              <w:r>
                <w:rPr>
                  <w:rStyle w:val="InternetLink"/>
                  <w:u w:val="single"/>
                </w:rPr>
                <w:t>Annex J</w:t>
              </w:r>
            </w:hyperlink>
            <w:r>
              <w:rPr/>
              <w:t xml:space="preserve"> to this proxy statement/prospectus and incorporated herein by reference).</w:t>
            </w:r>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10.35††</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hyperlink r:id="rId64">
              <w:r>
                <w:rPr>
                  <w:rStyle w:val="InternetLink"/>
                </w:rPr>
                <w:t xml:space="preserve">License Agreement, dated February 10, 2022, by and between Tectonic Therapeutic, Inc. and President and Fellows of Harvard College (filed as Exhibit 10.35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10.36††</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hyperlink r:id="rId65">
              <w:r>
                <w:rPr>
                  <w:rStyle w:val="InternetLink"/>
                </w:rPr>
                <w:t xml:space="preserve">Master Agreement for Early Phase Clinical Services, dated October 23, 2023, by and between Tectonic Therapeutic, Inc. and ARENSIA Exploratory Medicine GmbH (filed as Exhibit 10.36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10.37††</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hyperlink r:id="rId66">
              <w:r>
                <w:rPr>
                  <w:rStyle w:val="InternetLink"/>
                </w:rPr>
                <w:t xml:space="preserve">Master Contract Services Agreement, dated October 17, 2023, by and between Tectonic Therapeutic, Inc. and QPS Holdings, LLC (filed as Exhibit 10.37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10.38††</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hyperlink r:id="rId67">
              <w:r>
                <w:rPr>
                  <w:rStyle w:val="InternetLink"/>
                </w:rPr>
                <w:t>Master Contract Services Agreement, dated February 16, 2022, by and between Tectonic Therapeutic, Inc. and ITR LABORATORIES CANADA INC. (filed as Exhibit 10.38 to AVROBIO, Inc.’s Amendment No. 1 to the Registration Statement on Form S-4 filed on March 26, 2024 (File No. 333-277048) and incorporated herein by reference).</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10.39††</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hyperlink r:id="rId68">
              <w:r>
                <w:rPr>
                  <w:rStyle w:val="InternetLink"/>
                </w:rPr>
                <w:t xml:space="preserve">Development and Manufacturing Services Agreement, dated May 6, 2022, by and between Tectonic Therapeutic, Inc. and WuXi Biologics (Hong Kong) Limited (filed as Exhibit 10.39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10.40††</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hyperlink r:id="rId69">
              <w:r>
                <w:rPr>
                  <w:rStyle w:val="InternetLink"/>
                </w:rPr>
                <w:t xml:space="preserve">Master Clinical Contract Services Agreement, dated March 6, 2023, by and between Tectonic Therapeutic, Inc. and Novotech (Australia) Pty Limited CAN (filed as Exhibit 10.40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10.41#</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hyperlink r:id="rId70">
              <w:r>
                <w:rPr>
                  <w:rStyle w:val="InternetLink"/>
                </w:rPr>
                <w:t>Consulting Agreement, dated September 25, 2019, by and between Tectonic Therapeutic, Inc. and Andrew Kruse (filed as Exhibit 10.41 to AVROBIO, Inc.’s Registration Statement on Form S-4 filed on February 14, 2024 (File No. 333-277048) and incorporated herein by reference).</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10.42#</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0"/>
              <w:jc w:val="left"/>
              <w:rPr/>
            </w:pPr>
            <w:hyperlink r:id="rId71">
              <w:r>
                <w:rPr>
                  <w:rStyle w:val="InternetLink"/>
                  <w:rFonts w:ascii="Times New Roman" w:hAnsi="Times New Roman"/>
                  <w:sz w:val="20"/>
                </w:rPr>
                <w:t xml:space="preserve">Form of Amended and Restated Executive Employment Agreement, by and between Tectonic Therapeutic, Inc. and Alise Reicin (filed as Exhibit 10.42 to AVROBIO, Inc.’s Amendment No. 2 to the Registration Statement on Form S-4 filed on April 15,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10.43#</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0"/>
              <w:jc w:val="left"/>
              <w:rPr/>
            </w:pPr>
            <w:hyperlink r:id="rId72">
              <w:r>
                <w:rPr>
                  <w:rStyle w:val="InternetLink"/>
                  <w:rFonts w:ascii="Times New Roman" w:hAnsi="Times New Roman"/>
                  <w:sz w:val="20"/>
                </w:rPr>
                <w:t>Offer Letter dated June 16, 2021, by and between Tectonic Therapeutic, Inc. and Marcella Ruddy (filed as Exhibit 10.43 to AVROBIO, Inc.’s Amendment No. 2 to the Registration Statement on Form S-4 filed on April 15, 2024 (File No. 333-277048) and incorporated herein by reference).</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10.44#</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hyperlink r:id="rId73">
              <w:r>
                <w:rPr>
                  <w:rStyle w:val="InternetLink"/>
                </w:rPr>
                <w:t>Offer Letter dated July 29, 2019, by and between Tectonic Therapeutic, Inc. and Christian Cortis (filed as Exhibit 10.44 to AVROBIO, Inc.’s Amendment No. 2 to the Registration Statement on Form S-4 filed on April 15, 2024 (File No. 333-277048) and incorporated herein by reference).</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10.45#</w:t>
            </w:r>
          </w:p>
        </w:tc>
        <w:tc>
          <w:tcPr>
            <w:tcW w:w="12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hyperlink r:id="rId74">
              <w:r>
                <w:rPr>
                  <w:rStyle w:val="InternetLink"/>
                </w:rPr>
                <w:t xml:space="preserve">2019 Equity Incentive Plan of Tectonic Therapeutic, Inc. (filed as Exhibit 10.42 to AVROBIO, Inc.’s Registration Statement on Form S-4 filed on February 14, 2024 (File No. 333-277048) and incorporated herein by reference). </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10.46#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75">
              <w:r>
                <w:rPr>
                  <w:rStyle w:val="InternetLink"/>
                </w:rPr>
                <w:t>Amendment to 2019 Equity Incentive Plan of Tectonic Therapeutic, Inc. (filed as Exhibit 10.43 to AVROBIO, Inc.’s Registration Statement on Form S-4 filed on February 14, 2024 (File No. 333-277048)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10.47#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76">
              <w:r>
                <w:rPr>
                  <w:rStyle w:val="InternetLink"/>
                </w:rPr>
                <w:t xml:space="preserve">Form of Severance Plan and Form of Participation Agreement of Tectonic Therapeutic, Inc. (filed as Exhibit 10.47 to AVROBIO, Inc.’s Amendment No. 2 to the Registration Statement on Form S-4 filed on April 15,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77">
              <w:r>
                <w:rPr>
                  <w:rStyle w:val="InternetLink"/>
                </w:rPr>
                <w:t xml:space="preserve">List of Subsidiaries of Tectonic Therapeutic, Inc. (filed as Exhibit 21.1 to AVROBIO, Inc.’s Amendment No. 1 to the Registration Statement on Form S-4 filed on March 26,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78">
              <w:r>
                <w:rPr>
                  <w:rStyle w:val="InternetLink"/>
                </w:rPr>
                <w:t>List of Subsidiaries of AVROBIO, Inc. (filed as Exhibit 21.1 to AVROBIO, Inc.’s Annual Report on Form 10-K filed on March 14, 2024 (File No. 001-38537)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770053dex231.htm">
              <w:r>
                <w:rPr>
                  <w:rStyle w:val="InternetLink"/>
                </w:rPr>
                <w:t xml:space="preserve">Consent of Deloitte &amp; Touche LLP, independent registered public accounting firm of Tectonic Therapeutic, Inc.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770053dex232.htm">
              <w:r>
                <w:rPr>
                  <w:rStyle w:val="InternetLink"/>
                </w:rPr>
                <w:t>Consent of Ernst &amp; Young LLP, independent registered public accounting firm of AVROBIO, Inc.</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23.3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79">
              <w:r>
                <w:rPr>
                  <w:rStyle w:val="InternetLink"/>
                </w:rPr>
                <w:t xml:space="preserve">Consent of Goodwin Procter LLP (included in Exhibit 5.1).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"http://www.sec.gov/Archives/edgar/data/1681087/000119312524076669/d770053ds4a.htm" \l "sig"</w:instrText>
            </w:r>
            <w:r>
              <w:rPr>
                <w:rStyle w:val="InternetLink"/>
              </w:rPr>
              <w:fldChar w:fldCharType="separate"/>
            </w:r>
            <w:r>
              <w:rPr>
                <w:rStyle w:val="InternetLink"/>
              </w:rPr>
              <w:t xml:space="preserve">Power of Attorney (included on signature page of the Registration Statement on Form S-4 filed on March 26, 2024 (File No. 333-277048)). </w:t>
            </w:r>
            <w:r>
              <w:rPr>
                <w:rStyle w:val="InternetLink"/>
              </w:rPr>
              <w:fldChar w:fldCharType="end"/>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xml:space="preserve">Proposed form of Certificate of Amendment of Certificate of Incorporation of AVROBIO, Inc.—Reverse Stock Split (included as </w:t>
            </w:r>
            <w:hyperlink w:anchor="toc770053_207">
              <w:r>
                <w:rPr>
                  <w:rStyle w:val="InternetLink"/>
                  <w:u w:val="single"/>
                </w:rPr>
                <w:t>Annex G</w:t>
              </w:r>
            </w:hyperlink>
            <w:r>
              <w:rPr/>
              <w:t xml:space="preserve"> to the proxy statement/prospectus and incorporated herein by reference).</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99.2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xml:space="preserve">Proposed form of Certificate of Amendment of Certificate of Incorporation of AVROBIO, Inc.—Officer Exculpation (included as </w:t>
            </w:r>
            <w:hyperlink w:anchor="toc770053_208">
              <w:r>
                <w:rPr>
                  <w:rStyle w:val="InternetLink"/>
                  <w:u w:val="single"/>
                </w:rPr>
                <w:t>Annex H</w:t>
              </w:r>
            </w:hyperlink>
            <w:r>
              <w:rPr/>
              <w:t xml:space="preserve"> to the proxy statement/prospectus and incorporated herein by reference).</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99.3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80">
              <w:r>
                <w:rPr>
                  <w:rStyle w:val="InternetLink"/>
                </w:rPr>
                <w:t>Consent of Terrance McGuire to serve as a director of AVROBIO, Inc., to be renamed “Tectonic Therapeutic, Inc.” (filed as Exhibit 99.3 to AVROBIO, Inc.’s Amendment No. 2 to the Registration Statement on Form S-4 filed on April 15, 2024 (File No. 333-277048)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99.4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81">
              <w:r>
                <w:rPr>
                  <w:rStyle w:val="InternetLink"/>
                </w:rPr>
                <w:t xml:space="preserve">Consent of Timothy A. Springer to serve as a director of AVROBIO, Inc., to be renamed “Tectonic Therapeutic, Inc.” (filed as Exhibit 99.4 to AVROBIO, Inc.’s Amendment No. 2 to the Registration Statement on Form S-4 filed on April 15,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99.5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82">
              <w:r>
                <w:rPr>
                  <w:rStyle w:val="InternetLink"/>
                </w:rPr>
                <w:t xml:space="preserve">Consent of Praveen Tipirneni to serve as a director of AVROBIO, Inc., to be renamed “Tectonic Therapeutic, Inc.” (filed as Exhibit 99.5 to AVROBIO, Inc.’s Amendment No. 2 to the Registration Statement on Form S-4 filed on April 15,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99.6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83">
              <w:r>
                <w:rPr>
                  <w:rStyle w:val="InternetLink"/>
                </w:rPr>
                <w:t xml:space="preserve">Consent of Stefan Vitorovic to serve as a director of AVROBIO, Inc., to be renamed “Tectonic Therapeutic, Inc.” (filed as Exhibit 99.6 to AVROBIO, Inc.’s Amendment No. 2 to the Registration Statement on Form S-4 filed on April 15,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99.7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84">
              <w:r>
                <w:rPr>
                  <w:rStyle w:val="InternetLink"/>
                </w:rPr>
                <w:t xml:space="preserve">Consent of Alise Reicin to serve as a director of AVROBIO, Inc., to be renamed “Tectonic Therapeutic, Inc.” (filed as Exhibit 99.7 to AVROBIO, Inc.’s Amendment No. 2 to the Registration Statement on Form S-4 filed on April 15, 2024 (File No. 333-277048) and incorporated herein by reference). </w:t>
              </w:r>
            </w:hyperlink>
          </w:p>
        </w:tc>
      </w:tr>
    </w:tbl>
    <w:p>
      <w:pPr>
        <w:pStyle w:val="HorizontalLine"/>
        <w:bidi w:val="0"/>
        <w:jc w:val="left"/>
        <w:rPr/>
      </w:pPr>
      <w:r>
        <w:br w:type="page"/>
      </w:r>
      <w:r>
        <w:rPr/>
      </w:r>
    </w:p>
    <w:tbl>
      <w:tblPr>
        <w:tblW w:w="6190" w:type="dxa"/>
        <w:jc w:val="left"/>
        <w:tblInd w:w="0" w:type="dxa"/>
        <w:tblLayout w:type="fixed"/>
        <w:tblCellMar>
          <w:top w:w="0" w:type="dxa"/>
          <w:left w:w="0" w:type="dxa"/>
          <w:bottom w:w="0" w:type="dxa"/>
          <w:right w:w="0" w:type="dxa"/>
        </w:tblCellMar>
      </w:tblPr>
      <w:tblGrid>
        <w:gridCol w:w="1070"/>
        <w:gridCol w:w="120"/>
        <w:gridCol w:w="5000"/>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0" w:type="dxa"/>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500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r>
              <w:rPr/>
              <w:t>99.10*</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hyperlink w:anchor="d770053dex9910.htm">
              <w:r>
                <w:rPr>
                  <w:rStyle w:val="InternetLink"/>
                </w:rPr>
                <w:t>Consent of Houlihan Lokey Capital, Inc.</w:t>
              </w:r>
            </w:hyperlink>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XBRL Instance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XBRL Taxonomy Extension Schema.</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XBRL Taxonomy Extension Calculation Linkbase.</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XBRL Taxonomy Extension Definition Linkbase.</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XBRL Taxonomy Extension Label Linkbase.</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XBRL Taxonomy Extension Presentation Linkbase.</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hyperlink r:id="rId85">
              <w:r>
                <w:rPr>
                  <w:rStyle w:val="InternetLink"/>
                </w:rPr>
                <w:t xml:space="preserve">Filing fee table. </w:t>
              </w:r>
            </w:hyperlink>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4600" w:type="dxa"/>
        <w:jc w:val="left"/>
        <w:tblInd w:w="0" w:type="dxa"/>
        <w:tblLayout w:type="fixed"/>
        <w:tblCellMar>
          <w:top w:w="0" w:type="dxa"/>
          <w:left w:w="0" w:type="dxa"/>
          <w:bottom w:w="0" w:type="dxa"/>
          <w:right w:w="0" w:type="dxa"/>
        </w:tblCellMar>
      </w:tblPr>
      <w:tblGrid>
        <w:gridCol w:w="155"/>
        <w:gridCol w:w="4445"/>
      </w:tblGrid>
      <w:tr>
        <w:trPr/>
        <w:tc>
          <w:tcPr>
            <w:tcW w:w="155"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Confidential treatment has been granted for portions of this Exhibit pursuant to Rule 406 promulgated under the Securities Act.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have been omitted pursuant to Item 601(a)(2) of Regulation S-K. AVROBIO, Inc. hereby agrees to furnish supplementally a copy of any omitted annex, schedule or exhibit to the SEC upon request. </w:t>
            </w:r>
          </w:p>
        </w:tc>
      </w:tr>
    </w:tbl>
    <w:tbl>
      <w:tblPr>
        <w:tblW w:w="8950" w:type="dxa"/>
        <w:jc w:val="left"/>
        <w:tblInd w:w="0" w:type="dxa"/>
        <w:tblLayout w:type="fixed"/>
        <w:tblCellMar>
          <w:top w:w="0" w:type="dxa"/>
          <w:left w:w="0" w:type="dxa"/>
          <w:bottom w:w="0" w:type="dxa"/>
          <w:right w:w="0" w:type="dxa"/>
        </w:tblCellMar>
      </w:tblPr>
      <w:tblGrid>
        <w:gridCol w:w="275"/>
        <w:gridCol w:w="8675"/>
      </w:tblGrid>
      <w:tr>
        <w:trPr/>
        <w:tc>
          <w:tcPr>
            <w:tcW w:w="275"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asterisks) have been omitted in accordance with the rules of the SEC.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bookmarkStart w:id="340" w:name="sig"/>
      <w:bookmarkEnd w:id="34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in the City of Cambridge, State of Massachusetts, on April 29, 2024.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380"/>
        <w:gridCol w:w="60"/>
        <w:gridCol w:w="348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925" w:type="dxa"/>
            <w:gridSpan w:val="3"/>
            <w:tcBorders/>
            <w:vAlign w:val="center"/>
          </w:tcPr>
          <w:p>
            <w:pPr>
              <w:pStyle w:val="TableContents"/>
              <w:bidi w:val="0"/>
              <w:spacing w:before="0" w:after="283"/>
              <w:jc w:val="left"/>
              <w:rPr/>
            </w:pPr>
            <w:r>
              <w:rPr/>
              <w:t>AVROBIO,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54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485" w:type="dxa"/>
            <w:tcBorders>
              <w:bottom w:val="single" w:sz="6" w:space="0" w:color="000000"/>
            </w:tcBorders>
            <w:tcMar>
              <w:bottom w:w="28" w:type="dxa"/>
            </w:tcMar>
            <w:vAlign w:val="center"/>
          </w:tcPr>
          <w:p>
            <w:pPr>
              <w:pStyle w:val="TableContents"/>
              <w:bidi w:val="0"/>
              <w:spacing w:before="0" w:after="283"/>
              <w:jc w:val="left"/>
              <w:rPr>
                <w:u w:val="single"/>
              </w:rPr>
            </w:pPr>
            <w:r>
              <w:rPr>
                <w:u w:val="single"/>
              </w:rPr>
              <w:t xml:space="preserve">/s/ Erik Ostrowski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xml:space="preserve">Erik Ostrowski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Interim Chief Executive Officer,</w:t>
            </w:r>
          </w:p>
          <w:p>
            <w:pPr>
              <w:pStyle w:val="TableContents"/>
              <w:bidi w:val="0"/>
              <w:spacing w:before="0" w:after="20"/>
              <w:jc w:val="left"/>
              <w:rPr>
                <w:rFonts w:ascii="Times New Roman" w:hAnsi="Times New Roman"/>
                <w:i/>
                <w:sz w:val="20"/>
              </w:rPr>
            </w:pPr>
            <w:r>
              <w:rPr>
                <w:rFonts w:ascii="Times New Roman" w:hAnsi="Times New Roman"/>
                <w:i/>
                <w:sz w:val="20"/>
              </w:rPr>
              <w:t>Chief Financial Officer and Treasurer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(Principal Executive, Financial, and</w:t>
            </w:r>
          </w:p>
          <w:p>
            <w:pPr>
              <w:pStyle w:val="TableContents"/>
              <w:bidi w:val="0"/>
              <w:spacing w:before="0" w:after="20"/>
              <w:jc w:val="left"/>
              <w:rPr>
                <w:rFonts w:ascii="Times New Roman" w:hAnsi="Times New Roman"/>
                <w:i/>
                <w:sz w:val="20"/>
              </w:rPr>
            </w:pPr>
            <w:r>
              <w:rPr>
                <w:rFonts w:ascii="Times New Roman" w:hAnsi="Times New Roman"/>
                <w:i/>
                <w:sz w:val="20"/>
              </w:rPr>
              <w:t>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4"/>
        <w:gridCol w:w="120"/>
        <w:gridCol w:w="6202"/>
        <w:gridCol w:w="60"/>
        <w:gridCol w:w="1279"/>
      </w:tblGrid>
      <w:tr>
        <w:trPr/>
        <w:tc>
          <w:tcPr>
            <w:tcW w:w="25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bidi w:val="0"/>
              <w:spacing w:before="0" w:after="283"/>
              <w:jc w:val="center"/>
              <w:rPr/>
            </w:pPr>
            <w:r>
              <w:rPr/>
              <w:t>NAME</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pPr>
            <w:r>
              <w:rPr/>
              <w:t>TITLE</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DATE</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b/>
                <w:sz w:val="20"/>
              </w:rPr>
              <w:t xml:space="preserve">/s/ </w:t>
            </w:r>
            <w:r>
              <w:rPr>
                <w:rFonts w:ascii="Times New Roman" w:hAnsi="Times New Roman"/>
                <w:sz w:val="20"/>
              </w:rPr>
              <w:t>Erik Ostrowski</w:t>
            </w:r>
          </w:p>
          <w:p>
            <w:pPr>
              <w:pStyle w:val="TableContents"/>
              <w:bidi w:val="0"/>
              <w:spacing w:before="0" w:after="20"/>
              <w:jc w:val="center"/>
              <w:rPr>
                <w:rFonts w:ascii="Times New Roman" w:hAnsi="Times New Roman"/>
                <w:sz w:val="20"/>
              </w:rPr>
            </w:pPr>
            <w:r>
              <w:rPr>
                <w:rFonts w:ascii="Times New Roman" w:hAnsi="Times New Roman"/>
                <w:sz w:val="20"/>
              </w:rPr>
              <w:t>Erik Ostrowski</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President, Interim Chief Executive Officer, Chief Financial Officer and Treasurer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 Principal Financial Officer, and Principal Accounting Officer)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29,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Bruce Booth, D.Phil.</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Chairman of the Board of Directors</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29,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Ian T. Clark</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29,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Phillip B. Donenberg</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29,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Gail M. Farfel, Ph.D.</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29,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Annalisa Jenkins, M.B.B.S., F.R.C.P</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29,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Christopher Paige, Ph.D.</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29,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Philip J. Vickers, Ph.D.</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29, 2024</w:t>
            </w:r>
          </w:p>
        </w:tc>
      </w:tr>
    </w:tbl>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665"/>
        <w:gridCol w:w="60"/>
        <w:gridCol w:w="155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Erik Ostrowski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Erik Ostrowski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Attorney-in-fact</w:t>
            </w:r>
          </w:p>
        </w:tc>
      </w:tr>
    </w:tbl>
    <w:p>
      <w:pPr>
        <w:pStyle w:val="TextBody"/>
        <w:bidi w:val="0"/>
        <w:spacing w:before="0" w:after="0"/>
        <w:jc w:val="right"/>
        <w:rPr>
          <w:rFonts w:ascii="Times New Roman" w:hAnsi="Times New Roman"/>
          <w:b/>
          <w:sz w:val="20"/>
        </w:rPr>
      </w:pPr>
      <w:bookmarkStart w:id="341" w:name="d770053dex231.htm"/>
      <w:bookmarkStart w:id="342" w:name="ksd770053dex231"/>
      <w:bookmarkEnd w:id="341"/>
      <w:bookmarkEnd w:id="34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(No. 333-277048) on Form S-4 of our report dated April 12, 2024, relating to the financial statements of Tectonic Therapeutic, Inc.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Deloitte &amp; Touche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Boston, Massachusetts</w:t>
            </w:r>
          </w:p>
        </w:tc>
      </w:tr>
      <w:tr>
        <w:trPr/>
        <w:tc>
          <w:tcPr>
            <w:tcW w:w="4082" w:type="dxa"/>
            <w:tcBorders/>
          </w:tcPr>
          <w:p>
            <w:pPr>
              <w:pStyle w:val="TableContents"/>
              <w:bidi w:val="0"/>
              <w:spacing w:before="0" w:after="283"/>
              <w:jc w:val="left"/>
              <w:rPr/>
            </w:pPr>
            <w:r>
              <w:rPr/>
              <w:t>April 29, 2024</w:t>
            </w:r>
          </w:p>
        </w:tc>
      </w:tr>
    </w:tbl>
    <w:p>
      <w:pPr>
        <w:pStyle w:val="TextBody"/>
        <w:bidi w:val="0"/>
        <w:spacing w:before="0" w:after="0"/>
        <w:jc w:val="right"/>
        <w:rPr>
          <w:rFonts w:ascii="Times New Roman" w:hAnsi="Times New Roman"/>
          <w:b/>
          <w:sz w:val="20"/>
        </w:rPr>
      </w:pPr>
      <w:bookmarkStart w:id="343" w:name="d770053dex232.htm"/>
      <w:bookmarkStart w:id="344" w:name="ksd770053dex232"/>
      <w:bookmarkEnd w:id="343"/>
      <w:bookmarkEnd w:id="344"/>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March 14, 2024, in Amendment No. 3 to the Registration Statement (Form S-4 No. 333-277048) and related Proxy Statement/Prospectus of AVROBIO, Inc. for the registration of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April 29, 2024 </w:t>
      </w:r>
    </w:p>
    <w:p>
      <w:pPr>
        <w:pStyle w:val="TextBody"/>
        <w:bidi w:val="0"/>
        <w:spacing w:before="0" w:after="0"/>
        <w:jc w:val="right"/>
        <w:rPr>
          <w:rFonts w:ascii="Times New Roman" w:hAnsi="Times New Roman"/>
          <w:b/>
          <w:sz w:val="20"/>
        </w:rPr>
      </w:pPr>
      <w:bookmarkStart w:id="345" w:name="d770053dex9910.htm"/>
      <w:bookmarkStart w:id="346" w:name="ksd770053dex9910"/>
      <w:bookmarkEnd w:id="345"/>
      <w:bookmarkEnd w:id="346"/>
      <w:r>
        <w:rPr>
          <w:rFonts w:ascii="Times New Roman" w:hAnsi="Times New Roman"/>
          <w:b/>
          <w:sz w:val="20"/>
        </w:rPr>
        <w:t xml:space="preserve">Exhibit 99.10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April 29, 2024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One Broadway </w:t>
      </w:r>
    </w:p>
    <w:p>
      <w:pPr>
        <w:pStyle w:val="TextBody"/>
        <w:bidi w:val="0"/>
        <w:spacing w:before="0" w:after="0"/>
        <w:jc w:val="left"/>
        <w:rPr>
          <w:rFonts w:ascii="Times New Roman" w:hAnsi="Times New Roman"/>
          <w:sz w:val="20"/>
        </w:rPr>
      </w:pPr>
      <w:r>
        <w:rPr>
          <w:rFonts w:ascii="Times New Roman" w:hAnsi="Times New Roman"/>
          <w:sz w:val="20"/>
        </w:rPr>
        <w:t xml:space="preserve">14th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Attn: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RE:</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Proxy Statement / Prospectus of AVROBIO, Inc. (AVROBIO), which forms part of Amendment No. 3 to the Registration Statement on Form S-4 of AVROBIO (the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our opinion letter (opinion), dated January 29, 2024, to the Board of Directors of AVROBIO (the Board). We understand that AVROBIO has determined to include our opinion in the Proxy Statement Prospectus of AVROBIO (the Proxy Statement/Prospectus) included in the above referenced Amendment No. 3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 was provided for the Board (in its capacity as such) in connection with its consideration of the transaction contemplated therein and may not be used, circulated, quoted or otherwise referred to for any other purpose, nor is it to be filed with, included in or referred to in whole or in part in any registration statement, proxy statement or any other document, except, in each instance, in accordance with our prior written consent. In that regard, we hereby consent to the reference to our opinion in the Proxy Statement/Prospectus included in Amendment No. 3 to the Registration Statement filed with the Securities and Exchange Commission as of the date hereof under the captions, </w:t>
      </w:r>
      <w:r>
        <w:rPr>
          <w:rFonts w:ascii="Times New Roman" w:hAnsi="Times New Roman"/>
          <w:i/>
          <w:sz w:val="20"/>
        </w:rPr>
        <w:t xml:space="preserve">PROSPECTUS SUMMARY  Opinion of Houlihan Lokey to the AVROBIO Board, </w:t>
      </w:r>
      <w:r>
        <w:rPr>
          <w:rFonts w:ascii="Times New Roman" w:hAnsi="Times New Roman"/>
          <w:sz w:val="20"/>
        </w:rPr>
        <w:t></w:t>
      </w:r>
      <w:r>
        <w:rPr>
          <w:rFonts w:ascii="Times New Roman" w:hAnsi="Times New Roman"/>
          <w:i/>
          <w:sz w:val="20"/>
        </w:rPr>
        <w:t>THE MERGER  Background of the Merger,</w:t>
      </w:r>
      <w:r>
        <w:rPr>
          <w:rFonts w:ascii="Times New Roman" w:hAnsi="Times New Roman"/>
          <w:sz w:val="20"/>
        </w:rPr>
        <w:t xml:space="preserve"> </w:t>
      </w:r>
      <w:r>
        <w:rPr>
          <w:rFonts w:ascii="Times New Roman" w:hAnsi="Times New Roman"/>
          <w:i/>
          <w:sz w:val="20"/>
        </w:rPr>
        <w:t xml:space="preserve">THE MERGER AVROBIOs Reasons for the Merger and </w:t>
      </w:r>
      <w:r>
        <w:rPr>
          <w:rFonts w:ascii="Times New Roman" w:hAnsi="Times New Roman"/>
          <w:sz w:val="20"/>
        </w:rPr>
        <w:t></w:t>
      </w:r>
      <w:r>
        <w:rPr>
          <w:rFonts w:ascii="Times New Roman" w:hAnsi="Times New Roman"/>
          <w:i/>
          <w:sz w:val="20"/>
        </w:rPr>
        <w:t xml:space="preserve">THE MERGER  Opinion of Houlihan Lokey to the AVROBIO Board </w:t>
      </w:r>
      <w:r>
        <w:rPr>
          <w:rFonts w:ascii="Times New Roman" w:hAnsi="Times New Roman"/>
          <w:sz w:val="20"/>
        </w:rPr>
        <w:t xml:space="preserve">and to the inclusion of our opinion as Annex B to the Proxy Statement/Prospectus. Notwithstanding the foregoing, it is understood that this consent is being delivered solely in connection with the filing of the above-mentioned Amendment No. 3 to the Registration Statement as of the date hereof and that our opinion is not to be filed with, included in or referred to in whole or in part in any other registration statement (including any other amendments to the above-mentioned Registration Statement), proxy statement or any other document, except, in each instance, in accordance with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In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CAPITAL, INC.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hyperlink" Target="http://www.sec.gov/Archives/edgar/data/1681087/000095017023041408/avro-ex2_1.htm" TargetMode="External"/><Relationship Id="rId27" Type="http://schemas.openxmlformats.org/officeDocument/2006/relationships/hyperlink" Target="http://www.sec.gov/Archives/edgar/data/0001681087/000119312524034461/d770053dex31.htm" TargetMode="External"/><Relationship Id="rId28" Type="http://schemas.openxmlformats.org/officeDocument/2006/relationships/hyperlink" Target="http://www.sec.gov/Archives/edgar/data/0001681087/000119312524034461/d770053dex32.htm" TargetMode="External"/><Relationship Id="rId29" Type="http://schemas.openxmlformats.org/officeDocument/2006/relationships/hyperlink" Target="http://www.sec.gov/Archives/edgar/data/1681087/000119312518202460/d153924dex31.htm" TargetMode="External"/><Relationship Id="rId30" Type="http://schemas.openxmlformats.org/officeDocument/2006/relationships/hyperlink" Target="http://www.sec.gov/Archives/edgar/data/1681087/000156459020051456/avro-ex32_90.htm" TargetMode="External"/><Relationship Id="rId31" Type="http://schemas.openxmlformats.org/officeDocument/2006/relationships/hyperlink" Target="http://www.sec.gov/Archives/edgar/data/1681087/000119312518202460/d153924dex32.htm" TargetMode="External"/><Relationship Id="rId32" Type="http://schemas.openxmlformats.org/officeDocument/2006/relationships/hyperlink" Target="http://www.sec.gov/Archives/edgar/data/1681087/000119312518188630/d562006dex41.htm" TargetMode="External"/><Relationship Id="rId33" Type="http://schemas.openxmlformats.org/officeDocument/2006/relationships/hyperlink" Target="http://www.sec.gov/Archives/edgar/data/1681087/000119312524076669/d770053dex51.htm" TargetMode="External"/><Relationship Id="rId34" Type="http://schemas.openxmlformats.org/officeDocument/2006/relationships/hyperlink" Target="http://www.sec.gov/Archives/edgar/data/1681087/000119312524095517/d770053dex81.htm" TargetMode="External"/><Relationship Id="rId35" Type="http://schemas.openxmlformats.org/officeDocument/2006/relationships/hyperlink" Target="http://www.sec.gov/Archives/edgar/data/1681087/000119312524095517/d770053dex82.htm" TargetMode="External"/><Relationship Id="rId36" Type="http://schemas.openxmlformats.org/officeDocument/2006/relationships/hyperlink" Target="http://www.sec.gov/Archives/edgar/data/1681087/000119312518175024/d562006dex101.htm" TargetMode="External"/><Relationship Id="rId37" Type="http://schemas.openxmlformats.org/officeDocument/2006/relationships/hyperlink" Target="http://www.sec.gov/Archives/edgar/data/1681087/000119312518188630/d562006dex102.htm" TargetMode="External"/><Relationship Id="rId38" Type="http://schemas.openxmlformats.org/officeDocument/2006/relationships/hyperlink" Target="http://www.sec.gov/Archives/edgar/data/1681087/000156459020028774/avro-ex101_30.htm" TargetMode="External"/><Relationship Id="rId39" Type="http://schemas.openxmlformats.org/officeDocument/2006/relationships/hyperlink" Target="http://www.sec.gov/Archives/edgar/data/1681087/000156459022022999/avro-ex101_6.htm" TargetMode="External"/><Relationship Id="rId40" Type="http://schemas.openxmlformats.org/officeDocument/2006/relationships/hyperlink" Target="http://www.sec.gov/Archives/edgar/data/1681087/000119312518188630/d562006dex103.htm" TargetMode="External"/><Relationship Id="rId41" Type="http://schemas.openxmlformats.org/officeDocument/2006/relationships/hyperlink" Target="http://www.sec.gov/Archives/edgar/data/1681087/000119312518188630/d562006dex104.htm" TargetMode="External"/><Relationship Id="rId42" Type="http://schemas.openxmlformats.org/officeDocument/2006/relationships/hyperlink" Target="http://www.sec.gov/Archives/edgar/data/1681087/000119312518181102/d562006dex105.htm" TargetMode="External"/><Relationship Id="rId43" Type="http://schemas.openxmlformats.org/officeDocument/2006/relationships/hyperlink" Target="http://www.sec.gov/Archives/edgar/data/1681087/000119312518188630/d562006dex106.htm" TargetMode="External"/><Relationship Id="rId44" Type="http://schemas.openxmlformats.org/officeDocument/2006/relationships/hyperlink" Target="http://www.sec.gov/Archives/edgar/data/1681087/000156459020011144/avro-ex107_544.htm" TargetMode="External"/><Relationship Id="rId45" Type="http://schemas.openxmlformats.org/officeDocument/2006/relationships/hyperlink" Target="http://www.sec.gov/Archives/edgar/data/1681087/000156459020011144/avro-ex108_543.htm" TargetMode="External"/><Relationship Id="rId46" Type="http://schemas.openxmlformats.org/officeDocument/2006/relationships/hyperlink" Target="http://www.sec.gov/Archives/edgar/data/1681087/000119312518175024/d562006dex107.htm" TargetMode="External"/><Relationship Id="rId47" Type="http://schemas.openxmlformats.org/officeDocument/2006/relationships/hyperlink" Target="http://www.sec.gov/Archives/edgar/data/1681087/000119312518188630/d562006dex109.htm" TargetMode="External"/><Relationship Id="rId48" Type="http://schemas.openxmlformats.org/officeDocument/2006/relationships/hyperlink" Target="http://www.sec.gov/Archives/edgar/data/1681087/000156459021027619/avro-ex101_113.htm" TargetMode="External"/><Relationship Id="rId49" Type="http://schemas.openxmlformats.org/officeDocument/2006/relationships/hyperlink" Target="http://www.sec.gov/Archives/edgar/data/1681087/000119312518356370/d676576dex101.htm" TargetMode="External"/><Relationship Id="rId50" Type="http://schemas.openxmlformats.org/officeDocument/2006/relationships/hyperlink" Target="http://www.sec.gov/Archives/edgar/data/1681087/000156459021027619/avro-ex102_112.htm" TargetMode="External"/><Relationship Id="rId51" Type="http://schemas.openxmlformats.org/officeDocument/2006/relationships/hyperlink" Target="http://www.sec.gov/Archives/edgar/data/1681087/000119312519085321/d677215dex1013.htm" TargetMode="External"/><Relationship Id="rId52" Type="http://schemas.openxmlformats.org/officeDocument/2006/relationships/hyperlink" Target="http://www.sec.gov/Archives/edgar/data/1681087/000156459021027619/avro-ex103_111.htm" TargetMode="External"/><Relationship Id="rId53" Type="http://schemas.openxmlformats.org/officeDocument/2006/relationships/hyperlink" Target="http://www.sec.gov/Archives/edgar/data/1681087/000156459020011144/avro-ex1016_545.htm" TargetMode="External"/><Relationship Id="rId54" Type="http://schemas.openxmlformats.org/officeDocument/2006/relationships/hyperlink" Target="http://www.sec.gov/Archives/edgar/data/1681087/000156459021027619/avro-ex106_108.htm" TargetMode="External"/><Relationship Id="rId55" Type="http://schemas.openxmlformats.org/officeDocument/2006/relationships/hyperlink" Target="http://www.sec.gov/Archives/edgar/data/1681087/000156459022010895/avro-ex1022_34.htm" TargetMode="External"/><Relationship Id="rId56" Type="http://schemas.openxmlformats.org/officeDocument/2006/relationships/hyperlink" Target="http://www.sec.gov/Archives/edgar/data/0001681087/000119312524034461/d770053dex1021.htm" TargetMode="External"/><Relationship Id="rId57" Type="http://schemas.openxmlformats.org/officeDocument/2006/relationships/hyperlink" Target="http://www.sec.gov/Archives/edgar/data/0001681087/000119312524034461/d770053dex1022.htm" TargetMode="External"/><Relationship Id="rId58" Type="http://schemas.openxmlformats.org/officeDocument/2006/relationships/hyperlink" Target="http://www.sec.gov/Archives/edgar/data/1681087/000119312518188630/d562006dex1014.htm" TargetMode="External"/><Relationship Id="rId59" Type="http://schemas.openxmlformats.org/officeDocument/2006/relationships/hyperlink" Target="http://www.sec.gov/Archives/edgar/data/1681087/000119312518175024/d562006dex1012.htm" TargetMode="External"/><Relationship Id="rId60" Type="http://schemas.openxmlformats.org/officeDocument/2006/relationships/hyperlink" Target="http://www.sec.gov/Archives/edgar/data/1681087/000119312519320938/d842233dex991.htm" TargetMode="External"/><Relationship Id="rId61" Type="http://schemas.openxmlformats.org/officeDocument/2006/relationships/hyperlink" Target="http://www.sec.gov/Archives/edgar/data/1681087/000119312519085335/d724212dex991.htm" TargetMode="External"/><Relationship Id="rId62" Type="http://schemas.openxmlformats.org/officeDocument/2006/relationships/hyperlink" Target="http://www.sec.gov/Archives/edgar/data/1681087/000156459021014190/avro-ex1025_465.htm" TargetMode="External"/><Relationship Id="rId63" Type="http://schemas.openxmlformats.org/officeDocument/2006/relationships/hyperlink" Target="http://www.sec.gov/Archives/edgar/data/1681087/000095017022016117/avro-ex10_3.htm" TargetMode="External"/><Relationship Id="rId64" Type="http://schemas.openxmlformats.org/officeDocument/2006/relationships/hyperlink" Target="http://www.sec.gov/Archives/edgar/data/1681087/000119312524076669/d770053dex1035.htm" TargetMode="External"/><Relationship Id="rId65" Type="http://schemas.openxmlformats.org/officeDocument/2006/relationships/hyperlink" Target="http://www.sec.gov/Archives/edgar/data/1681087/000119312524076669/d770053dex1036.htm" TargetMode="External"/><Relationship Id="rId66" Type="http://schemas.openxmlformats.org/officeDocument/2006/relationships/hyperlink" Target="http://www.sec.gov/Archives/edgar/data/1681087/000119312524076669/d770053dex1037.htm" TargetMode="External"/><Relationship Id="rId67" Type="http://schemas.openxmlformats.org/officeDocument/2006/relationships/hyperlink" Target="http://www.sec.gov/Archives/edgar/data/1681087/000119312524076669/d770053dex1038.htm" TargetMode="External"/><Relationship Id="rId68" Type="http://schemas.openxmlformats.org/officeDocument/2006/relationships/hyperlink" Target="http://www.sec.gov/Archives/edgar/data/1681087/000119312524076669/d770053dex1039.htm" TargetMode="External"/><Relationship Id="rId69" Type="http://schemas.openxmlformats.org/officeDocument/2006/relationships/hyperlink" Target="http://www.sec.gov/Archives/edgar/data/1681087/000119312524076669/d770053dex1040.htm" TargetMode="External"/><Relationship Id="rId70" Type="http://schemas.openxmlformats.org/officeDocument/2006/relationships/hyperlink" Target="http://www.sec.gov/Archives/edgar/data/0001681087/000119312524034461/d770053dex1041.htm" TargetMode="External"/><Relationship Id="rId71" Type="http://schemas.openxmlformats.org/officeDocument/2006/relationships/hyperlink" Target="http://www.sec.gov/Archives/edgar/data/1681087/000119312524095517/d770053dex1042.htm" TargetMode="External"/><Relationship Id="rId72" Type="http://schemas.openxmlformats.org/officeDocument/2006/relationships/hyperlink" Target="http://www.sec.gov/Archives/edgar/data/1681087/000119312524095517/d770053dex1043.htm" TargetMode="External"/><Relationship Id="rId73" Type="http://schemas.openxmlformats.org/officeDocument/2006/relationships/hyperlink" Target="http://www.sec.gov/Archives/edgar/data/1681087/000119312524095517/d770053dex1044.htm" TargetMode="External"/><Relationship Id="rId74" Type="http://schemas.openxmlformats.org/officeDocument/2006/relationships/hyperlink" Target="http://www.sec.gov/Archives/edgar/data/0001681087/000119312524034461/d770053dex1042.htm" TargetMode="External"/><Relationship Id="rId75" Type="http://schemas.openxmlformats.org/officeDocument/2006/relationships/hyperlink" Target="http://www.sec.gov/Archives/edgar/data/0001681087/000119312524034461/d770053dex1043.htm" TargetMode="External"/><Relationship Id="rId76" Type="http://schemas.openxmlformats.org/officeDocument/2006/relationships/hyperlink" Target="http://www.sec.gov/Archives/edgar/data/1681087/000119312524095517/d770053dex1047.htm" TargetMode="External"/><Relationship Id="rId77" Type="http://schemas.openxmlformats.org/officeDocument/2006/relationships/hyperlink" Target="http://www.sec.gov/Archives/edgar/data/1681087/000119312524076669/d770053dex211.htm" TargetMode="External"/><Relationship Id="rId78" Type="http://schemas.openxmlformats.org/officeDocument/2006/relationships/hyperlink" Target="http://www.sec.gov/Archives/edgar/data/1681087/000095017023009527/avro-ex21_1.htm" TargetMode="External"/><Relationship Id="rId79" Type="http://schemas.openxmlformats.org/officeDocument/2006/relationships/hyperlink" Target="http://www.sec.gov/Archives/edgar/data/1681087/000119312524076669/d770053dex51.htm" TargetMode="External"/><Relationship Id="rId80" Type="http://schemas.openxmlformats.org/officeDocument/2006/relationships/hyperlink" Target="http://www.sec.gov/Archives/edgar/data/1681087/000119312524095517/d770053dex993.htm" TargetMode="External"/><Relationship Id="rId81" Type="http://schemas.openxmlformats.org/officeDocument/2006/relationships/hyperlink" Target="http://www.sec.gov/Archives/edgar/data/1681087/000119312524095517/d770053dex994.htm" TargetMode="External"/><Relationship Id="rId82" Type="http://schemas.openxmlformats.org/officeDocument/2006/relationships/hyperlink" Target="http://www.sec.gov/Archives/edgar/data/1681087/000119312524095517/d770053dex995.htm" TargetMode="External"/><Relationship Id="rId83" Type="http://schemas.openxmlformats.org/officeDocument/2006/relationships/hyperlink" Target="http://www.sec.gov/Archives/edgar/data/1681087/000119312524095517/d770053dex996.htm" TargetMode="External"/><Relationship Id="rId84" Type="http://schemas.openxmlformats.org/officeDocument/2006/relationships/hyperlink" Target="http://www.sec.gov/Archives/edgar/data/1681087/000119312524095517/d770053dex997.htm" TargetMode="External"/><Relationship Id="rId85" Type="http://schemas.openxmlformats.org/officeDocument/2006/relationships/hyperlink" Target="http://www.sec.gov/Archives/edgar/data/1681087/000119312524076669/d770053dexfilingfees.htm" TargetMode="External"/><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735</Pages>
  <Words>452715</Words>
  <Characters>2488310</Characters>
  <CharactersWithSpaces>2954141</CharactersWithSpaces>
  <Paragraphs>33630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EX-99.10</dc:title>
</cp:coreProperties>
</file>