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pPr>
      <w:bookmarkStart w:id="0" w:name="tecx-20261105.htm"/>
      <w:bookmarkStart w:id="1" w:name="kstecx20261105"/>
      <w:bookmarkEnd w:id="0"/>
      <w:bookmarkEnd w:id="1"/>
      <w: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pPr>
      <w: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pPr>
      <w: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c>
          <w:tcPr>
            <w:tcW w:w="5866" w:type="dxa"/>
            <w:tcBorders/>
            <w:vAlign w:val="center"/>
          </w:tcPr>
          <w:p>
            <w:pPr>
              <w:pStyle w:val="TableContents"/>
              <w:bidi w:val="0"/>
              <w:spacing w:before="0" w:after="283"/>
              <w:jc w:val="left"/>
              <w:rPr>
                <w:sz w:val="4"/>
                <w:szCs w:val="4"/>
              </w:rPr>
            </w:pPr>
            <w:r>
              <w:rPr>
                <w:sz w:val="4"/>
                <w:szCs w:val="4"/>
              </w:rPr>
            </w:r>
          </w:p>
        </w:tc>
      </w:tr>
      <w:t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05, 2026</w:t>
            </w:r>
          </w:p>
        </w:tc>
      </w:tr>
    </w:tbl>
    <w:p>
      <w:pPr>
        <w:pStyle w:val="TextBody"/>
        <w:pBdr>
          <w:bottom w:val="single" w:sz="6" w:space="1" w:color="000000"/>
        </w:pBdr>
        <w:bidi w:val="0"/>
        <w:spacing w:before="100" w:after="283"/>
        <w:jc w:val="left"/>
      </w:pPr>
      <w:r>
        <w:t> </w:t>
      </w:r>
    </w:p>
    <w:p>
      <w:pPr>
        <w:pStyle w:val="TextBody"/>
        <w:bidi w:val="0"/>
        <w:jc w:val="left"/>
      </w:pPr>
      <w: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Tectonic Therapeutic,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pPr>
      <w:r>
        <w:t> </w:t>
      </w:r>
    </w:p>
    <w:p>
      <w:pPr>
        <w:pStyle w:val="TextBody"/>
        <w:bidi w:val="0"/>
        <w:jc w:val="left"/>
      </w:pPr>
      <w: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001-38537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81-0710585</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c>
          <w:tcPr>
            <w:tcW w:w="949" w:type="dxa"/>
            <w:tcBorders/>
            <w:tcMar>
              <w:top w:w="0" w:type="dxa"/>
              <w:left w:w="0" w:type="dxa"/>
              <w:bottom w:w="0" w:type="dxa"/>
              <w:right w:w="0" w:type="dxa"/>
            </w:tcMar>
            <w:vAlign w:val="center"/>
          </w:tcPr>
          <w:p>
            <w:pPr>
              <w:pStyle w:val="TableContents"/>
              <w:bidi w:val="0"/>
              <w:spacing w:before="0" w:after="283"/>
              <w:jc w:val="center"/>
            </w:pPr>
            <w:r>
              <w:t> </w:t>
            </w:r>
          </w:p>
        </w:tc>
        <w:tc>
          <w:tcPr>
            <w:tcW w:w="866" w:type="dxa"/>
            <w:tcBorders/>
            <w:tcMar>
              <w:top w:w="0" w:type="dxa"/>
              <w:left w:w="0" w:type="dxa"/>
              <w:bottom w:w="0" w:type="dxa"/>
              <w:right w:w="0" w:type="dxa"/>
            </w:tcMar>
            <w:vAlign w:val="center"/>
          </w:tcPr>
          <w:p>
            <w:pPr>
              <w:pStyle w:val="TableContents"/>
              <w:bidi w:val="0"/>
              <w:spacing w:before="0" w:after="283"/>
              <w:jc w:val="center"/>
            </w:pPr>
            <w:r>
              <w:t> </w:t>
            </w:r>
          </w:p>
        </w:tc>
        <w:tc>
          <w:tcPr>
            <w:tcW w:w="870" w:type="dxa"/>
            <w:tcBorders/>
            <w:tcMar>
              <w:top w:w="0" w:type="dxa"/>
              <w:left w:w="0" w:type="dxa"/>
              <w:bottom w:w="0" w:type="dxa"/>
              <w:right w:w="0" w:type="dxa"/>
            </w:tcMar>
            <w:vAlign w:val="center"/>
          </w:tcPr>
          <w:p>
            <w:pPr>
              <w:pStyle w:val="TableContents"/>
              <w:bidi w:val="0"/>
              <w:spacing w:before="0" w:after="283"/>
              <w:jc w:val="center"/>
            </w:pPr>
            <w:r>
              <w:t> </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490 Arsenal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pPr>
      <w:r>
        <w:t> </w:t>
      </w:r>
    </w:p>
    <w:tbl>
      <w:tblPr>
        <w:tblW w:w="6076" w:type="dxa"/>
        <w:jc w:val="left"/>
        <w:tblInd w:w="0" w:type="dxa"/>
        <w:tblLayout w:type="fixed"/>
        <w:tblCellMar>
          <w:top w:w="28" w:type="dxa"/>
          <w:left w:w="28" w:type="dxa"/>
          <w:bottom w:w="28" w:type="dxa"/>
          <w:right w:w="28" w:type="dxa"/>
        </w:tblCellMar>
      </w:tblPr>
      <w:tblGrid>
        <w:gridCol w:w="6076"/>
      </w:tblGrid>
      <w:tr>
        <w:tc>
          <w:tcPr>
            <w:tcW w:w="6076" w:type="dxa"/>
            <w:tcBorders/>
            <w:vAlign w:val="center"/>
          </w:tcPr>
          <w:p>
            <w:pPr>
              <w:pStyle w:val="TableContents"/>
              <w:bidi w:val="0"/>
              <w:spacing w:before="0" w:after="283"/>
              <w:jc w:val="left"/>
              <w:rPr>
                <w:sz w:val="4"/>
                <w:szCs w:val="4"/>
              </w:rPr>
            </w:pPr>
            <w:r>
              <w:rPr>
                <w:sz w:val="4"/>
                <w:szCs w:val="4"/>
              </w:rPr>
            </w:r>
          </w:p>
        </w:tc>
      </w:tr>
      <w:t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(339)</w:t>
            </w:r>
            <w:r>
              <w:rPr>
                <w:rFonts w:ascii="Times New Roman" w:hAnsi="Times New Roman"/>
                <w:color w:val="000000"/>
                <w:sz w:val="20"/>
              </w:rPr>
              <w:t xml:space="preserve"> </w:t>
            </w:r>
            <w:r>
              <w:rPr>
                <w:rFonts w:ascii="Times New Roman" w:hAnsi="Times New Roman"/>
                <w:b/>
                <w:color w:val="000000"/>
                <w:sz w:val="20"/>
              </w:rPr>
              <w:t>666-3320</w:t>
            </w:r>
          </w:p>
        </w:tc>
      </w:tr>
    </w:tbl>
    <w:p>
      <w:pPr>
        <w:pStyle w:val="TextBody"/>
        <w:bidi w:val="0"/>
        <w:jc w:val="left"/>
      </w:pPr>
      <w:r>
        <w:t> </w:t>
      </w:r>
    </w:p>
    <w:tbl>
      <w:tblPr>
        <w:tblW w:w="206" w:type="dxa"/>
        <w:jc w:val="left"/>
        <w:tblInd w:w="0" w:type="dxa"/>
        <w:tblLayout w:type="fixed"/>
        <w:tblCellMar>
          <w:top w:w="28" w:type="dxa"/>
          <w:left w:w="28" w:type="dxa"/>
          <w:bottom w:w="28" w:type="dxa"/>
          <w:right w:w="28" w:type="dxa"/>
        </w:tblCellMar>
      </w:tblPr>
      <w:tblGrid>
        <w:gridCol w:w="206"/>
      </w:tblGrid>
      <w:tr>
        <w:tc>
          <w:tcPr>
            <w:tcW w:w="206" w:type="dxa"/>
            <w:tcBorders/>
            <w:vAlign w:val="center"/>
          </w:tcPr>
          <w:p>
            <w:pPr>
              <w:pStyle w:val="TableContents"/>
              <w:bidi w:val="0"/>
              <w:spacing w:before="0" w:after="283"/>
              <w:jc w:val="left"/>
              <w:rPr>
                <w:sz w:val="4"/>
                <w:szCs w:val="4"/>
              </w:rPr>
            </w:pPr>
            <w:r>
              <w:rPr>
                <w:sz w:val="4"/>
                <w:szCs w:val="4"/>
              </w:rPr>
            </w:r>
          </w:p>
        </w:tc>
      </w:tr>
      <w:tr>
        <w:tc>
          <w:tcPr>
            <w:tcW w:w="206" w:type="dxa"/>
            <w:tcBorders/>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pPr>
      <w: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pPr>
      <w: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pPr>
      <w: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TECX</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pPr>
      <w:r>
        <w:t> </w:t>
      </w:r>
    </w:p>
    <w:p>
      <w:pPr>
        <w:pStyle w:val="HorizontalLine"/>
        <w:pBdr>
          <w:bottom w:val="double" w:sz="2" w:space="0" w:color="808080"/>
        </w:pBdr>
        <w:bidi w:val="0"/>
        <w:spacing w:before="0" w:after="283"/>
        <w:jc w:val="left"/>
      </w:p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November 5, 2026, Tectonic Therapeutic, Inc. announced its financial results for the third quarter ended September 30, 2026 and provided a general business update. The full text of the press release is furnished as Exhibit 99.1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furnished to comply with Item 2.02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pPr>
      <w:r>
        <w:t> </w:t>
      </w:r>
    </w:p>
    <w:tbl>
      <w:tblPr>
        <w:tblW w:w="7082" w:type="dxa"/>
        <w:jc w:val="left"/>
        <w:tblInd w:w="0" w:type="dxa"/>
        <w:tblLayout w:type="fixed"/>
        <w:tblCellMar>
          <w:top w:w="28" w:type="dxa"/>
          <w:left w:w="28" w:type="dxa"/>
          <w:bottom w:w="28" w:type="dxa"/>
          <w:right w:w="28" w:type="dxa"/>
        </w:tblCellMar>
      </w:tblPr>
      <w:tblGrid>
        <w:gridCol w:w="481"/>
        <w:gridCol w:w="6601"/>
      </w:tblGrid>
      <w:tr>
        <w:tc>
          <w:tcPr>
            <w:tcW w:w="4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c>
          <w:tcPr>
            <w:tcW w:w="481" w:type="dxa"/>
            <w:tcBorders/>
            <w:tcMar>
              <w:top w:w="0" w:type="dxa"/>
              <w:left w:w="0" w:type="dxa"/>
              <w:bottom w:w="0" w:type="dxa"/>
              <w:right w:w="0" w:type="dxa"/>
            </w:tcMar>
            <w:vAlign w:val="center"/>
          </w:tcPr>
          <w:p>
            <w:pPr>
              <w:pStyle w:val="TableContents"/>
              <w:bidi w:val="0"/>
              <w:spacing w:before="0" w:after="283"/>
              <w:jc w:val="left"/>
            </w:pPr>
            <w:r>
              <w:t> </w:t>
            </w:r>
          </w:p>
        </w:tc>
        <w:tc>
          <w:tcPr>
            <w:tcW w:w="6601" w:type="dxa"/>
            <w:tcBorders/>
            <w:tcMar>
              <w:top w:w="0" w:type="dxa"/>
              <w:left w:w="0" w:type="dxa"/>
              <w:bottom w:w="0" w:type="dxa"/>
              <w:right w:w="0" w:type="dxa"/>
            </w:tcMar>
            <w:vAlign w:val="center"/>
          </w:tcPr>
          <w:p>
            <w:pPr>
              <w:pStyle w:val="TableContents"/>
              <w:bidi w:val="0"/>
              <w:spacing w:before="0" w:after="283"/>
              <w:jc w:val="left"/>
            </w:pPr>
            <w:r>
              <w:t> </w:t>
            </w:r>
          </w:p>
        </w:tc>
      </w:tr>
      <w:tr>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pPr>
            <w:hyperlink w:anchor="tecx-ex99_1.htm">
              <w:r>
                <w:rPr>
                  <w:rStyle w:val="InternetLink"/>
                  <w:rFonts w:ascii="Times New Roman" w:hAnsi="Times New Roman"/>
                  <w:color w:val="0000FF"/>
                  <w:sz w:val="20"/>
                  <w:u w:val="single"/>
                </w:rPr>
                <w:t>Press Release of Tectonic Therapeutic, Inc. dated November 5, 2026</w:t>
              </w:r>
            </w:hyperlink>
          </w:p>
        </w:tc>
      </w:tr>
      <w:t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49" w:type="dxa"/>
        <w:jc w:val="left"/>
        <w:tblInd w:w="0" w:type="dxa"/>
        <w:tblLayout w:type="fixed"/>
        <w:tblCellMar>
          <w:top w:w="28" w:type="dxa"/>
          <w:left w:w="28" w:type="dxa"/>
          <w:bottom w:w="28" w:type="dxa"/>
          <w:right w:w="28" w:type="dxa"/>
        </w:tblCellMar>
      </w:tblPr>
      <w:tblGrid>
        <w:gridCol w:w="556"/>
        <w:gridCol w:w="1606"/>
        <w:gridCol w:w="451"/>
        <w:gridCol w:w="3136"/>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313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TECTONIC THERAPEUTIC, INC.</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3136" w:type="dxa"/>
            <w:tcBorders/>
            <w:tcMar>
              <w:top w:w="0" w:type="dxa"/>
              <w:left w:w="0" w:type="dxa"/>
              <w:bottom w:w="0" w:type="dxa"/>
              <w:right w:w="0" w:type="dxa"/>
            </w:tcMar>
            <w:vAlign w:val="center"/>
          </w:tcPr>
          <w:p>
            <w:pPr>
              <w:pStyle w:val="TableContents"/>
              <w:bidi w:val="0"/>
              <w:spacing w:before="0" w:after="283"/>
              <w:jc w:val="left"/>
            </w:pPr>
            <w:r>
              <w:t> </w:t>
            </w:r>
          </w:p>
        </w:tc>
      </w:tr>
      <w:t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3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Daniel Lochner</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313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Daniel Lochner</w:t>
              <w:br/>
              <w:t>Chief Financial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sz w:val="20"/>
        </w:rPr>
      </w:pPr>
      <w:bookmarkStart w:id="2" w:name="tecx-ex99_1.htm"/>
      <w:bookmarkStart w:id="3" w:name="kstecxex99_1"/>
      <w:bookmarkEnd w:id="2"/>
      <w:bookmarkEnd w:id="3"/>
      <w:r>
        <w:rPr>
          <w:rFonts w:ascii="Times New Roman" w:hAnsi="Times New Roman"/>
          <w:b/>
          <w:color w:val="000000"/>
          <w:sz w:val="20"/>
        </w:rPr>
        <w:t>Exhibit 99.1</w:t>
      </w:r>
      <w:r>
        <w:rPr>
          <w:rFonts w:ascii="Times New Roman" w:hAnsi="Times New Roman"/>
          <w:color w:val="000000"/>
          <w:sz w:val="20"/>
        </w:rPr>
        <w:br/>
        <w:t> </w:t>
      </w:r>
      <w:r>
        <w:br w:type="page"/>
      </w:r>
    </w:p>
    <w:p>
      <w:pPr>
        <w:pStyle w:val="TextBody"/>
        <w:bidi w:val="0"/>
        <w:jc w:val="center"/>
        <w:rPr>
          <w:rFonts w:ascii="Times New Roman" w:hAnsi="Times New Roman"/>
          <w:b/>
          <w:color w:val="000000"/>
          <w:sz w:val="26"/>
        </w:rPr>
      </w:pPr>
      <w:r>
        <w:rPr>
          <w:rFonts w:ascii="Times New Roman" w:hAnsi="Times New Roman"/>
          <w:b/>
          <w:color w:val="000000"/>
          <w:sz w:val="26"/>
        </w:rPr>
        <w:t>Tectonic Therapeutic Announces Third Quarter 2026 Financial Results and Recent Business Highlights</w:t>
      </w:r>
    </w:p>
    <w:p>
      <w:pPr>
        <w:pStyle w:val="TextBody"/>
        <w:bidi w:val="0"/>
        <w:spacing w:before="0" w:after="160"/>
        <w:jc w:val="left"/>
      </w:pPr>
      <w: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Reported favorable safety, tolerability and pharmacokinetic (“PK”) results from the single ascending-dose portion of the TX2100 Phase 1a clinical trial in healthy adult volunteers; FDA granted TX2100 Fast Track designation for Hereditary Hemorrhagic Telangiectasia (“HHT”) in September 2026 and cleared the Investigational New Drug (“IND”) application in August 2026 for the planned Phase 1b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Dosed first patient in the ALPINE Phase 2a clinical trial of TX45 in pulmonary hypertension associated with interstitial lung disease (“PH-ILD”) in October 2026, with interim topline results expected in the second half of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TERRA Phase 1b clinical trial of TX2100 in hematologic-support-dependent HHT expected to initiate by year-end 2026, with interim topline results expected by year-end 2027, and in parallel, the TIDAL Phase 2 clinical trial in moderate-to-severe HHT expected to initiate in early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Topline results from the APEX Phase 2 clinical trial of TX45 in pulmonary hypertension associated with heart failure with preserved ejection fraction (“PH-HFpEF”) are anticipated by the end of January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of $234.7 million as of September 30, 2026, including approximately $22.3 million in net proceeds raised from an at-the-market offering for the three months ended September 30, 2026, is expected to provide cash runway into Q1 2029</w:t>
        <w:br/>
        <w:t> </w:t>
      </w:r>
    </w:p>
    <w:p>
      <w:pPr>
        <w:pStyle w:val="TextBody"/>
        <w:bidi w:val="0"/>
        <w:jc w:val="left"/>
        <w:rPr>
          <w:rFonts w:ascii="Times New Roman" w:hAnsi="Times New Roman"/>
          <w:color w:val="000000"/>
          <w:sz w:val="20"/>
        </w:rPr>
      </w:pPr>
      <w:r>
        <w:rPr>
          <w:rFonts w:ascii="Times New Roman" w:hAnsi="Times New Roman"/>
          <w:color w:val="000000"/>
          <w:sz w:val="20"/>
        </w:rPr>
        <w:t>WATERTOWN, Mass., November 5, 2026 (GLOBE NEWSWIRE)-- Tectonic Therapeutic, Inc. (NASDAQ: TECX) (“Tectonic” or the “Company”), a clinical-stage biotechnology company focused on the discovery and development of therapeutic proteins and antibodies that modulate the activity of G-protein coupled receptors (GPCRs), today announced financial results for the third quarter ended September 30, 2026, and provided an overview of recent business highlights.</w:t>
      </w:r>
    </w:p>
    <w:p>
      <w:pPr>
        <w:pStyle w:val="TextBody"/>
        <w:bidi w:val="0"/>
        <w:jc w:val="left"/>
      </w:pPr>
      <w:r>
        <w:t> </w:t>
      </w:r>
    </w:p>
    <w:p>
      <w:pPr>
        <w:pStyle w:val="TextBody"/>
        <w:bidi w:val="0"/>
        <w:jc w:val="left"/>
        <w:rPr>
          <w:color w:val="000000"/>
        </w:rPr>
      </w:pPr>
      <w:r>
        <w:rPr>
          <w:color w:val="000000"/>
        </w:rPr>
        <w:t>“</w:t>
      </w:r>
      <w:r>
        <w:rPr>
          <w:rFonts w:ascii="Times New Roman" w:hAnsi="Times New Roman"/>
          <w:color w:val="000000"/>
          <w:sz w:val="20"/>
        </w:rPr>
        <w:t>The favorable safety, tolerability and PK results from the single ascending-dose portion of our TX2100 Phase 1a trial in healthy adult volunteers, together with FDA Fast Track designation for HHT and IND clearance for our Phase 1b trial, support our plans to evaluate TX2100 in patients with HHT,” said Alise Reicin, M.D., President and Chief Executive Officer of Tectonic Therapeutic. “We plan to initiate an open-label Phase 1b trial in patients with hematologic-support-dependent HHT by year-end 2026 and, in parallel, a placebo-controlled Phase 2 trial in patients with moderate-to-severe HHT in early 2027. We are also approaching a critical milestone for TX45, with topline results from our APEX Phase 2 trial in PH-HFpEF anticipated by the end of January 2027.”</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Recent Business Highlights</w:t>
      </w:r>
    </w:p>
    <w:p>
      <w:pPr>
        <w:pStyle w:val="TextBody"/>
        <w:bidi w:val="0"/>
        <w:jc w:val="left"/>
      </w:pPr>
      <w: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0"/>
        </w:rPr>
        <w:t xml:space="preserve">Announced Favorable Phase 1a Safety, Tolerability and PK Results for TX2100 in Healthy Adult Volunteers: </w:t>
      </w:r>
      <w:r>
        <w:rPr>
          <w:rFonts w:ascii="Times New Roman" w:hAnsi="Times New Roman"/>
          <w:color w:val="000000"/>
          <w:sz w:val="20"/>
        </w:rPr>
        <w:t>In September 2026, the Company announced favorable safety, tolerability and PK results from all six planned single dose cohorts of TX2100 administered intravenously and subcutaneously in the Phase 1a Part A clinical trial in healthy adult volunteers. There were no serious adverse events or severe treatment-emergent adverse events at any dose, and no clinically significant or dose-related changes were observed in vital signs including blood pressure, or laboratory assessments. No anti-drug antibodies were detected. The PK findings support exploration of once-weekly and every-other-week subcutaneous dosing regimens in planned clinical trials. Together with nonclinical data, these findings support the approach to dose selection for planned clinical trials in patients with HHT. The Company also announced that the FDA granted TX2100 Fast Track designation for HHT and cleared the IND application for the planned Phase 1b clinical trial.</w:t>
      </w:r>
    </w:p>
    <w:p>
      <w:pPr>
        <w:pStyle w:val="TextBody"/>
        <w:bidi w:val="0"/>
        <w:jc w:val="left"/>
      </w:pPr>
      <w:r>
        <w:t> </w:t>
      </w:r>
    </w:p>
    <w:p>
      <w:pPr>
        <w:pStyle w:val="TextBody"/>
        <w:bidi w:val="0"/>
        <w:spacing w:before="0" w:after="0"/>
        <w:jc w:val="left"/>
        <w:rPr>
          <w:color w:val="000000"/>
        </w:rPr>
      </w:pPr>
      <w:r>
        <w:rPr>
          <w:color w:val="000000"/>
        </w:rPr>
        <w:t>•</w:t>
      </w:r>
    </w:p>
    <w:p>
      <w:pPr>
        <w:pStyle w:val="TextBody"/>
        <w:bidi w:val="0"/>
        <w:spacing w:lineRule="auto" w:line="360"/>
        <w:jc w:val="left"/>
        <w:rPr>
          <w:rFonts w:ascii="Times New Roman" w:hAnsi="Times New Roman"/>
          <w:sz w:val="13"/>
        </w:rPr>
      </w:pPr>
      <w:r>
        <w:rPr>
          <w:rFonts w:ascii="Times New Roman" w:hAnsi="Times New Roman"/>
          <w:b/>
          <w:color w:val="000000"/>
          <w:sz w:val="20"/>
        </w:rPr>
        <w:t>Tectonic Presented TX2100 Poster and Related Presentations at the CureHHT 16</w:t>
      </w:r>
      <w:r>
        <w:rPr>
          <w:rFonts w:ascii="Times New Roman" w:hAnsi="Times New Roman"/>
          <w:b/>
          <w:color w:val="000000"/>
          <w:sz w:val="13"/>
        </w:rPr>
        <w:t>th</w:t>
      </w:r>
      <w:r>
        <w:rPr>
          <w:rFonts w:ascii="Times New Roman" w:hAnsi="Times New Roman"/>
          <w:color w:val="000000"/>
          <w:sz w:val="13"/>
        </w:rPr>
        <w:t xml:space="preserve"> </w:t>
      </w:r>
      <w:r>
        <w:rPr>
          <w:rFonts w:ascii="Times New Roman" w:hAnsi="Times New Roman"/>
          <w:b/>
          <w:color w:val="000000"/>
          <w:sz w:val="20"/>
        </w:rPr>
        <w:t>HHT International Scientific Conference:</w:t>
      </w:r>
      <w:r>
        <w:rPr>
          <w:rFonts w:ascii="Times New Roman" w:hAnsi="Times New Roman"/>
          <w:color w:val="000000"/>
          <w:sz w:val="13"/>
        </w:rPr>
        <w:t xml:space="preserve"> </w:t>
      </w:r>
      <w:r>
        <w:rPr>
          <w:rFonts w:ascii="Times New Roman" w:hAnsi="Times New Roman"/>
          <w:color w:val="000000"/>
          <w:sz w:val="20"/>
        </w:rPr>
        <w:t>In October 2026, the Company presented a TX2100 Phase 1b TERRA clinical trial design poster, a TX2100 HHT overview, TX1351 (a mouse surrogate of TX2100) preclinical studies and detailed TX2100 Phase 1a clinical trial results at the CureHHT 16</w:t>
      </w:r>
      <w:r>
        <w:rPr>
          <w:rFonts w:ascii="Times New Roman" w:hAnsi="Times New Roman"/>
          <w:color w:val="000000"/>
          <w:sz w:val="13"/>
        </w:rPr>
        <w:t xml:space="preserve">th </w:t>
      </w:r>
      <w:r>
        <w:rPr>
          <w:rFonts w:ascii="Times New Roman" w:hAnsi="Times New Roman"/>
          <w:color w:val="000000"/>
          <w:sz w:val="20"/>
        </w:rPr>
        <w:t xml:space="preserve">HHT International Scientific Conference. The poster and presentations can be found under “Our Science” at the Tectonic Therapeutic website </w:t>
      </w:r>
      <w:r>
        <w:rPr>
          <w:rFonts w:ascii="Times New Roman" w:hAnsi="Times New Roman"/>
          <w:color w:val="467886"/>
          <w:sz w:val="20"/>
          <w:u w:val="single"/>
        </w:rPr>
        <w:t>here</w:t>
      </w:r>
      <w:r>
        <w:rPr>
          <w:rFonts w:ascii="Times New Roman" w:hAnsi="Times New Roman"/>
          <w:color w:val="000000"/>
          <w:sz w:val="20"/>
        </w:rPr>
        <w:t>.</w:t>
      </w:r>
    </w:p>
    <w:p>
      <w:pPr>
        <w:pStyle w:val="TextBody"/>
        <w:bidi w:val="0"/>
        <w:jc w:val="left"/>
      </w:pPr>
      <w: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0"/>
        </w:rPr>
        <w:t>Dosed First Patient in the ALPINE Phase 2a Clinical Trial:</w:t>
      </w:r>
      <w:r>
        <w:rPr>
          <w:rFonts w:ascii="Times New Roman" w:hAnsi="Times New Roman"/>
          <w:color w:val="000000"/>
          <w:sz w:val="20"/>
        </w:rPr>
        <w:t xml:space="preserve"> In October 2026, Tectonic dosed the first PH-ILD patient in the TX45 ALPINE Phase 2a clinical trial. The trial is an open-label, multinational, 16-week clinical trial in up to 25 patients with PH-ILD designed to evaluate the safety and efficacy of TX45 administered subcutaneously (SC). Dosing of TX45 will be initiated at 300 mg SC once monthly, with the primary efficacy endpoint being change from baseline in pulmonary vascular resistance (PVR) at Week 16.</w:t>
      </w:r>
    </w:p>
    <w:p>
      <w:pPr>
        <w:pStyle w:val="TextBody"/>
        <w:bidi w:val="0"/>
        <w:jc w:val="left"/>
      </w:pPr>
      <w:r>
        <w:t> </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rPr>
          <w:rFonts w:ascii="Times New Roman" w:hAnsi="Times New Roman"/>
          <w:b/>
          <w:color w:val="000000"/>
          <w:sz w:val="20"/>
        </w:rPr>
      </w:pPr>
      <w:r>
        <w:rPr>
          <w:rFonts w:ascii="Times New Roman" w:hAnsi="Times New Roman"/>
          <w:b/>
          <w:color w:val="000000"/>
          <w:sz w:val="20"/>
        </w:rPr>
        <w:t>Upcoming Milestones</w:t>
      </w:r>
    </w:p>
    <w:p>
      <w:pPr>
        <w:pStyle w:val="TextBody"/>
        <w:bidi w:val="0"/>
        <w:jc w:val="left"/>
      </w:pPr>
      <w: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0"/>
        </w:rPr>
        <w:t xml:space="preserve">TX45 APEX Phase 2 Clinical Trial Ongoing with Topline Results Expected by the end of January 2027: </w:t>
      </w:r>
      <w:r>
        <w:rPr>
          <w:rFonts w:ascii="Times New Roman" w:hAnsi="Times New Roman"/>
          <w:color w:val="000000"/>
          <w:sz w:val="20"/>
        </w:rPr>
        <w:t>The global, randomized, placebo-controlled 24-week APEX Phase 2 trial is ongoing, evaluating subcutaneous TX45 in patients with PH-HFpEF, including an enriched population with combined pre- and post-capillary pulmonary hypertension (CpcPH). The primary endpoint is change in PVR from baseline in the CpcPH subgroup (PVR ≥3 Wood Units). APEX patient enrollment completed in June 2026 and, as previously disclosed, the Independent Data Monitoring Committee (“IDMC”) recommended in July 2026 that the trial continue without modification. Topline results are expected by the end of January 2027.</w:t>
      </w:r>
    </w:p>
    <w:p>
      <w:pPr>
        <w:pStyle w:val="TextBody"/>
        <w:bidi w:val="0"/>
        <w:jc w:val="left"/>
      </w:pPr>
      <w: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0"/>
        </w:rPr>
        <w:t xml:space="preserve">TX45 ALPINE Phase 2a Clinical Trial Ongoing with Interim Topline Results Expected in the Second Half of 2027: </w:t>
      </w:r>
      <w:r>
        <w:rPr>
          <w:rFonts w:ascii="Times New Roman" w:hAnsi="Times New Roman"/>
          <w:color w:val="000000"/>
          <w:sz w:val="20"/>
        </w:rPr>
        <w:t>The open-label, multinational, 16-week ALPINE Phase 2a clinical trial is ongoing, evaluating subcutaneous TX45 in patients with PH-ILD. The primary efficacy endpoint is the change from baseline in PVR at Week 16. Interim topline results are expected in the second half of 2027.</w:t>
      </w:r>
    </w:p>
    <w:p>
      <w:pPr>
        <w:pStyle w:val="TextBody"/>
        <w:bidi w:val="0"/>
        <w:jc w:val="left"/>
      </w:pPr>
      <w: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0"/>
        </w:rPr>
        <w:t xml:space="preserve">TX2100 TERRA Phase 1b Clinical Trial Expected to Initiate by Year-End 2026 with Interim Topline Results Expected by Year-End 2027: </w:t>
      </w:r>
      <w:r>
        <w:rPr>
          <w:rFonts w:ascii="Times New Roman" w:hAnsi="Times New Roman"/>
          <w:color w:val="000000"/>
          <w:sz w:val="20"/>
        </w:rPr>
        <w:t>The TERRA Phase 1b clinical trial is an open-label, multinational trial in hematologic-support-dependent HHT patients that is expected to initiate by year-end 2026. Approximately 20 patients will be dosed subcutaneously with TX2100 once weekly for 24 weeks. The primary endpoint will be to assess the safety and tolerability of TX2100, and the key secondary endpoint will be to explore the effect of TX2100 on composite hematological support requirements and hemoglobin following 24 weeks of treatment. Interim topline results are expected by year-end 2027.</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Overview of Financial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Cash Position:</w:t>
      </w:r>
      <w:r>
        <w:rPr>
          <w:rFonts w:ascii="Times New Roman" w:hAnsi="Times New Roman"/>
          <w:color w:val="000000"/>
          <w:sz w:val="20"/>
        </w:rPr>
        <w:t>As of September 30, 2026, cash and cash equivalents were $234.7 million, compared to $227.1 million as of June 30, 2026. Tectonic anticipates that, based on current operating assumptions, its cash and cash equivalents as of September 30, 2026 will provide a cash runway into Q1 2029, including through the anticipated Phase 2 topline readouts of TX45 in PH-HFpEF and PH-ILD, and through anticipated significant clinical milestones in the TX2100 development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Research and development expenses were $17.4 million for the three months ended September 30, 2026, as compared to $16.9 million for the three months ended September 30, 2025. The increase was primarily the result of higher employee-related expenses, including an increase in non-cash, stock-based compensation expense and an increase in headcount to support its pipeline programs. This was partially offset by lower CDMO costs for the TX2100 program and lower clinical supply costs for the TX45 program, both reflecting costs incurred in the prior-year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xml:space="preserve"> General and administrative expenses were $6.0 million for the three months ended September 30, 2026, as compared to $5.0 million for the three months ended September 30, 2025. The increase was primarily the result of higher employee-related expenses driven by higher non-cash, 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Net Loss:</w:t>
      </w:r>
      <w:r>
        <w:rPr>
          <w:rFonts w:ascii="Times New Roman" w:hAnsi="Times New Roman"/>
          <w:color w:val="000000"/>
          <w:sz w:val="20"/>
        </w:rPr>
        <w:t xml:space="preserve"> For the three months ended September 30, 2026, the Company had a net loss of $21.3 million compared to a net loss of $19.0 million for the three months ended September 30, 2025.</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About Group 2 Pulmonary Hypertension in HFpEF</w:t>
      </w:r>
      <w:r>
        <w:rPr>
          <w:rFonts w:ascii="Times New Roman" w:hAnsi="Times New Roman"/>
          <w:color w:val="000000"/>
          <w:sz w:val="20"/>
        </w:rPr>
        <w:br/>
        <w:t>The World Health Organization has defined 5 groups of pulmonary hypertension (“PH”). Tectonic is focused on the Group 2 subtype, a condition that develops due to left-sided heart disease, specifically PH-HFpEF. 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PH-HFpEF is further segmented based on pulmonary hemodynamics into Isolated, post-capillary PH (“IpcPH”) and CpcPH. CpcPH is more severe, accounts for about one third to one half of the 1.4 million PH-HFpEF patients in the U.S. and is characterized by additional, abnormal changes to the pulmonary vasculature, leading to an increase in PVR. Although several Group 1 PH (Pulmonary Arterial Hypertension, “PAH”) medications have been explored in Group 2 PH, to date, no medications have been approved for its treatment.</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About Group 3 Pulmonary Hypertension and PH-ILD</w:t>
      </w:r>
      <w:r>
        <w:rPr>
          <w:rFonts w:ascii="Times New Roman" w:hAnsi="Times New Roman"/>
          <w:color w:val="000000"/>
          <w:sz w:val="20"/>
        </w:rPr>
        <w:br/>
        <w:t>Group 3 is PH due to chronic lung disease and Tectonic is focused on a Group 3 subtype, called PH-ILD where PH develops in patients who have ILD. ILD is a group of rare conditions causing inflammation and scarring in the lungs. It is believed that a combination of factors leads to the formation of PH-ILD, including lung fibrosis, chronic hypoxia, vascular remodeling and other factors that lead to worsening exercise capacity. PH-ILD has worse survival than ILD without PH. There are currently two approved treatments for PH-ILD, both of which contain the active ingredient treprostinil administered via nebulizer or dry powder inhaler.</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About Group 3 Pulmonary Hypertension and PH-ILD</w:t>
      </w:r>
      <w:r>
        <w:rPr>
          <w:rFonts w:ascii="Times New Roman" w:hAnsi="Times New Roman"/>
          <w:color w:val="000000"/>
          <w:sz w:val="20"/>
        </w:rPr>
        <w:br/>
        <w:t xml:space="preserve">Group 3 is PH due to chronic lung disease and Tectonic is focused on a Group 3 subtype, called PH-ILD where PH develops in patients who have ILD. ILD is a group of rare conditions causing inflammation and scarring in the lungs. It is believed that a </w:t>
      </w:r>
    </w:p>
    <w:p>
      <w:pPr>
        <w:pStyle w:val="HorizontalLine"/>
        <w:pBdr>
          <w:bottom w:val="double" w:sz="2" w:space="0" w:color="808080"/>
        </w:pBdr>
        <w:bidi w:val="0"/>
        <w:spacing w:before="0" w:after="283"/>
        <w:jc w:val="left"/>
      </w:pPr>
      <w:r/>
    </w:p>
    <w:p>
      <w:pPr>
        <w:pStyle w:val="TextBody"/>
        <w:bidi w:val="0"/>
        <w:jc w:val="left"/>
        <w:rPr>
          <w:rFonts w:ascii="Times New Roman" w:hAnsi="Times New Roman"/>
          <w:color w:val="000000"/>
          <w:sz w:val="20"/>
        </w:rPr>
      </w:pPr>
      <w:r>
        <w:rPr>
          <w:rFonts w:ascii="Times New Roman" w:hAnsi="Times New Roman"/>
          <w:color w:val="000000"/>
          <w:sz w:val="20"/>
        </w:rPr>
        <w:t>combination of factors leads to the formation of PH-ILD, including lung fibrosis, chronic hypoxia, vascular remodeling and other factors that lead to worsening exercise capacity. PH-ILD has worse survival than ILD without PH. There are currently two approved treatments for PH-ILD, both of which contain the active ingredient treprostinil administered via nebulizer or dry powder inhaler.</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About TX45, a long-acting Fc-relaxin fusion protein</w:t>
      </w:r>
      <w:r>
        <w:rPr>
          <w:rFonts w:ascii="Times New Roman" w:hAnsi="Times New Roman"/>
          <w:color w:val="000000"/>
          <w:sz w:val="20"/>
        </w:rPr>
        <w:br/>
        <w:t>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About Hereditary Hemorrhagic Telangiectasia (HHT)</w:t>
      </w:r>
      <w:r>
        <w:rPr>
          <w:rFonts w:ascii="Times New Roman" w:hAnsi="Times New Roman"/>
          <w:color w:val="000000"/>
          <w:sz w:val="20"/>
        </w:rPr>
        <w:br/>
        <w:t>HHT is a rare, inherited vascular disorder affecting an estimated 75,000 people in the United States. HHT is the second most common inherited bleeding disorder and a disease for which there are currently no approved therapies. It is characterized by fragile, abnormal blood vessels that lead to recurrent bleeding, which can reduce quality of life, result in emergency room visits and hospitalizations, as well as chronic anemia requiring frequent iron infusions and/or blood transfusions. Many patients with HHT also develop arteriovenous malformations (AVMs) in vital organs such as the lungs, brain, and liver that, if left untreated, are at risk of rupturing and can result in serious and potentially life-threatening complications including lung or brain hemorrhage, stroke, heart failure, or death. Despite being a rare disease and the second most common inherited bleeding disorder, there are currently no approved therapies.</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About TX2100, a VHH-Fc fusion antagonist antibody</w:t>
      </w:r>
      <w:r>
        <w:rPr>
          <w:rFonts w:ascii="Times New Roman" w:hAnsi="Times New Roman"/>
          <w:color w:val="000000"/>
          <w:sz w:val="20"/>
        </w:rPr>
        <w:br/>
        <w:t>TX2100, is a VHH-Fc fusion antagonist antibody that binds to the APJ receptor (also known as the apelin receptor; APLNR), a GPCR that mediates signaling by the pro-angiogenic peptide hormone apelin. APJ represents a differentiated approach for the potential treatment of HHT. APJ is a selective anti-angiogenic target that is primarily expressed in endothelial cells and is generally quiescent under normal physiological conditions, but is upregulated during pathologic angiogenesis, including in HHT preclinical models. TX2100 is designed as a selective APJ antagonist intended to inhibit disease-associated angiogenic signaling with the goal of providing a more favorable safety profile compared to less selective anti-angiogenic approaches. Anti-angiogenic agents have demonstrated activity in HHT preclinical models and in patients, and APJ antagonism has shown activity in multiple HHT preclinical models, supporting development of TX2100 for this indication.</w:t>
      </w:r>
    </w:p>
    <w:p>
      <w:pPr>
        <w:pStyle w:val="TextBody"/>
        <w:bidi w:val="0"/>
        <w:jc w:val="left"/>
      </w:pPr>
      <w:r>
        <w:t> </w:t>
      </w:r>
    </w:p>
    <w:p>
      <w:pPr>
        <w:pStyle w:val="TextBody"/>
        <w:bidi w:val="0"/>
        <w:jc w:val="left"/>
        <w:rPr>
          <w:rFonts w:ascii="Times New Roman" w:hAnsi="Times New Roman"/>
          <w:sz w:val="20"/>
        </w:rPr>
      </w:pPr>
      <w:r>
        <w:rPr>
          <w:rFonts w:ascii="Times New Roman" w:hAnsi="Times New Roman"/>
          <w:b/>
          <w:color w:val="000000"/>
          <w:sz w:val="20"/>
        </w:rPr>
        <w:t>About Tectonic</w:t>
      </w:r>
      <w:r>
        <w:rPr>
          <w:rFonts w:ascii="Times New Roman" w:hAnsi="Times New Roman"/>
          <w:color w:val="000000"/>
          <w:sz w:val="20"/>
        </w:rPr>
        <w:br/>
        <w:t xml:space="preserve">Tectonic Therapeutic is a clinical-stage biotechnology company focused on the discovery and development of therapeutic proteins and antibodies that modulate the activity of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hAnsi="Times New Roman"/>
          <w:color w:val="467886"/>
          <w:sz w:val="20"/>
          <w:u w:val="single"/>
        </w:rPr>
        <w:t>https://tectonictx.com/</w:t>
      </w:r>
      <w:r>
        <w:rPr>
          <w:rFonts w:ascii="Times New Roman" w:hAnsi="Times New Roman"/>
          <w:color w:val="000000"/>
          <w:sz w:val="20"/>
        </w:rPr>
        <w:t>and follow @TectonicTx on X (formerly Twitter) and LinkedIn.</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potential of TX45 and TX2100, including their potential future benefits to patients, Tectonic’s plans with respect to TX45 and TX2100, including the design, objectives, initiation, timing, progress and results of current and future preclinical studies and clinical trials of these product candidates, including the ongoing Phase 2 clinical trials TX45 in Group 2 PH-HFpEF and in Group 3 PH-ILD, the ongoing Phase 1a clinical trial for TX2100 and the planned Phase 1b and Phase 2 clinical trials for TX2100; Tectonic’s expected cash runway; and Tectonic’s business strategies, plans and prospects.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and ongoing global conflicts,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w:t>
      </w:r>
    </w:p>
    <w:p>
      <w:pPr>
        <w:pStyle w:val="HorizontalLine"/>
        <w:pBdr>
          <w:bottom w:val="double" w:sz="2" w:space="0" w:color="808080"/>
        </w:pBdr>
        <w:bidi w:val="0"/>
        <w:spacing w:before="0" w:after="283"/>
        <w:jc w:val="left"/>
      </w:pPr>
      <w:r/>
    </w:p>
    <w:p>
      <w:pPr>
        <w:pStyle w:val="TextBody"/>
        <w:bidi w:val="0"/>
        <w:jc w:val="left"/>
        <w:rPr>
          <w:rFonts w:ascii="Times New Roman" w:hAnsi="Times New Roman"/>
          <w:color w:val="000000"/>
          <w:sz w:val="20"/>
        </w:rPr>
      </w:pPr>
      <w:r>
        <w:rPr>
          <w:rFonts w:ascii="Times New Roman" w:hAnsi="Times New Roman"/>
          <w:color w:val="000000"/>
          <w:sz w:val="20"/>
        </w:rPr>
        <w:t xml:space="preserve">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for the quarter ended September 30, 2026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Contacts:</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u w:val="single"/>
        </w:rPr>
        <w:t>Investors</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Dan Ferry</w:t>
      </w:r>
    </w:p>
    <w:p>
      <w:pPr>
        <w:pStyle w:val="TextBody"/>
        <w:bidi w:val="0"/>
        <w:jc w:val="left"/>
        <w:rPr>
          <w:rFonts w:ascii="Times New Roman" w:hAnsi="Times New Roman"/>
          <w:color w:val="000000"/>
          <w:sz w:val="20"/>
        </w:rPr>
      </w:pPr>
      <w:r>
        <w:rPr>
          <w:rFonts w:ascii="Times New Roman" w:hAnsi="Times New Roman"/>
          <w:color w:val="000000"/>
          <w:sz w:val="20"/>
        </w:rPr>
        <w:t>LifeSci Advisors</w:t>
      </w:r>
    </w:p>
    <w:p>
      <w:pPr>
        <w:pStyle w:val="TextBody"/>
        <w:bidi w:val="0"/>
        <w:jc w:val="left"/>
        <w:rPr>
          <w:rFonts w:ascii="Times New Roman" w:hAnsi="Times New Roman"/>
          <w:color w:val="467886"/>
          <w:sz w:val="20"/>
          <w:u w:val="single"/>
        </w:rPr>
      </w:pPr>
      <w:r>
        <w:rPr>
          <w:rFonts w:ascii="Times New Roman" w:hAnsi="Times New Roman"/>
          <w:color w:val="467886"/>
          <w:sz w:val="20"/>
          <w:u w:val="single"/>
        </w:rPr>
        <w:t>daniel@lifesciadvisors.com</w:t>
      </w:r>
    </w:p>
    <w:p>
      <w:pPr>
        <w:pStyle w:val="TextBody"/>
        <w:bidi w:val="0"/>
        <w:jc w:val="left"/>
        <w:rPr>
          <w:rFonts w:ascii="Times New Roman" w:hAnsi="Times New Roman"/>
          <w:color w:val="000000"/>
          <w:sz w:val="20"/>
        </w:rPr>
      </w:pPr>
      <w:r>
        <w:rPr>
          <w:rFonts w:ascii="Times New Roman" w:hAnsi="Times New Roman"/>
          <w:color w:val="000000"/>
          <w:sz w:val="20"/>
        </w:rPr>
        <w:t>(617) 430-7576</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u w:val="single"/>
        </w:rPr>
        <w:t>Media</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Kathryn Morris</w:t>
      </w:r>
    </w:p>
    <w:p>
      <w:pPr>
        <w:pStyle w:val="TextBody"/>
        <w:bidi w:val="0"/>
        <w:jc w:val="left"/>
        <w:rPr>
          <w:rFonts w:ascii="Times New Roman" w:hAnsi="Times New Roman"/>
          <w:color w:val="000000"/>
          <w:sz w:val="20"/>
        </w:rPr>
      </w:pPr>
      <w:r>
        <w:rPr>
          <w:rFonts w:ascii="Times New Roman" w:hAnsi="Times New Roman"/>
          <w:color w:val="000000"/>
          <w:sz w:val="20"/>
        </w:rPr>
        <w:t>The Yates Network</w:t>
      </w:r>
    </w:p>
    <w:p>
      <w:pPr>
        <w:pStyle w:val="TextBody"/>
        <w:bidi w:val="0"/>
        <w:jc w:val="left"/>
        <w:rPr>
          <w:rFonts w:ascii="Times New Roman" w:hAnsi="Times New Roman"/>
          <w:color w:val="467886"/>
          <w:sz w:val="20"/>
          <w:u w:val="single"/>
        </w:rPr>
      </w:pPr>
      <w:r>
        <w:rPr>
          <w:rFonts w:ascii="Times New Roman" w:hAnsi="Times New Roman"/>
          <w:color w:val="467886"/>
          <w:sz w:val="20"/>
          <w:u w:val="single"/>
        </w:rPr>
        <w:t>kathryn@theyatesnetwork.com</w:t>
      </w:r>
    </w:p>
    <w:p>
      <w:pPr>
        <w:pStyle w:val="TextBody"/>
        <w:bidi w:val="0"/>
        <w:jc w:val="left"/>
        <w:rPr>
          <w:rFonts w:ascii="Times New Roman" w:hAnsi="Times New Roman"/>
          <w:color w:val="000000"/>
          <w:sz w:val="20"/>
        </w:rPr>
      </w:pPr>
      <w:r>
        <w:rPr>
          <w:rFonts w:ascii="Times New Roman" w:hAnsi="Times New Roman"/>
          <w:color w:val="000000"/>
          <w:sz w:val="20"/>
        </w:rPr>
        <w:t>(914) 204-6412</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299"/>
        <w:gridCol w:w="146"/>
        <w:gridCol w:w="221"/>
        <w:gridCol w:w="1087"/>
        <w:gridCol w:w="174"/>
        <w:gridCol w:w="153"/>
        <w:gridCol w:w="221"/>
        <w:gridCol w:w="1087"/>
        <w:gridCol w:w="166"/>
        <w:gridCol w:w="146"/>
        <w:gridCol w:w="217"/>
        <w:gridCol w:w="1067"/>
        <w:gridCol w:w="170"/>
        <w:gridCol w:w="150"/>
        <w:gridCol w:w="217"/>
        <w:gridCol w:w="1067"/>
        <w:gridCol w:w="617"/>
      </w:tblGrid>
      <w:tr>
        <w:tc>
          <w:tcPr>
            <w:tcW w:w="3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c>
          <w:tcPr>
            <w:tcW w:w="3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56,362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47,148</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15,372</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32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(74,977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(62,520</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w:t>
            </w:r>
          </w:p>
        </w:tc>
        <w:tc>
          <w:tcPr>
            <w:tcW w:w="6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3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c>
          <w:tcPr>
            <w:tcW w:w="329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(68,796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(53,949</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(54,925</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(21,347</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(68,836</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(55,009</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19,704,164</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18,712,767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19,146,768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18,189,185</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sz w:val="20"/>
        </w:rPr>
      </w:pPr>
      <w:r>
        <w:rPr>
          <w:rFonts w:ascii="Times New Roman" w:hAnsi="Times New Roman"/>
          <w:b/>
          <w:color w:val="000000"/>
          <w:sz w:val="20"/>
        </w:rPr>
        <w:br/>
        <w:t>Tectonic Therapeutic,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Select Condensed Consolidated Balance Sheet Data</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pPr>
      <w:r>
        <w:t> </w:t>
      </w:r>
    </w:p>
    <w:tbl>
      <w:tblPr>
        <w:tblW w:w="6390" w:type="dxa"/>
        <w:jc w:val="left"/>
        <w:tblInd w:w="0" w:type="dxa"/>
        <w:tblLayout w:type="fixed"/>
        <w:tblCellMar>
          <w:top w:w="28" w:type="dxa"/>
          <w:left w:w="28" w:type="dxa"/>
          <w:bottom w:w="28" w:type="dxa"/>
          <w:right w:w="28" w:type="dxa"/>
        </w:tblCellMar>
      </w:tblPr>
      <w:tblGrid>
        <w:gridCol w:w="2266"/>
        <w:gridCol w:w="146"/>
        <w:gridCol w:w="374"/>
        <w:gridCol w:w="1396"/>
        <w:gridCol w:w="146"/>
        <w:gridCol w:w="146"/>
        <w:gridCol w:w="367"/>
        <w:gridCol w:w="1358"/>
        <w:gridCol w:w="191"/>
      </w:tblGrid>
      <w:t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*Working capital is defined as current assets less current liabilities</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3407</Words>
  <Characters>19502</Characters>
  <CharactersWithSpaces>22971</CharactersWithSpaces>
  <Paragraphs>572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