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1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8,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Erik Ostrowski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Interim 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100 Technology Square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Sixth Floor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Cambridge, MA 02139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AVROBIO, Inc.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on Form S-4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March 25,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333-277048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Erik Ostrowski: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1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registration statement and have the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following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right="191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any amendment to your registration statement and the information you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provide in response to this letter, we may have additional comments.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Unless we note otherwise,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references to prior comments are to comments in our March 12, 2024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Registration Statement on Form S-4 filed March 26,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6"/>
        </w:trPr>
        <w:tc>
          <w:tcPr>
            <w:tcW w:w="19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Cover Page</w:t>
            </w:r>
          </w:p>
        </w:tc>
        <w:tc>
          <w:tcPr>
            <w:tcW w:w="6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6360" w:type="dxa"/>
            <w:vAlign w:val="bottom"/>
          </w:tcPr>
          <w:p>
            <w:pPr>
              <w:ind w:left="3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Given that the Nasdaq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listing condition is waivable, please further revise your disclosure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3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indicate whether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recirculation or resolicitation of shareholders will occur prior to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3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vote if the listing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application is not approved but the condition is waived.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What are the private financings?, page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19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6360" w:type="dxa"/>
            <w:vAlign w:val="bottom"/>
          </w:tcPr>
          <w:p>
            <w:pPr>
              <w:ind w:left="39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response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prior comment 2, and your revised disclosure on page 3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3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elsewhere throughout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closing of the merger is conditioned upon the satisfaction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3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waiver of the receipt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cash proceeds not less than $114.5 million in connection with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3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consummation of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transactions contemplated by the private financings. As this closing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</w:tcPr>
          <w:p>
            <w:pPr>
              <w:ind w:left="39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condition is waivable,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reissue prior comment 2 in part. Please revise this Q&amp;A,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Erik Ostrowski</w:t>
            </w:r>
          </w:p>
        </w:tc>
        <w:tc>
          <w:tcPr>
            <w:tcW w:w="6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AVROBIO, Inc.</w:t>
            </w:r>
          </w:p>
        </w:tc>
        <w:tc>
          <w:tcPr>
            <w:tcW w:w="6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8, 2024</w:t>
            </w:r>
          </w:p>
        </w:tc>
        <w:tc>
          <w:tcPr>
            <w:tcW w:w="6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6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summary risks and risk factors, and elsewhere as appropriate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discuss risks and</w:t>
            </w:r>
          </w:p>
        </w:tc>
        <w:tc>
          <w:tcPr>
            <w:tcW w:w="6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uncertainties if stockholders are asked to make voting decisions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without knowing whether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private financings will close in timely manner, or at all, and if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they do not close,</w:t>
            </w:r>
          </w:p>
        </w:tc>
        <w:tc>
          <w:tcPr>
            <w:tcW w:w="6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whether the minimum cash proceeds condition will be waived. Discuss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combined</w:t>
            </w:r>
          </w:p>
        </w:tc>
        <w:tc>
          <w:tcPr>
            <w:tcW w:w="63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liquidity position and related risks in the event that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9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</w:t>
            </w:r>
          </w:p>
        </w:tc>
        <w:tc>
          <w:tcPr>
            <w:tcW w:w="63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 closes without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$114.5 million from the private financings in place.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Tectonic, page 15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28, which we reissue in part with respect to your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revisions. In light of your disclosure on page 353 that Tectonic is in the early stages of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using the GEODe platform to discover biologic drugs, please revise conclusory statements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such as the following on pages 15 and 351, qualifying them as appropriate to indicate if</w:t>
      </w:r>
    </w:p>
    <w:p>
      <w:pPr>
        <w:ind w:left="1380" w:right="2119" w:hanging="421"/>
        <w:spacing w:after="0" w:line="26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such statements are currently aspirational or management's beliefs: "These modifications have resulted in the ability to identify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improved molecules."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...the Tectonic team continues to evolve and modify aspects of the platform for even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better results."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Interests of AVROBIO's Directors and Executive Officers in the Merger, page 22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10, which we reissue. As referenced in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5060" w:type="dxa"/>
            <w:vAlign w:val="bottom"/>
            <w:gridSpan w:val="3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response letter, the definition of</w:t>
            </w:r>
          </w:p>
        </w:tc>
        <w:tc>
          <w:tcPr>
            <w:tcW w:w="1840" w:type="dxa"/>
            <w:vAlign w:val="bottom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Aspen Net Cash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432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Merger Agreement will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cash at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900" w:type="dxa"/>
            <w:vAlign w:val="bottom"/>
            <w:gridSpan w:val="4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provide for certain exclusions from the calculation of net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determination time,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executives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900" w:type="dxa"/>
            <w:vAlign w:val="bottom"/>
            <w:gridSpan w:val="4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 but not limited to certain payments to AVROBIO</w:t>
            </w: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such as the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unpaid cash cost of any change in control payments, severance payments,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bonus payments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or retention payments payable. Please revise this section and elsewhere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 appropriate to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disclose the types and aggregate amounts of any material payments to be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excluded from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net cash and explain the impact of such exclusion to other AVROBIO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stockholders. In this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regard, we note that disclosures throughout indicate (1) that under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certain circumstances,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 ownership percentages in the combined company may be adjusted up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down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2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net cash at closing 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including, but not limited to, if AVROBIO</w:t>
            </w:r>
          </w:p>
        </w:tc>
        <w:tc>
          <w:tcPr>
            <w:tcW w:w="3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lower than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$64.5 million or greater than $65.5 million, (2) that AVROBIO management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currently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60" w:type="dxa"/>
            <w:vAlign w:val="bottom"/>
            <w:gridSpan w:val="3"/>
            <w:vMerge w:val="restart"/>
          </w:tcPr>
          <w:p>
            <w:pPr>
              <w:jc w:val="right"/>
              <w:ind w:right="3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s net cash as of closing will be approximately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anticipates AVROBIO</w:t>
            </w:r>
          </w:p>
        </w:tc>
        <w:tc>
          <w:tcPr>
            <w:tcW w:w="5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$65.0 million to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$75.0 million, and (3) the currently estimated ownership percentages are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based on an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 net cash as of closing. Given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3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assumption of $65.0 million in AVROBIO</w:t>
            </w:r>
          </w:p>
        </w:tc>
        <w:tc>
          <w:tcPr>
            <w:tcW w:w="3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you now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disclose on page 22 that executive officers may receive cash severance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payments with an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aggregate collective value of approximately $2.8 million, revise if true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to state whether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excluding such severance payments to executives from net cash at closing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could result in a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LastNameErik Ostrowski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5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downward adjustment to AVROBIO shareholders' equity allocation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post-merger.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2000" w:type="dxa"/>
            <w:vAlign w:val="bottom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NameAVROBIO,</w:t>
            </w:r>
          </w:p>
        </w:tc>
        <w:tc>
          <w:tcPr>
            <w:tcW w:w="5260" w:type="dxa"/>
            <w:vAlign w:val="bottom"/>
            <w:gridSpan w:val="3"/>
            <w:vMerge w:val="restart"/>
          </w:tcPr>
          <w:p>
            <w:pPr>
              <w:jc w:val="right"/>
              <w:ind w:right="5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Inc.the exclusion of approximately $2.8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ind w:left="7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Alternatively,</w:t>
            </w:r>
          </w:p>
        </w:tc>
        <w:tc>
          <w:tcPr>
            <w:tcW w:w="5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million from the calculation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0" w:type="dxa"/>
            <w:vAlign w:val="bottom"/>
            <w:gridSpan w:val="2"/>
          </w:tcPr>
          <w:p>
            <w:pPr>
              <w:ind w:left="158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tell us why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 8,of2024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jc w:val="center"/>
              <w:ind w:right="87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net cash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material.</w:t>
            </w:r>
          </w:p>
        </w:tc>
        <w:tc>
          <w:tcPr>
            <w:tcW w:w="7260" w:type="dxa"/>
            <w:vAlign w:val="bottom"/>
            <w:gridSpan w:val="4"/>
          </w:tcPr>
          <w:p>
            <w:pPr>
              <w:jc w:val="right"/>
              <w:ind w:right="7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Pageat2 the determination time should not be considered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306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Erik Ostrowski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06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AVROBIO,LastNameErik  Ostrowski</w:t>
            </w: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2000" w:type="dxa"/>
            <w:vAlign w:val="bottom"/>
          </w:tcPr>
          <w:p>
            <w:pPr>
              <w:jc w:val="center"/>
              <w:ind w:right="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Inc.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NameAVROBIO, Inc.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0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20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0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8,</w:t>
            </w:r>
          </w:p>
        </w:tc>
        <w:tc>
          <w:tcPr>
            <w:tcW w:w="2000" w:type="dxa"/>
            <w:vAlign w:val="bottom"/>
          </w:tcPr>
          <w:p>
            <w:pPr>
              <w:jc w:val="right"/>
              <w:ind w:right="1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2024</w:t>
            </w: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38, 2024 Page 3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Background of the Merger, page 175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346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prior comment 22, which we reissue in part. Your description of</w:t>
      </w:r>
    </w:p>
    <w:p>
      <w:pPr>
        <w:sectPr>
          <w:pgSz w:w="11900" w:h="16896" w:orient="portrait"/>
          <w:cols w:equalWidth="0" w:num="1">
            <w:col w:w="10139"/>
          </w:cols>
          <w:pgMar w:left="320" w:top="312" w:right="1440" w:bottom="0" w:gutter="0" w:footer="0" w:header="0"/>
        </w:sectPr>
      </w:pPr>
    </w:p>
    <w:bookmarkStart w:id="2" w:name="page3"/>
    <w:bookmarkEnd w:id="2"/>
    <w:p>
      <w:pPr>
        <w:spacing w:after="0" w:line="26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background of the Merger Agreement should be sufficient to explain how the material</w:t>
      </w: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terms of the Merger Agreement were negotiated through proposals and counter-proposals,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which party proposed initial terms, which party requested revised terms, and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bases for doing so. Please further revise this section to explain how the parties came to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 upon the following material economic terms included in the final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Agreement: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valuations of the parties, including the additional $12.5 million ascribed by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 w:right="2119" w:firstLine="105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Tectonic to AVROBIO in excess of its ending net cash position; the equity allocations in the combined company via the Exchange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Ratio contemplated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the Merger Agreement; and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concurrent private financings with Tectonic.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of Houlihan Lokey to the AVROBIO Board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Financial Analyses, page 208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6. We note your response to prior comment 24, which we reissue with respect to the second</w:t>
      </w:r>
    </w:p>
    <w:p>
      <w:pPr>
        <w:ind w:right="25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bullet. For each of the analyses discussed, please clarify what value(s) were used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calculate the implied value for Tectonic post-merger, and why. For example, disclose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whether Houlihan Lokey use the mean, median, high or low value, or some other value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calculations of the comparable companies/transactions.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U.S. Federal Income Tax Consequences of the Merger, page 225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9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7.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6 and we re-issue the comment.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Mergers or exchange</w:t>
      </w:r>
    </w:p>
    <w:p>
      <w:pPr>
        <w:ind w:right="23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transactions where the Company represents that the transaction is tax-free, generally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7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involve material tax consequences and a tax opinion should be provided. We note that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9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 of Tectonic will be receiving registered shares of AVROBIO in connection with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23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merger, which will result in material tax consequences to such investors. Please revise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file an opinion of counsel with respect to the material tax consequences of the merger.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refer to Section III of Staff Legal Bulletin 19.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AVROBIO's Management's Discussion and Analysis of Financial Condition and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Results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Operations, page 390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Components of AVROBIO's Consolidated Results of Operations, page 392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8.</w:t>
            </w:r>
          </w:p>
        </w:tc>
        <w:tc>
          <w:tcPr>
            <w:tcW w:w="7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have read your response to comment 46. Please revise your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disclosures accordingly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specifically address the reason(s) for the 25% increase in R&amp;D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expenses for the Gaucher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program and the 33% increase in the Hunter program during 2023, given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especially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explanation for the consolidated decreases on page 395 and that the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comprehensive review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resulting in your intention to halt development of your programs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occurred in July 2023. In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addressing this comment, we note certain information you have provided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 response to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83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Erik Ostrowski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7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AVROBIO,LastNameErik  Ostrowski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</w:t>
            </w:r>
          </w:p>
        </w:tc>
        <w:tc>
          <w:tcPr>
            <w:tcW w:w="73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3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NameAVROBIO,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April</w:t>
            </w:r>
          </w:p>
        </w:tc>
        <w:tc>
          <w:tcPr>
            <w:tcW w:w="73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9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8,</w:t>
            </w:r>
          </w:p>
        </w:tc>
        <w:tc>
          <w:tcPr>
            <w:tcW w:w="7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960" w:type="dxa"/>
            <w:vAlign w:val="bottom"/>
          </w:tcPr>
          <w:p>
            <w:pPr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April 48,</w:t>
            </w:r>
          </w:p>
        </w:tc>
        <w:tc>
          <w:tcPr>
            <w:tcW w:w="1100" w:type="dxa"/>
            <w:vAlign w:val="bottom"/>
          </w:tcPr>
          <w:p>
            <w:pPr>
              <w:ind w:left="10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 Page</w:t>
            </w:r>
          </w:p>
        </w:tc>
        <w:tc>
          <w:tcPr>
            <w:tcW w:w="3840" w:type="dxa"/>
            <w:vAlign w:val="bottom"/>
          </w:tcPr>
          <w:p>
            <w:pPr>
              <w:ind w:left="60"/>
              <w:spacing w:after="0" w:line="170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</w:t>
            </w: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may be relevant.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Tectonics</w:t>
            </w:r>
          </w:p>
        </w:tc>
        <w:tc>
          <w:tcPr>
            <w:tcW w:w="110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comment 52</w:t>
            </w:r>
          </w:p>
        </w:tc>
        <w:tc>
          <w:tcPr>
            <w:tcW w:w="38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9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Notes to the Consolidated Financial Statements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7279" w:firstLine="8"/>
        <w:spacing w:after="0" w:line="377" w:lineRule="auto"/>
        <w:tabs>
          <w:tab w:leader="none" w:pos="316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Fair Value Measurements Safe Liabilities, page F-47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right="317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as of December 31, 2023 you determined the probabilities of the occurrence</w:t>
      </w:r>
    </w:p>
    <w:p>
      <w:pPr>
        <w:ind w:right="22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an equity financing, public listing transaction and dissolution used were 87.5%, 10.0%,</w:t>
      </w:r>
    </w:p>
    <w:p>
      <w:pPr>
        <w:sectPr>
          <w:pgSz w:w="11900" w:h="16865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ind w:right="2019" w:firstLine="948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2.5%, respectively, which appears to differ from your disclosure in the beginning of</w:t>
      </w:r>
    </w:p>
    <w:p>
      <w:pPr>
        <w:ind w:right="20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second paragraph of "Valuation of SAFE Liabilities" on page 417. Please revise for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consistency throughout the filing, as applicable.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General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33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acknowledge the information provided in your response to prior comment 52. We do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 concur with the analysis and conclusion set forth in your response letter. We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note your disclosure on pages 49, 177, and elsewhere indicating that AVROBIO (1) sold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cystinosis gene therapy program to Novartis in June 2023, (2) halted further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development of its remaining gene therapy programs in July 2023 to explore the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availability of one or more strategic transactions involving AVROBIO and/or any of its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businesses or assets, and (3) in September 2023, terminated its agreements with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University of Manchester for the license and development of a gene therapy for MPSII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(Hunter syndrome) and discontinued AVR-RD-05, a Hunter syndrome gene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therapy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program. We further note that if the merger is completed, (i) the business of the combined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2280" w:type="dxa"/>
            <w:vAlign w:val="bottom"/>
          </w:tcPr>
          <w:p>
            <w:pPr>
              <w:ind w:left="96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company will</w:t>
            </w:r>
          </w:p>
        </w:tc>
        <w:tc>
          <w:tcPr>
            <w:tcW w:w="4580" w:type="dxa"/>
            <w:vAlign w:val="bottom"/>
          </w:tcPr>
          <w:p>
            <w:pPr>
              <w:ind w:left="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 focused on the development of Tectonic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 product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candidates, and (ii)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120" w:type="dxa"/>
            <w:vAlign w:val="bottom"/>
            <w:gridSpan w:val="3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that AVROBIO's pre-closing assets will be subject to a CVR Agreement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providing that</w:t>
            </w:r>
          </w:p>
        </w:tc>
        <w:tc>
          <w:tcPr>
            <w:tcW w:w="5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use commercially reasonable efforts during the 18-month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280" w:type="dxa"/>
            <w:vAlign w:val="bottom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AVROBIO will</w:t>
            </w:r>
          </w:p>
        </w:tc>
        <w:tc>
          <w:tcPr>
            <w:tcW w:w="5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28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period</w:t>
            </w:r>
          </w:p>
        </w:tc>
        <w:tc>
          <w:tcPr>
            <w:tcW w:w="45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6860" w:type="dxa"/>
            <w:vAlign w:val="bottom"/>
            <w:gridSpan w:val="2"/>
          </w:tcPr>
          <w:p>
            <w:pPr>
              <w:ind w:left="96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following the closing to effect dispositions of AVROBIO</w:t>
            </w: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pre-closing assets to</w:t>
            </w:r>
          </w:p>
        </w:tc>
        <w:tc>
          <w:tcPr>
            <w:tcW w:w="4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 third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1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party that has delivered inbound interest. Please refer to footnote 943 of the Special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65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Purpose Acquisition Companies, Shell Companies, and Projection adopting release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960" w:right="317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(Release Nos. 33-11265; 34-99418; IC-35096), available at https://www.sec.gov/files/rules/final/2024/33-11265.pdf.</w:t>
      </w:r>
    </w:p>
    <w:p>
      <w:pPr>
        <w:ind w:right="3179" w:firstLine="8"/>
        <w:spacing w:after="0" w:line="238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Tectonic stockholders owning approximately 88% of the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Tectonic outstanding capital stock have entered into a voting agreement whereby such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stockholders have agreed to vote in favor of the Merger and that such stockholders will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execute a written consent providing for such approval following the effectiveness of this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S-4 registration statement. Please confirm that, with respect to Tectonic stockholders,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both (1) the voting support agreement was entered into only by executive officers,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 w:firstLine="948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directors, affiliates and holders of 5% or more of Tectonic s voting equity securities, and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119" w:firstLine="956"/>
        <w:spacing w:after="0" w:line="238" w:lineRule="auto"/>
        <w:tabs>
          <w:tab w:leader="none" w:pos="1369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Tectonic will solicit votes from stockholders who have not signed the agreements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would be ineligible to purchase in a private offering. Refer to Securities Act Sections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Compliance and Disclosure Interpretations 239.13.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Please contact Jenn Do at 202-551-3743 or Mary Mast at 202-551-3613 if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have</w:t>
      </w:r>
    </w:p>
    <w:p>
      <w:pPr>
        <w:ind w:right="8559" w:firstLine="105"/>
        <w:spacing w:after="0" w:line="304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Erik Ostrowski AVROBIO, Inc. April 8, 2024 Page 5</w:t>
      </w:r>
    </w:p>
    <w:p>
      <w:pPr>
        <w:spacing w:after="0" w:line="62" w:lineRule="exact"/>
        <w:rPr>
          <w:sz w:val="20"/>
          <w:szCs w:val="20"/>
          <w:color w:val="auto"/>
        </w:rPr>
      </w:pPr>
    </w:p>
    <w:p>
      <w:pPr>
        <w:ind w:right="201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 regarding comments on the financial statements and related matters. Please contact</w:t>
      </w:r>
    </w:p>
    <w:p>
      <w:pPr>
        <w:ind w:right="201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Lauren Hamill at 303-844-1008 or Chris Edwards at 202-551-6761 with any other 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55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LastNameErik Ostrowski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NameAVROBIO, Inc.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Sciences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April 8, 2024 Page 5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1060" w:hanging="1052"/>
        <w:spacing w:after="0"/>
        <w:tabs>
          <w:tab w:leader="none" w:pos="106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Adam Johnson</w:t>
      </w:r>
    </w:p>
    <w:p>
      <w:pPr>
        <w:spacing w:after="0" w:line="21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46E87CCD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3D1B58BA"/>
    <w:multiLevelType w:val="hybridMultilevel"/>
    <w:lvl w:ilvl="0">
      <w:lvlJc w:val="left"/>
      <w:lvlText w:val="%1."/>
      <w:numFmt w:val="decimal"/>
      <w:start w:val="4"/>
    </w:lvl>
  </w:abstractNum>
  <w:abstractNum w:abstractNumId="2">
    <w:nsid w:val="507ED7AB"/>
    <w:multiLevelType w:val="hybridMultilevel"/>
    <w:lvl w:ilvl="0">
      <w:lvlJc w:val="left"/>
      <w:lvlText w:val="%1."/>
      <w:numFmt w:val="decimal"/>
      <w:start w:val="5"/>
    </w:lvl>
  </w:abstractNum>
  <w:abstractNum w:abstractNumId="3">
    <w:nsid w:val="2EB141F2"/>
    <w:multiLevelType w:val="hybridMultilevel"/>
    <w:lvl w:ilvl="0">
      <w:lvlJc w:val="left"/>
      <w:lvlText w:val="%1."/>
      <w:numFmt w:val="decimal"/>
      <w:start w:val="3"/>
    </w:lvl>
  </w:abstractNum>
  <w:abstractNum w:abstractNumId="4">
    <w:nsid w:val="41B71EFB"/>
    <w:multiLevelType w:val="hybridMultilevel"/>
    <w:lvl w:ilvl="0">
      <w:lvlJc w:val="left"/>
      <w:lvlText w:val="%1."/>
      <w:numFmt w:val="decimal"/>
      <w:start w:val="9"/>
    </w:lvl>
  </w:abstractNum>
  <w:abstractNum w:abstractNumId="5">
    <w:nsid w:val="79E2A9E3"/>
    <w:multiLevelType w:val="hybridMultilevel"/>
    <w:lvl w:ilvl="0">
      <w:lvlJc w:val="left"/>
      <w:lvlText w:val="%1."/>
      <w:numFmt w:val="decimal"/>
      <w:start w:val="10"/>
    </w:lvl>
  </w:abstractNum>
  <w:abstractNum w:abstractNumId="6">
    <w:nsid w:val="7545E146"/>
    <w:multiLevelType w:val="hybridMultilevel"/>
    <w:lvl w:ilvl="0">
      <w:lvlJc w:val="left"/>
      <w:lvlText w:val="%1."/>
      <w:numFmt w:val="decimal"/>
      <w:start w:val="11"/>
    </w:lvl>
  </w:abstractNum>
  <w:abstractNum w:abstractNumId="7">
    <w:nsid w:val="515F007C"/>
    <w:multiLevelType w:val="hybridMultilevel"/>
    <w:lvl w:ilvl="0">
      <w:lvlJc w:val="left"/>
      <w:lvlText w:val="(%1)"/>
      <w:numFmt w:val="decimal"/>
      <w:start w:val="2"/>
    </w:lvl>
  </w:abstractNum>
  <w:abstractNum w:abstractNumId="8">
    <w:nsid w:val="5BD062C2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2024-06-12T23:10:22Z</dcterms:created>
  <dcterms:modified xsi:type="dcterms:W3CDTF">2024-06-12T23:10:22Z</dcterms:modified>
</cp:coreProperties>
</file>