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243840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Liptak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Clarus Ventures,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Main Street, Suite 1210, Cambridge, MA 02142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949-2200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20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2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Clarus Lifesciences III,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3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Clarus Ventures III GP,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4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Clarus Ventures III,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5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Robert Liptak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6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Nicholas Simon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7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Nicholas Galakatos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8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Dennis Henner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0"/>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Page 9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Kurt Wheeler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3"/>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3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CUSIP No.  05455M100</w:t>
            </w:r>
          </w:p>
        </w:tc>
        <w:tc>
          <w:tcPr>
            <w:tcW w:w="1260" w:type="dxa"/>
            <w:vAlign w:val="bottom"/>
          </w:tcPr>
          <w:p>
            <w:pPr>
              <w:spacing w:after="0"/>
              <w:rPr>
                <w:sz w:val="24"/>
                <w:szCs w:val="24"/>
                <w:color w:val="auto"/>
              </w:rPr>
            </w:pPr>
          </w:p>
        </w:tc>
        <w:tc>
          <w:tcPr>
            <w:tcW w:w="2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10 of 16 Pages</w:t>
            </w:r>
          </w:p>
        </w:tc>
      </w:tr>
      <w:tr>
        <w:trPr>
          <w:trHeight w:val="44"/>
        </w:trPr>
        <w:tc>
          <w:tcPr>
            <w:tcW w:w="40" w:type="dxa"/>
            <w:vAlign w:val="bottom"/>
            <w:tcBorders>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2"/>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154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Scott Requadt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7"/>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2,962,325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2,962,325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4"/>
              </w:rPr>
              <w:t>12.80%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11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Security and Issuer</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statement relates to the Common Stock, par value $0.0001 per share (the "Common Stock"), of Avrobio, Inc. (the "Issuer"). The address of the principal executive offices of the Issuer is One Kendall Square, Building 300, Suite 201, Cambridge, MA 02139.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Identity and Background</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Clarus Lifesciences III, L.P. (the "Fund");</w:t>
      </w:r>
    </w:p>
    <w:p>
      <w:pPr>
        <w:spacing w:after="0" w:line="225" w:lineRule="exact"/>
        <w:rPr>
          <w:rFonts w:ascii="Arial" w:cs="Arial" w:eastAsia="Arial" w:hAnsi="Arial"/>
          <w:sz w:val="18"/>
          <w:szCs w:val="18"/>
          <w:color w:val="auto"/>
        </w:rPr>
      </w:pPr>
    </w:p>
    <w:p>
      <w:pPr>
        <w:ind w:firstLine="656"/>
        <w:spacing w:after="0" w:line="277" w:lineRule="auto"/>
        <w:tabs>
          <w:tab w:leader="none" w:pos="9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Clarus Ventures III GP, L.P. ("Clarus GP"), which is the sole general partner of the Fund; and Clarus Ventures III, LLC ("Clarus GPLLC" and, together with Clarus GP, the "Control Entities"), which is the sole general partner of Clarus GP; and</w:t>
      </w:r>
    </w:p>
    <w:p>
      <w:pPr>
        <w:spacing w:after="0" w:line="170" w:lineRule="exact"/>
        <w:rPr>
          <w:rFonts w:ascii="Arial" w:cs="Arial" w:eastAsia="Arial" w:hAnsi="Arial"/>
          <w:sz w:val="18"/>
          <w:szCs w:val="18"/>
          <w:color w:val="auto"/>
        </w:rPr>
      </w:pPr>
    </w:p>
    <w:p>
      <w:pPr>
        <w:ind w:firstLine="656"/>
        <w:spacing w:after="0" w:line="277" w:lineRule="auto"/>
        <w:tabs>
          <w:tab w:leader="none" w:pos="8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Robert Liptak, Nicholas Simon, Nicholas Galakatos, Dennis Henner, Kurt Wheeler and Scott Requadt (together, the "Managing Directors"). The Managing Directors are the members of Clarus GPLLC.</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persons named in this Item 2 are referred to individually herein as a "Reporting Person" and collectively as the "Reporting Persons." The Reporting Persons have entered into a Joint Filing Agreement, dated as of the date hereof, a copy of which is filed with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(which is incorporated herein by reference), pursuant to which the Reporting Persons have agreed to file this statement jointly in accordance with the provisions of Rule 13d-1(k) under the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the Reporting Persons is Clarus Ventures, 101 Main Street, Suite 1210, Cambridge, MA 02142.</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business of the Fund is to invest in and assist early-stage and/or growth-oriented businesses in healthcare and life sciences. The principal business of Clarus GP is to act as the sole general partner of the Fund. The principal business of Clarus GPLLC is to act as the sole general partner of Clarus GP. The principal business of each of the Managing Directors is to manage the Control Entities, the Fund and affiliated entities with similar businesses.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Fund and Clarus GP are limited partnerships organized under the laws of the State of Delaware. Clarus GPLLC is a limited liability company organized under the laws of the State of Delaware. Each of the Messrs. Liptak, Simon, Galakatos, Henner, Requadt and Wheeler is a United States citizen.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Source and Amount of Funds or Other Consideration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2,962,325 shares of Common Stock owned directly by the Fund were acquired on June 25, 2018, in connection with the closing of the Issuer's initial public offering (the "IPO") pursuant to a registration statement on Form S-1 filed under the Securities Act of 1933, as amended (the "Registration Statement"), whereupon (i) all Series A Preferred Stock held by the Fund converted into 2,283,434 shares of Common Stock and (ii) all Series B Preferred Stock held by the Fund converted into 678,891 shares of Common Stock. The Fund's preferred shares were acquired prior to the filing of the Registration Statement using working capital proceeds. The Fund now holds a total of 2,962,325 shares of the Issuer's Common Stock (the "Clarus Shares").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working capital of the Fund was the source of the funds for the purchase of the Clarus Shares. No part of the purchase price of the Clarus Shares was represented by funds or other consideration borrowed or otherwise obtained for the purpose of acquiring, holding, trading or voting the Clarus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 w:name="page12"/>
    <w:bookmarkEnd w:id="11"/>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12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Purpose of Transaction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20" w:firstLine="699"/>
        <w:spacing w:after="0" w:line="308" w:lineRule="auto"/>
        <w:rPr>
          <w:sz w:val="20"/>
          <w:szCs w:val="20"/>
          <w:color w:val="auto"/>
        </w:rPr>
      </w:pPr>
      <w:r>
        <w:rPr>
          <w:rFonts w:ascii="Arial" w:cs="Arial" w:eastAsia="Arial" w:hAnsi="Arial"/>
          <w:sz w:val="17"/>
          <w:szCs w:val="17"/>
          <w:color w:val="auto"/>
        </w:rPr>
        <w:t>The Fund acquired the Clarus Shares for investment purposes only. Depending on market conditions, its continuing evaluation of the business and prospects of the Issuer and other factors, the Fund and other Reporting Persons may dispose of or acquire additional shares of the Issuer.</w:t>
      </w:r>
    </w:p>
    <w:p>
      <w:pPr>
        <w:spacing w:after="0" w:line="174" w:lineRule="exact"/>
        <w:rPr>
          <w:sz w:val="20"/>
          <w:szCs w:val="20"/>
          <w:color w:val="auto"/>
        </w:rPr>
      </w:pPr>
    </w:p>
    <w:p>
      <w:pPr>
        <w:jc w:val="both"/>
        <w:ind w:firstLine="674"/>
        <w:spacing w:after="0" w:line="257" w:lineRule="auto"/>
        <w:rPr>
          <w:sz w:val="20"/>
          <w:szCs w:val="20"/>
          <w:color w:val="auto"/>
        </w:rPr>
      </w:pPr>
      <w:r>
        <w:rPr>
          <w:rFonts w:ascii="Arial" w:cs="Arial" w:eastAsia="Arial" w:hAnsi="Arial"/>
          <w:sz w:val="18"/>
          <w:szCs w:val="18"/>
          <w:color w:val="auto"/>
        </w:rPr>
        <w:t>None of the Reporting Persons have any present plans or proposals that relate to or would result in any change in the business, policies, management, structure or capitalization of the Issuer. The Reporting Persons reserve the right to acquire, or dispose of, additional securities of the Issuer in the ordinary course of their business, to the extent deemed advisable in light of their general investment and trading policies, market conditions or other factors. The Reporting Persons may engage in discussions from time to time with other stockholders of the Issuer regarding the acquisition by the Reporting Persons or others of shares of the Issuer's Common Stock held by such stockholders.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Reporting Persons may seek information from management and the Issuer's Board of Directors, and may engage in further discussions with management, the Issuer's Board of Directors, other stockholders of the Issuer and other relevant parties, concerning the business, operations, governance, management, strategy, capitalization and/or future plans of the Issuer, or in proposing one or more of the other actions described in subparagraphs (a) through (j) of this Item 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above, none of the Reporting Persons has any present plans which relate to or would result in:</w:t>
      </w:r>
    </w:p>
    <w:p>
      <w:pPr>
        <w:spacing w:after="0" w:line="25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class of equity securities of the Issuer becoming eligible for termination of registration pursuant to Section 12(g)(4) of the Act; or</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 w:name="page13"/>
    <w:bookmarkEnd w:id="12"/>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13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 in Securities of the Issuer</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1300" w:hanging="644"/>
        <w:spacing w:after="0" w:line="286"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Fund is the record owner of the Clarus Shares. As the sole general partner of the Fund, Clarus GP may be deemed to own beneficially the Clarus Shares. As the sole general partner of Clarus GP, Clarus GPLLC may be deemed to own beneficially the Clarus Shares. As members of Clarus GPLLC, each of the Managing Directors may be deemed to own beneficially the Clarus Shares.</w:t>
      </w:r>
    </w:p>
    <w:p>
      <w:pPr>
        <w:spacing w:after="0" w:line="192"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6"/>
          <w:szCs w:val="16"/>
          <w:color w:val="auto"/>
        </w:rPr>
        <w:t>Each Reporting Person disclaims beneficial ownership of the Clarus Shares other than those shares which such person owns of record.</w:t>
      </w:r>
    </w:p>
    <w:p>
      <w:pPr>
        <w:spacing w:after="0" w:line="275" w:lineRule="exact"/>
        <w:rPr>
          <w:rFonts w:ascii="Arial" w:cs="Arial" w:eastAsia="Arial" w:hAnsi="Arial"/>
          <w:sz w:val="17"/>
          <w:szCs w:val="17"/>
          <w:color w:val="auto"/>
        </w:rPr>
      </w:pPr>
    </w:p>
    <w:p>
      <w:pPr>
        <w:jc w:val="both"/>
        <w:ind w:left="1300"/>
        <w:spacing w:after="0" w:line="259" w:lineRule="auto"/>
        <w:rPr>
          <w:rFonts w:ascii="Arial" w:cs="Arial" w:eastAsia="Arial" w:hAnsi="Arial"/>
          <w:sz w:val="17"/>
          <w:szCs w:val="17"/>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and was calculated based on the 23,149,645 shares of Common Stock reported to be outstanding immediately following the offering described in the Issuer's prospectus filed pursuant to Rule 424(b)(4) and filed with the Securities and Exchange Commission on June 21, 2018.</w:t>
      </w:r>
    </w:p>
    <w:p>
      <w:pPr>
        <w:spacing w:after="0" w:line="213"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has effected any transaction in the Common Stock during the last 60 days.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securities beneficially owned by any of the Reporting Persons.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Contracts, Arrangements, Undertakings or Relationships with Respect to Securities of the Issuer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Rule 13d-1(k) promulgated under the Securities Exchange Act of 1934, as amended, the Reporting Persons have entered into an agreement with respect to the joint filing of this statement, and any amendment or amendments thereto.</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IPO, the Fund and certain other persons entered into lock-up agreements (each a "Lock-up Agreement"), pursuant to which such persons agreed, subject to certain exceptions, not to directly or indirectly sell, transfer or otherwise convey any of the Issuer's securities held by them for a period of 180-days following the date of the IPO.</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Reporting Persons and certain other persons are parties to a registration rights agreement with the Issuer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which provides for certain registration rights. Beginning 180 days after the IPO, subject to certain limitations, the Reporting Persons and other signatory stockholders have the right to request the Issuer to prepare, file and maintain up to two registration statements covering the sale of such shares of Common Stock. If the Issuer is eligible to file a registration statement on Form S-3, subject to certain limitations, the Reporting Persons and other signatory stockholders have the right to request the Issuer to prepare, file and maintain up to two registrations in any twelve-month period covering the sale of such shares of Common Stock. Additionally, the Reporting Persons and other signatory stockholders have "piggyback" registration rights to include these shares of Common Stock in future registration statements that the Issuer may initiate, subject to certain conditions and limitations (including customary cut-back rights). Under the Registration Rights Agreement, the Issuer will pay all expenses relating to such registrations. The Registration Rights Agreement contains customary cross-indemnification provisions, under which the Issuer is obligated to indemnify the Reporting Persons and other signatory stockholders in the event of material misstatements or omissions in the registration statement attributable to the Issuer, and the Reporting Persons and other signatory stockholders are obligated to indemnify the Issuer for material misstatements or omissions attributable to them.</w:t>
      </w:r>
    </w:p>
    <w:p>
      <w:pPr>
        <w:spacing w:after="0" w:line="20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Mr. Requadt, a Reporting Person, is a member of the Issuer's Board of Directors and, accordingly, may have the ability to effect and influence control of the Issuer.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Material to be Filed as Exhibits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99.2 – Power of Attorney regarding filings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 w:name="page14"/>
    <w:bookmarkEnd w:id="13"/>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14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July 5, 2018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GP, L.P.,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Nicholas Galakatos</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Henner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17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7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Liptak</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Nicholas Simon</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Kurt Wheeler</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Requadt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Robert Liptak</w:t>
            </w:r>
          </w:p>
        </w:tc>
      </w:tr>
      <w:tr>
        <w:trPr>
          <w:trHeight w:val="237"/>
        </w:trPr>
        <w:tc>
          <w:tcPr>
            <w:tcW w:w="5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Robert Liptak, as Attorney-in-Fact</w:t>
            </w:r>
          </w:p>
        </w:tc>
      </w:tr>
    </w:tbl>
    <w:p>
      <w:pPr>
        <w:spacing w:after="0" w:line="200" w:lineRule="exact"/>
        <w:rPr>
          <w:sz w:val="20"/>
          <w:szCs w:val="20"/>
          <w:color w:val="auto"/>
        </w:rPr>
      </w:pPr>
    </w:p>
    <w:p>
      <w:pPr>
        <w:spacing w:after="0" w:line="21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This Schedule 13D was executed by Robert Liptak on behalf of the individuals listed above pursuant to a Power of Attorney a copy of which is attached as </w:t>
      </w:r>
      <w:r>
        <w:rPr>
          <w:rFonts w:ascii="Arial" w:cs="Arial" w:eastAsia="Arial" w:hAnsi="Arial"/>
          <w:sz w:val="18"/>
          <w:szCs w:val="18"/>
          <w:u w:val="single" w:color="auto"/>
          <w:color w:val="auto"/>
        </w:rPr>
        <w:t>Exhibit 99.2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 w:name="page15"/>
    <w:bookmarkEnd w:id="14"/>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15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13D need be filed with respect to the ownership by each of the undersigned of shares of Common Stock of Avrobio, Inc.</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5, 2018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GP, L.P.,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-10160</wp:posOffset>
            </wp:positionV>
            <wp:extent cx="2032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Nicholas Galakatos</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Henner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17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7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Liptak</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Nicholas Simon</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Kurt Wheeler</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71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Requadt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Robert Liptak</w:t>
            </w:r>
          </w:p>
        </w:tc>
      </w:tr>
      <w:tr>
        <w:trPr>
          <w:trHeight w:val="237"/>
        </w:trPr>
        <w:tc>
          <w:tcPr>
            <w:tcW w:w="54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Robert Liptak, as Attorney-in-Fact</w:t>
            </w:r>
          </w:p>
        </w:tc>
      </w:tr>
    </w:tbl>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This Agreement was executed by Robert Liptak on behalf of the individuals listed above pursuant to a Power of Attorney a copy of which is attached as Exhibit </w:t>
      </w:r>
      <w:r>
        <w:rPr>
          <w:rFonts w:ascii="Arial" w:cs="Arial" w:eastAsia="Arial" w:hAnsi="Arial"/>
          <w:sz w:val="18"/>
          <w:szCs w:val="18"/>
          <w:u w:val="single" w:color="auto"/>
          <w:color w:val="auto"/>
        </w:rPr>
        <w:t>99.2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5" w:name="page16"/>
    <w:bookmarkEnd w:id="15"/>
    <w:tbl>
      <w:tblPr>
        <w:tblLayout w:type="fixed"/>
        <w:tblInd w:w="30" w:type="dxa"/>
        <w:tblCellMar>
          <w:top w:w="0" w:type="dxa"/>
          <w:left w:w="0" w:type="dxa"/>
          <w:bottom w:w="0" w:type="dxa"/>
          <w:right w:w="0" w:type="dxa"/>
        </w:tblCellMar>
      </w:tblPr>
      <w:tr>
        <w:trPr>
          <w:trHeight w:val="280"/>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05455M100</w:t>
            </w:r>
          </w:p>
        </w:tc>
        <w:tc>
          <w:tcPr>
            <w:tcW w:w="384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16 of 16 Pages</w:t>
            </w:r>
          </w:p>
        </w:tc>
      </w:tr>
      <w:tr>
        <w:trPr>
          <w:trHeight w:val="44"/>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Robert Liptak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remain in full force and effect until revoked by the undersigned in a signed writing delivered to the attorney-in-fact.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9th day of February, 2017.</w:t>
      </w:r>
    </w:p>
    <w:p>
      <w:pPr>
        <w:spacing w:after="0" w:line="200" w:lineRule="exact"/>
        <w:rPr>
          <w:sz w:val="20"/>
          <w:szCs w:val="20"/>
          <w:color w:val="auto"/>
        </w:rPr>
      </w:pPr>
    </w:p>
    <w:p>
      <w:pPr>
        <w:spacing w:after="0" w:line="29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Nicholas Galakatos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428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Nicholas Galakatos</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Dennis Henner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454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Dennis Henner</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Nicholas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6700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700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Nicholas Simon</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438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Scott Requadt</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Kurt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475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574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Kurt Wheeler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bullet"/>
      <w:start w:val="1"/>
    </w:lvl>
  </w:abstractNum>
  <w:abstractNum w:abstractNumId="1">
    <w:nsid w:val="6B68079A"/>
    <w:multiLevelType w:val="hybridMultilevel"/>
    <w:lvl w:ilvl="0">
      <w:lvlJc w:val="left"/>
      <w:lvlText w:val="4"/>
      <w:numFmt w:val="bullet"/>
      <w:start w:val="1"/>
    </w:lvl>
  </w:abstractNum>
  <w:abstractNum w:abstractNumId="2">
    <w:nsid w:val="4E6AFB66"/>
    <w:multiLevelType w:val="hybridMultilevel"/>
    <w:lvl w:ilvl="0">
      <w:lvlJc w:val="left"/>
      <w:lvlText w:val="6"/>
      <w:numFmt w:val="bullet"/>
      <w:start w:val="1"/>
    </w:lvl>
  </w:abstractNum>
  <w:abstractNum w:abstractNumId="3">
    <w:nsid w:val="25E45D32"/>
    <w:multiLevelType w:val="hybridMultilevel"/>
    <w:lvl w:ilvl="0">
      <w:lvlJc w:val="left"/>
      <w:lvlText w:val="1"/>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6"/>
      <w:numFmt w:val="bullet"/>
      <w:start w:val="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4"/>
      <w:numFmt w:val="bullet"/>
      <w:start w:val="1"/>
    </w:lvl>
  </w:abstractNum>
  <w:abstractNum w:abstractNumId="8">
    <w:nsid w:val="257130A3"/>
    <w:multiLevelType w:val="hybridMultilevel"/>
    <w:lvl w:ilvl="0">
      <w:lvlJc w:val="left"/>
      <w:lvlText w:val="6"/>
      <w:numFmt w:val="bullet"/>
      <w:start w:val="1"/>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6"/>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4"/>
      <w:numFmt w:val="bullet"/>
      <w:start w:val="1"/>
    </w:lvl>
  </w:abstractNum>
  <w:abstractNum w:abstractNumId="14">
    <w:nsid w:val="2443A858"/>
    <w:multiLevelType w:val="hybridMultilevel"/>
    <w:lvl w:ilvl="0">
      <w:lvlJc w:val="left"/>
      <w:lvlText w:val="6"/>
      <w:numFmt w:val="bullet"/>
      <w:start w:val="1"/>
    </w:lvl>
  </w:abstractNum>
  <w:abstractNum w:abstractNumId="15">
    <w:nsid w:val="2D1D5AE9"/>
    <w:multiLevelType w:val="hybridMultilevel"/>
    <w:lvl w:ilvl="0">
      <w:lvlJc w:val="left"/>
      <w:lvlText w:val="1"/>
      <w:numFmt w:val="bullet"/>
      <w:start w:val="1"/>
    </w:lvl>
  </w:abstractNum>
  <w:abstractNum w:abstractNumId="16">
    <w:nsid w:val="6763845E"/>
    <w:multiLevelType w:val="hybridMultilevel"/>
    <w:lvl w:ilvl="0">
      <w:lvlJc w:val="left"/>
      <w:lvlText w:val="4"/>
      <w:numFmt w:val="bullet"/>
      <w:start w:val="1"/>
    </w:lvl>
  </w:abstractNum>
  <w:abstractNum w:abstractNumId="17">
    <w:nsid w:val="75A2A8D4"/>
    <w:multiLevelType w:val="hybridMultilevel"/>
    <w:lvl w:ilvl="0">
      <w:lvlJc w:val="left"/>
      <w:lvlText w:val="6"/>
      <w:numFmt w:val="bullet"/>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4"/>
      <w:numFmt w:val="bullet"/>
      <w:start w:val="1"/>
    </w:lvl>
  </w:abstractNum>
  <w:abstractNum w:abstractNumId="20">
    <w:nsid w:val="4353D0CD"/>
    <w:multiLevelType w:val="hybridMultilevel"/>
    <w:lvl w:ilvl="0">
      <w:lvlJc w:val="left"/>
      <w:lvlText w:val="6"/>
      <w:numFmt w:val="bullet"/>
      <w:start w:val="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4"/>
      <w:numFmt w:val="bullet"/>
      <w:start w:val="1"/>
    </w:lvl>
  </w:abstractNum>
  <w:abstractNum w:abstractNumId="23">
    <w:nsid w:val="54E49EB4"/>
    <w:multiLevelType w:val="hybridMultilevel"/>
    <w:lvl w:ilvl="0">
      <w:lvlJc w:val="left"/>
      <w:lvlText w:val="6"/>
      <w:numFmt w:val="bullet"/>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4"/>
      <w:numFmt w:val="bullet"/>
      <w:start w:val="1"/>
    </w:lvl>
  </w:abstractNum>
  <w:abstractNum w:abstractNumId="26">
    <w:nsid w:val="836C40E"/>
    <w:multiLevelType w:val="hybridMultilevel"/>
    <w:lvl w:ilvl="0">
      <w:lvlJc w:val="left"/>
      <w:lvlText w:val="6"/>
      <w:numFmt w:val="bullet"/>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2019-12-16T20:14:59Z</dcterms:created>
  <dcterms:modified xsi:type="dcterms:W3CDTF">2019-12-16T20:14:59Z</dcterms:modified>
</cp:coreProperties>
</file>