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March 18, 2021, AVROBIO, Inc. (the “Company”) issued a press release containing information about the Company’s results of operations for the three months and year ended December 31, 2020. A copy of this press release is furnished as Exhibit 99.1 to this Current Report on Form 8-K.</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March 18, 2021.</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39" w:lineRule="exact"/>
        <w:rPr>
          <w:sz w:val="20"/>
          <w:szCs w:val="20"/>
          <w:color w:val="auto"/>
        </w:rPr>
      </w:pPr>
    </w:p>
    <w:p>
      <w:pPr>
        <w:ind w:left="80"/>
        <w:spacing w:after="0"/>
        <w:tabs>
          <w:tab w:leader="none" w:pos="5600" w:val="left"/>
          <w:tab w:leader="none" w:pos="604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97" w:right="1199" w:bottom="1440" w:gutter="0" w:footer="0" w:header="0"/>
        </w:sectPr>
      </w:pPr>
    </w:p>
    <w:bookmarkStart w:id="3" w:name="page4"/>
    <w:bookmarkEnd w:id="3"/>
    <w:p>
      <w:pPr>
        <w:jc w:val="center"/>
        <w:ind w:right="-83"/>
        <w:spacing w:after="0"/>
        <w:rPr>
          <w:sz w:val="20"/>
          <w:szCs w:val="20"/>
          <w:color w:val="auto"/>
        </w:rPr>
      </w:pPr>
      <w:r>
        <w:rPr>
          <w:rFonts w:ascii="Arial" w:cs="Arial" w:eastAsia="Arial" w:hAnsi="Arial"/>
          <w:sz w:val="18"/>
          <w:szCs w:val="18"/>
          <w:b w:val="1"/>
          <w:bCs w:val="1"/>
          <w:color w:val="auto"/>
        </w:rPr>
        <w:t>AVROBIO Reports Fourth Quarter and Fiscal Year 2020 Financial Results and</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Provides Business Update</w:t>
      </w:r>
    </w:p>
    <w:p>
      <w:pPr>
        <w:spacing w:after="0" w:line="211" w:lineRule="exact"/>
        <w:rPr>
          <w:sz w:val="20"/>
          <w:szCs w:val="20"/>
          <w:color w:val="auto"/>
        </w:rPr>
      </w:pPr>
    </w:p>
    <w:p>
      <w:pPr>
        <w:jc w:val="center"/>
        <w:ind w:left="540" w:right="20"/>
        <w:spacing w:after="0" w:line="277" w:lineRule="auto"/>
        <w:rPr>
          <w:sz w:val="20"/>
          <w:szCs w:val="20"/>
          <w:color w:val="auto"/>
        </w:rPr>
      </w:pPr>
      <w:r>
        <w:rPr>
          <w:rFonts w:ascii="Arial" w:cs="Arial" w:eastAsia="Arial" w:hAnsi="Arial"/>
          <w:sz w:val="18"/>
          <w:szCs w:val="18"/>
          <w:i w:val="1"/>
          <w:iCs w:val="1"/>
          <w:color w:val="auto"/>
        </w:rPr>
        <w:t>100% kidney substrate reduction at 12 months post-gene therapy in the first patient dosed with the plato</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gene therapy platform in FAB-GT</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trial for Fabry disease</w:t>
      </w:r>
    </w:p>
    <w:p>
      <w:pPr>
        <w:spacing w:after="0" w:line="170" w:lineRule="exact"/>
        <w:rPr>
          <w:sz w:val="20"/>
          <w:szCs w:val="20"/>
          <w:color w:val="auto"/>
        </w:rPr>
      </w:pPr>
    </w:p>
    <w:p>
      <w:pPr>
        <w:jc w:val="center"/>
        <w:ind w:right="-83"/>
        <w:spacing w:after="0"/>
        <w:rPr>
          <w:sz w:val="20"/>
          <w:szCs w:val="20"/>
          <w:color w:val="auto"/>
        </w:rPr>
      </w:pPr>
      <w:r>
        <w:rPr>
          <w:rFonts w:ascii="Arial" w:cs="Arial" w:eastAsia="Arial" w:hAnsi="Arial"/>
          <w:sz w:val="18"/>
          <w:szCs w:val="18"/>
          <w:i w:val="1"/>
          <w:iCs w:val="1"/>
          <w:color w:val="auto"/>
        </w:rPr>
        <w:t>One new patient dosed and three new patients enrolled in Fabry disease clinical trial since January 2021</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i w:val="1"/>
          <w:iCs w:val="1"/>
          <w:color w:val="auto"/>
        </w:rPr>
        <w:t>Orphan drug designation received from European Commission for AVR-RD-04 for cystinosis and AVR-RD-01 for Fabry disease</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i w:val="1"/>
          <w:iCs w:val="1"/>
          <w:color w:val="auto"/>
        </w:rPr>
        <w:t>Balance sheet strengthened with a $75 million follow-on common stock offering extending anticipated cash runway into Q1 2023</w:t>
      </w:r>
    </w:p>
    <w:p>
      <w:pPr>
        <w:spacing w:after="0" w:line="225"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 xml:space="preserve">CAMBRIDGE, Mass., March 18, 2021 — </w:t>
      </w:r>
      <w:r>
        <w:rPr>
          <w:rFonts w:ascii="Arial" w:cs="Arial" w:eastAsia="Arial" w:hAnsi="Arial"/>
          <w:sz w:val="18"/>
          <w:szCs w:val="18"/>
          <w:u w:val="single" w:color="auto"/>
          <w:color w:val="auto"/>
        </w:rPr>
        <w:t>AVROBIO, Inc</w:t>
      </w:r>
      <w:r>
        <w:rPr>
          <w:rFonts w:ascii="Arial" w:cs="Arial" w:eastAsia="Arial" w:hAnsi="Arial"/>
          <w:sz w:val="18"/>
          <w:szCs w:val="18"/>
          <w:color w:val="auto"/>
        </w:rPr>
        <w:t>. (Nasdaq: AVRO), a leading clinical-stage gene therapy company with a mission to free people from a lifetime of genetic disease, today reported financial results for the fourth quarter and year ended Dec. 31, 2020 and provided a business update.</w:t>
      </w:r>
    </w:p>
    <w:p>
      <w:pPr>
        <w:spacing w:after="0" w:line="184"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“It has been a highly productive period for AVROBIO, with strong new data updates across all our clinical programs, underscoring the transformative potential of our ex vivo lentiviral gene therapies. Most dramatic was the 100% reduction in toxic substrate reported from the FAB-GT trial second evaluable biopsy, but we are equally pleased with the compelling data from other biomarkers and functional metrics across the cystinosis and Gaucher disease type 1 programs,” said Geoff MacKay, president and CEO of AVROBIO. “We also shared exciting preclinical data from our Hunter syndrome and Pompe disease programs that reinforced the potential of our second wave of programs, which aim to prevent these lysosomal disorders’ devastating neurological complications. These data bolster our confidence in the potential of our investigational gene therapies and inspire our continuing work that seeks to prevent, halt or even reverse lysosomal disorders with a single dose.”</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 January, the company has dosed a fifth patient and enrolled three additional patients in the FAB-GT trial for Fabry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Fabry Phase 2 trial, formerly known as FAB-201</w:t>
      </w:r>
    </w:p>
    <w:p>
      <w:pPr>
        <w:sectPr>
          <w:pgSz w:w="11900" w:h="16838" w:orient="portrait"/>
          <w:cols w:equalWidth="0" w:num="1">
            <w:col w:w="10924"/>
          </w:cols>
          <w:pgMar w:left="436" w:top="121" w:right="539" w:bottom="1440" w:gutter="0" w:footer="0" w:header="0"/>
        </w:sectPr>
      </w:pPr>
    </w:p>
    <w:bookmarkStart w:id="4" w:name="page5"/>
    <w:bookmarkEnd w:id="4"/>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2021, we’re focused on operational execution as we prepare for a number of important milestones, including meeting with the U.S. Food and Drug Administration (FDA) to discuss the regulatory path for AVR-RD-01 for Fabry disease. We’re also progressing toward our goal of dosing 30 patients cumulatively across all clinical programs by the end of 2021. We look forward to providing additional updates as we advance our leading pipeline of lentiviral gene therapies that target the multi-billion-dollar lysosomal disorder market,” added MacKay.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 and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Received orphan drug designation (ODD) from the European Commission (EC) for AVR-RD-04 for cystinosis in March 2021</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ODD from the EC for AVR-RD-01 for Fabry disease in November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three AVROBIO investigational gene therapies in the clinic have received orphan designation from FDA and 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 robust data updates in Fabry disease, cystinosis and Gaucher disease type 1 during WORLD</w:t>
      </w:r>
      <w:r>
        <w:rPr>
          <w:rFonts w:ascii="Arial" w:cs="Arial" w:eastAsia="Arial" w:hAnsi="Arial"/>
          <w:sz w:val="18"/>
          <w:szCs w:val="18"/>
          <w:i w:val="1"/>
          <w:iCs w:val="1"/>
          <w:u w:val="single" w:color="auto"/>
          <w:color w:val="auto"/>
        </w:rPr>
        <w:t>Symposium</w:t>
      </w:r>
      <w:r>
        <w:rPr>
          <w:rFonts w:ascii="Arial" w:cs="Arial" w:eastAsia="Arial" w:hAnsi="Arial"/>
          <w:sz w:val="15"/>
          <w:szCs w:val="15"/>
          <w:u w:val="single" w:color="auto"/>
          <w:color w:val="auto"/>
        </w:rPr>
        <w:t>™</w:t>
      </w:r>
      <w:r>
        <w:rPr>
          <w:rFonts w:ascii="Arial" w:cs="Arial" w:eastAsia="Arial" w:hAnsi="Arial"/>
          <w:sz w:val="18"/>
          <w:szCs w:val="18"/>
          <w:color w:val="auto"/>
        </w:rPr>
        <w:t xml:space="preserve">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5267960</wp:posOffset>
            </wp:positionH>
            <wp:positionV relativeFrom="paragraph">
              <wp:posOffset>-10160</wp:posOffset>
            </wp:positionV>
            <wp:extent cx="815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111" w:lineRule="exact"/>
        <w:rPr>
          <w:sz w:val="20"/>
          <w:szCs w:val="20"/>
          <w:color w:val="auto"/>
        </w:rPr>
      </w:pPr>
    </w:p>
    <w:p>
      <w:pPr>
        <w:ind w:left="960" w:right="260" w:hanging="42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100% kidney substrate reduction at 12 months post-gene therapy in the first patient dosed with the plato</w:t>
      </w:r>
      <w:r>
        <w:rPr>
          <w:rFonts w:ascii="Arial" w:cs="Arial" w:eastAsia="Arial" w:hAnsi="Arial"/>
          <w:sz w:val="13"/>
          <w:szCs w:val="13"/>
          <w:color w:val="auto"/>
        </w:rPr>
        <w:t>®</w:t>
      </w:r>
      <w:r>
        <w:rPr>
          <w:rFonts w:ascii="Arial" w:cs="Arial" w:eastAsia="Arial" w:hAnsi="Arial"/>
          <w:sz w:val="16"/>
          <w:szCs w:val="16"/>
          <w:color w:val="auto"/>
        </w:rPr>
        <w:t xml:space="preserve"> platform in the FAB-GT trial, together with additional data from multiple biomarkers and functional cardiac measurements across Phase 1 and Phase 2.</w:t>
      </w:r>
    </w:p>
    <w:p>
      <w:pPr>
        <w:spacing w:after="0" w:line="29" w:lineRule="exact"/>
        <w:rPr>
          <w:rFonts w:ascii="Arial" w:cs="Arial" w:eastAsia="Arial" w:hAnsi="Arial"/>
          <w:sz w:val="16"/>
          <w:szCs w:val="16"/>
          <w:color w:val="auto"/>
        </w:rPr>
      </w:pPr>
    </w:p>
    <w:p>
      <w:pPr>
        <w:ind w:left="960" w:right="1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first two patients dosed in the investigator-sponsored Phase 1/2 trial in cystinosis, showed improvement across multiple measures including substantial improvement in photophobia in the first patient at 12 months post-gene therapy.</w:t>
      </w:r>
    </w:p>
    <w:p>
      <w:pPr>
        <w:spacing w:after="0" w:line="75"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early data from the Phase 1/2 clinical trial in Gaucher disease type 1 showing plasma chitotriosidase levels decreased 49% and toxic metabolite lyso-Gb1 levels decreased 44% in the first patient at six months post-gene therapy, compared to the patient’s pre-treatment levels while on enzyme replacement therapy (ERT).</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details on the data presented during the 17th annual WORLD</w:t>
      </w:r>
      <w:r>
        <w:rPr>
          <w:rFonts w:ascii="Arial" w:cs="Arial" w:eastAsia="Arial" w:hAnsi="Arial"/>
          <w:sz w:val="18"/>
          <w:szCs w:val="18"/>
          <w:i w:val="1"/>
          <w:iCs w:val="1"/>
          <w:color w:val="auto"/>
        </w:rPr>
        <w:t>Symposium</w:t>
      </w:r>
      <w:r>
        <w:rPr>
          <w:rFonts w:ascii="Arial" w:cs="Arial" w:eastAsia="Arial" w:hAnsi="Arial"/>
          <w:sz w:val="18"/>
          <w:szCs w:val="18"/>
          <w:color w:val="auto"/>
        </w:rPr>
        <w:t xml:space="preserve"> can be found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u w:val="single" w:color="auto"/>
          <w:color w:val="auto"/>
        </w:rPr>
        <w:t>Expanded management team with appointment of Diana M. Escolar, M.D., FAAN, chief medical officer, bringing expertise and experience in rare diseases, with a focus on lysosomal and neurogenetic disorders, in January 2021</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Provided updates on ongoing clinical trials and second wave of programs in leading lysosomal disorder gene therapy pipeline at first Virtual R&amp;D Day in November 2020</w:t>
      </w:r>
    </w:p>
    <w:p>
      <w:pPr>
        <w:spacing w:after="0" w:line="76"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positive data out as far as 3.5 years across a broad lysosomal disorder gene therapy pipeline.</w:t>
      </w:r>
    </w:p>
    <w:p>
      <w:pPr>
        <w:sectPr>
          <w:pgSz w:w="11900" w:h="16838" w:orient="portrait"/>
          <w:cols w:equalWidth="0" w:num="1">
            <w:col w:w="11000"/>
          </w:cols>
          <w:pgMar w:left="440" w:top="274" w:right="459" w:bottom="1440" w:gutter="0" w:footer="0" w:header="0"/>
        </w:sectPr>
      </w:pPr>
    </w:p>
    <w:bookmarkStart w:id="5" w:name="page6"/>
    <w:bookmarkEnd w:id="5"/>
    <w:p>
      <w:pPr>
        <w:ind w:left="960" w:hanging="424"/>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Presented data on Bu90-target concentration intervention (TCI), the company’s pioneering approach to personalized conditioning.</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development plans for AVR-RD-06 in Gaucher disease type 3.</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Presented preclinical data from AVR-RD-05 for Hunter syndrome demonstrating normalization of multiple disease measures in a mouse model, including normalization of skeletal features such as the thickness of cheekbone and femur.</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preclinical data for AVR-RD-03 for Pompe disease that showed the normalization of substrate levels in multiple hard-to-reach organs including brain and spinal cord.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details on the data presented at the Virtual R&amp;D Day can be found here.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Strengthened balance sheet and extended anticipated cash runway into Q1 2023</w:t>
      </w:r>
    </w:p>
    <w:p>
      <w:pPr>
        <w:spacing w:after="0" w:line="131"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Raised gross proceeds of $75 million through a follow-on common stock offering in November 2020.</w:t>
      </w:r>
    </w:p>
    <w:p>
      <w:pPr>
        <w:spacing w:after="0" w:line="130"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the company’s current operating plan, AVROBIO expects its cash and cash equivalents as of Dec. 31, 2020, will enable the company to fund its operating expenses and capital expenditure requirements into Q1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 End 2020 Financial Results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AVROBIO reported a net loss of $28.1 million for the fourth quarter of 2020, and a net loss of $119.7 million for the year ended 2020, as compared to a net loss of $22.7 million and a net loss of $73.0 million for the comparable periods in 2019, respectively. These increases were due to increased research and development expenses, as well as increased general and administrative expenses.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Research and development expenses were $19.6 million for the fourth quarter of 2020, and $87.2 million for the year ended 2020, as compared to $17.2 million and $55.0 million for the comparable periods in 2019, respectively. These increases were driven by increased program development activities related to the advancement of the company’s pipeline, including an $8.0 million expense incurred during the third quarter of 2020 related to a one-time, upfront fee we paid as consideration for in-licensing the Hunter syndrome program, as well as increased personnel-related costs resulting from an increase in employee headcount, which includes the impact of non-cash stock-based compensation.</w:t>
      </w:r>
    </w:p>
    <w:p>
      <w:pPr>
        <w:sectPr>
          <w:pgSz w:w="11900" w:h="16838" w:orient="portrait"/>
          <w:cols w:equalWidth="0" w:num="1">
            <w:col w:w="10980"/>
          </w:cols>
          <w:pgMar w:left="440" w:top="274" w:right="479" w:bottom="1440" w:gutter="0" w:footer="0" w:header="0"/>
        </w:sectPr>
      </w:pPr>
    </w:p>
    <w:bookmarkStart w:id="6" w:name="page7"/>
    <w:bookmarkEnd w:id="6"/>
    <w:p>
      <w:pPr>
        <w:ind w:right="5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and administrative expenses were $8.5 million for the fourth quarter of 2020, and $33.0 million for the year ended 2020, as compared to $6.2 million and $20.8 million for the comparable periods in 2019, respectively. These increases were primarily due to an increase in employee headcount, which includes the impact of non-cash stock-based compensation, as well as professional fees and consulting costs.</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 31, 2020, AVROBIO had $259.7 million in cash and cash equivalents, as compared to $187.0 million in cash and cash equivalents as of Dec. 31, 2019. This increase was primarily the result of the completion of the company’s follow-on offerings completed in February 2020 and November 2020 that generated total net proceeds of $163.8 million. Based on the company’s current operating plan, AVROBIO expects its cash and cash equivalents as of Dec. 31, 2020 will enable the company to fund its operating expenses and capital expenditure requirements into the first quarter of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vision is to bring personalized gene therapy to the world. We aim to prevent, halt or reverse disease throughout the body with a single dose of gene therapy designed to drive durable expression of therapeutic protein, even in hard-to-reach tissues and organs including brain, muscle and bone. Our ex vivo lentiviral gene therapy pipeline includes clinical programs in Fabry disease, Gaucher disease type 1 and cystinosis, as well as preclinical programs in Hunter syndrome, Gaucher disease type 3 and Pompe disease. AVROBIO is powered by our industry leading plato</w:t>
      </w:r>
      <w:r>
        <w:rPr>
          <w:rFonts w:ascii="Arial" w:cs="Arial" w:eastAsia="Arial" w:hAnsi="Arial"/>
          <w:sz w:val="14"/>
          <w:szCs w:val="14"/>
          <w:color w:val="auto"/>
        </w:rPr>
        <w:t>®</w:t>
      </w:r>
      <w:r>
        <w:rPr>
          <w:rFonts w:ascii="Arial" w:cs="Arial" w:eastAsia="Arial" w:hAnsi="Arial"/>
          <w:sz w:val="17"/>
          <w:szCs w:val="17"/>
          <w:color w:val="auto"/>
        </w:rPr>
        <w:t xml:space="preserve"> gene therapy platform, our foundation designed to deliver gene therapy worldwide. We are headquartered in Cambridge, Mass., with an office in Toronto, Ontario. For additional information, visit </w:t>
      </w:r>
      <w:r>
        <w:rPr>
          <w:rFonts w:ascii="Arial" w:cs="Arial" w:eastAsia="Arial" w:hAnsi="Arial"/>
          <w:sz w:val="17"/>
          <w:szCs w:val="17"/>
          <w:u w:val="single" w:color="auto"/>
          <w:color w:val="auto"/>
        </w:rPr>
        <w:t>avrobio.com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current and prospective product candidates, results of preclinical studies, the design, commencement, enrollment and timing of ongoing or planned clinical trials, clinical trial results, product approvals and regulatory pathways, the timing of patient recruitment and enrollment activities, and product approvals, anticipated benefits of our gene therapy platform including potential impact on our commercialization activities, timing and likelihood of success, the expected benefits and results of our implementation of the plato</w:t>
      </w:r>
      <w:r>
        <w:rPr>
          <w:rFonts w:ascii="Arial" w:cs="Arial" w:eastAsia="Arial" w:hAnsi="Arial"/>
          <w:sz w:val="14"/>
          <w:szCs w:val="14"/>
          <w:color w:val="auto"/>
        </w:rPr>
        <w:t>®</w:t>
      </w:r>
      <w:r>
        <w:rPr>
          <w:rFonts w:ascii="Arial" w:cs="Arial" w:eastAsia="Arial" w:hAnsi="Arial"/>
          <w:sz w:val="17"/>
          <w:szCs w:val="17"/>
          <w:color w:val="auto"/>
        </w:rPr>
        <w:t xml:space="preserve"> platform in our clinical trials and gene therapy programs, including the use of a personalized and ultra-precision busulfan conditioning regimen, and statements regarding our financial and cash position and expected cash runway.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ectPr>
          <w:pgSz w:w="11900" w:h="16838" w:orient="portrait"/>
          <w:cols w:equalWidth="0" w:num="1">
            <w:col w:w="11000"/>
          </w:cols>
          <w:pgMar w:left="440" w:top="274" w:right="459" w:bottom="1440" w:gutter="0" w:footer="0" w:header="0"/>
        </w:sectPr>
      </w:pPr>
    </w:p>
    <w:bookmarkStart w:id="7" w:name="page8"/>
    <w:bookmarkEnd w:id="7"/>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14"/>
          <w:szCs w:val="14"/>
          <w:color w:val="auto"/>
        </w:rPr>
        <w:t>®</w:t>
      </w:r>
      <w:r>
        <w:rPr>
          <w:rFonts w:ascii="Arial" w:cs="Arial" w:eastAsia="Arial" w:hAnsi="Arial"/>
          <w:sz w:val="17"/>
          <w:szCs w:val="17"/>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Stephanie Simon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617-581-9333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stephanie@tenbridgecommunications.com</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9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2020</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259,682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7,560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271,234</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13,932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16,890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254,344</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186,013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271,234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200,514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ind w:left="8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640" w:type="dxa"/>
            <w:vAlign w:val="bottom"/>
            <w:gridSpan w:val="6"/>
          </w:tcPr>
          <w:p>
            <w:pPr>
              <w:jc w:val="right"/>
              <w:ind w:right="280"/>
              <w:spacing w:after="0"/>
              <w:rPr>
                <w:sz w:val="20"/>
                <w:szCs w:val="20"/>
                <w:color w:val="auto"/>
              </w:rPr>
            </w:pPr>
            <w:r>
              <w:rPr>
                <w:rFonts w:ascii="Arial" w:cs="Arial" w:eastAsia="Arial" w:hAnsi="Arial"/>
                <w:sz w:val="14"/>
                <w:szCs w:val="14"/>
                <w:color w:val="auto"/>
                <w:w w:val="96"/>
              </w:rPr>
              <w:t>Twelve Months Ended</w:t>
            </w:r>
          </w:p>
        </w:tc>
        <w:tc>
          <w:tcPr>
            <w:tcW w:w="0" w:type="dxa"/>
            <w:vAlign w:val="bottom"/>
          </w:tcPr>
          <w:p>
            <w:pPr>
              <w:spacing w:after="0"/>
              <w:rPr>
                <w:sz w:val="1"/>
                <w:szCs w:val="1"/>
                <w:color w:val="auto"/>
              </w:rPr>
            </w:pPr>
          </w:p>
        </w:tc>
      </w:tr>
      <w:tr>
        <w:trPr>
          <w:trHeight w:val="167"/>
        </w:trPr>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4"/>
                <w:szCs w:val="14"/>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2019</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19,587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17,219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87,236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54,974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20,835</w:t>
            </w:r>
          </w:p>
        </w:tc>
        <w:tc>
          <w:tcPr>
            <w:tcW w:w="0" w:type="dxa"/>
            <w:vAlign w:val="bottom"/>
          </w:tcPr>
          <w:p>
            <w:pPr>
              <w:spacing w:after="0"/>
              <w:rPr>
                <w:sz w:val="1"/>
                <w:szCs w:val="1"/>
                <w:color w:val="auto"/>
              </w:rPr>
            </w:pP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28,064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120,228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75,809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(28,064)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(23,433)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(120,228)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(75,809)</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(28,131)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(22,662)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(119,712)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(72,965)</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38,528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27,432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2021-03-18T06:07:25Z</dcterms:created>
  <dcterms:modified xsi:type="dcterms:W3CDTF">2021-03-18T06:07:25Z</dcterms:modified>
</cp:coreProperties>
</file>