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AVROBIO,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05455M100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Atlas Venture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Attention: Ommer Chohan, Chief Financial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400 Technology Square, 10th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 02139 USA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(857) 201-2700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July 19,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4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05455M100</w:t>
      </w:r>
      <w:r>
        <w:rPr>
          <w:sz w:val="20"/>
          <w:szCs w:val="20"/>
          <w:color w:val="auto"/>
        </w:rPr>
        <w:tab/>
      </w:r>
      <w:r>
        <w:rPr>
          <w:rFonts w:ascii="Arial" w:cs="Arial" w:eastAsia="Arial" w:hAnsi="Arial"/>
          <w:sz w:val="15"/>
          <w:szCs w:val="15"/>
          <w:color w:val="auto"/>
        </w:rPr>
        <w:t>Page 2 of 13</w:t>
      </w:r>
    </w:p>
    <w:p>
      <w:pPr>
        <w:spacing w:after="0" w:line="225" w:lineRule="exact"/>
        <w:rPr>
          <w:sz w:val="20"/>
          <w:szCs w:val="20"/>
          <w:color w:val="auto"/>
        </w:rPr>
      </w:pPr>
    </w:p>
    <w:p>
      <w:pPr>
        <w:ind w:left="1500" w:right="7100" w:hanging="1078"/>
        <w:spacing w:after="0" w:line="578" w:lineRule="auto"/>
        <w:tabs>
          <w:tab w:leader="none" w:pos="150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NAMES OF REPORTING PERSONS: ATLAS VENTURE FUND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500" w:hanging="1078"/>
        <w:spacing w:after="0"/>
        <w:tabs>
          <w:tab w:leader="none" w:pos="15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50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1500" w:hanging="1078"/>
        <w:spacing w:after="0"/>
        <w:tabs>
          <w:tab w:leader="none" w:pos="15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500" w:right="6420" w:hanging="1078"/>
        <w:spacing w:after="0" w:line="514" w:lineRule="auto"/>
        <w:tabs>
          <w:tab w:leader="none" w:pos="15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500" w:hanging="1078"/>
        <w:spacing w:after="0"/>
        <w:tabs>
          <w:tab w:leader="none" w:pos="15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92" w:lineRule="exact"/>
        <w:rPr>
          <w:rFonts w:ascii="Arial" w:cs="Arial" w:eastAsia="Arial" w:hAnsi="Arial"/>
          <w:sz w:val="18"/>
          <w:szCs w:val="18"/>
          <w:b w:val="1"/>
          <w:bCs w:val="1"/>
          <w:color w:val="auto"/>
        </w:rPr>
      </w:pPr>
    </w:p>
    <w:p>
      <w:pPr>
        <w:ind w:left="15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2" w:lineRule="exact"/>
        <w:rPr>
          <w:sz w:val="20"/>
          <w:szCs w:val="20"/>
          <w:color w:val="auto"/>
        </w:rPr>
      </w:pPr>
    </w:p>
    <w:p>
      <w:pPr>
        <w:ind w:left="1500" w:right="6200" w:hanging="1078"/>
        <w:spacing w:after="0" w:line="528" w:lineRule="auto"/>
        <w:tabs>
          <w:tab w:leader="none" w:pos="15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8340" w:type="dxa"/>
            <w:vAlign w:val="bottom"/>
          </w:tcPr>
          <w:p>
            <w:pPr>
              <w:ind w:left="4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6"/>
              </w:rPr>
              <w:t>NUMBER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8340" w:type="dxa"/>
            <w:vAlign w:val="bottom"/>
          </w:tcPr>
          <w:p>
            <w:pPr>
              <w:ind w:left="4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9"/>
        </w:trPr>
        <w:tc>
          <w:tcPr>
            <w:tcW w:w="16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1"/>
              </w:rPr>
              <w:t>SHARES</w:t>
            </w:r>
          </w:p>
        </w:tc>
        <w:tc>
          <w:tcPr>
            <w:tcW w:w="1120" w:type="dxa"/>
            <w:vAlign w:val="bottom"/>
          </w:tcPr>
          <w:p>
            <w:pPr>
              <w:spacing w:after="0"/>
              <w:rPr>
                <w:sz w:val="23"/>
                <w:szCs w:val="23"/>
                <w:color w:val="auto"/>
              </w:rPr>
            </w:pPr>
          </w:p>
        </w:tc>
        <w:tc>
          <w:tcPr>
            <w:tcW w:w="8340" w:type="dxa"/>
            <w:vAlign w:val="bottom"/>
          </w:tcPr>
          <w:p>
            <w:pPr>
              <w:ind w:left="460"/>
              <w:spacing w:after="0" w:line="271" w:lineRule="exact"/>
              <w:rPr>
                <w:sz w:val="20"/>
                <w:szCs w:val="20"/>
                <w:color w:val="auto"/>
              </w:rPr>
            </w:pPr>
            <w:r>
              <w:rPr>
                <w:rFonts w:ascii="Arial" w:cs="Arial" w:eastAsia="Arial" w:hAnsi="Arial"/>
                <w:sz w:val="18"/>
                <w:szCs w:val="18"/>
                <w:color w:val="auto"/>
              </w:rPr>
              <w:t>4,756,478</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61"/>
        </w:trPr>
        <w:tc>
          <w:tcPr>
            <w:tcW w:w="1620" w:type="dxa"/>
            <w:vAlign w:val="bottom"/>
          </w:tcPr>
          <w:p>
            <w:pPr>
              <w:jc w:val="center"/>
              <w:ind w:right="250"/>
              <w:spacing w:after="0" w:line="161" w:lineRule="exact"/>
              <w:rPr>
                <w:sz w:val="20"/>
                <w:szCs w:val="20"/>
                <w:color w:val="auto"/>
              </w:rPr>
            </w:pPr>
            <w:r>
              <w:rPr>
                <w:rFonts w:ascii="Arial" w:cs="Arial" w:eastAsia="Arial" w:hAnsi="Arial"/>
                <w:sz w:val="18"/>
                <w:szCs w:val="18"/>
                <w:color w:val="auto"/>
              </w:rPr>
              <w:t>BENEFICIALLY</w:t>
            </w:r>
          </w:p>
        </w:tc>
        <w:tc>
          <w:tcPr>
            <w:tcW w:w="11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1120" w:type="dxa"/>
            <w:vAlign w:val="bottom"/>
            <w:tcBorders>
              <w:bottom w:val="single" w:sz="8" w:color="auto"/>
            </w:tcBorders>
          </w:tcPr>
          <w:p>
            <w:pPr>
              <w:spacing w:after="0"/>
              <w:rPr>
                <w:sz w:val="10"/>
                <w:szCs w:val="10"/>
                <w:color w:val="auto"/>
              </w:rPr>
            </w:pPr>
          </w:p>
        </w:tc>
        <w:tc>
          <w:tcPr>
            <w:tcW w:w="8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20" w:type="dxa"/>
            <w:vAlign w:val="bottom"/>
            <w:vMerge w:val="continue"/>
          </w:tcPr>
          <w:p>
            <w:pPr>
              <w:spacing w:after="0"/>
              <w:rPr>
                <w:sz w:val="6"/>
                <w:szCs w:val="6"/>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1120" w:type="dxa"/>
            <w:vAlign w:val="bottom"/>
            <w:vMerge w:val="continue"/>
          </w:tcPr>
          <w:p>
            <w:pPr>
              <w:spacing w:after="0"/>
              <w:rPr>
                <w:sz w:val="13"/>
                <w:szCs w:val="13"/>
                <w:color w:val="auto"/>
              </w:rPr>
            </w:pPr>
          </w:p>
        </w:tc>
        <w:tc>
          <w:tcPr>
            <w:tcW w:w="8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6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1120" w:type="dxa"/>
            <w:vAlign w:val="bottom"/>
          </w:tcPr>
          <w:p>
            <w:pPr>
              <w:spacing w:after="0"/>
              <w:rPr>
                <w:sz w:val="18"/>
                <w:szCs w:val="18"/>
                <w:color w:val="auto"/>
              </w:rPr>
            </w:pP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620" w:type="dxa"/>
            <w:vAlign w:val="bottom"/>
            <w:vMerge w:val="restart"/>
          </w:tcPr>
          <w:p>
            <w:pPr>
              <w:jc w:val="center"/>
              <w:ind w:right="290"/>
              <w:spacing w:after="0"/>
              <w:rPr>
                <w:sz w:val="20"/>
                <w:szCs w:val="20"/>
                <w:color w:val="auto"/>
              </w:rPr>
            </w:pPr>
            <w:r>
              <w:rPr>
                <w:rFonts w:ascii="Arial" w:cs="Arial" w:eastAsia="Arial" w:hAnsi="Arial"/>
                <w:sz w:val="18"/>
                <w:szCs w:val="18"/>
                <w:color w:val="auto"/>
                <w:w w:val="94"/>
              </w:rPr>
              <w:t>PERSON WITH</w:t>
            </w:r>
          </w:p>
        </w:tc>
        <w:tc>
          <w:tcPr>
            <w:tcW w:w="1120" w:type="dxa"/>
            <w:vAlign w:val="bottom"/>
          </w:tcPr>
          <w:p>
            <w:pPr>
              <w:spacing w:after="0"/>
              <w:rPr>
                <w:sz w:val="11"/>
                <w:szCs w:val="11"/>
                <w:color w:val="auto"/>
              </w:rPr>
            </w:pPr>
          </w:p>
        </w:tc>
        <w:tc>
          <w:tcPr>
            <w:tcW w:w="8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8340" w:type="dxa"/>
            <w:vAlign w:val="bottom"/>
          </w:tcPr>
          <w:p>
            <w:pPr>
              <w:ind w:left="4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77"/>
        </w:trPr>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4,756,478</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9" w:lineRule="exact"/>
        <w:rPr>
          <w:sz w:val="20"/>
          <w:szCs w:val="20"/>
          <w:color w:val="auto"/>
        </w:rPr>
      </w:pPr>
    </w:p>
    <w:p>
      <w:pPr>
        <w:ind w:left="1500" w:hanging="1118"/>
        <w:spacing w:after="0"/>
        <w:tabs>
          <w:tab w:leader="none" w:pos="150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8"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4,756,478</w:t>
      </w:r>
      <w:r>
        <w:rPr>
          <w:rFonts w:ascii="Arial" w:cs="Arial" w:eastAsia="Arial" w:hAnsi="Arial"/>
          <w:sz w:val="30"/>
          <w:szCs w:val="30"/>
          <w:color w:val="auto"/>
          <w:vertAlign w:val="superscript"/>
        </w:rPr>
        <w:t>1</w:t>
      </w:r>
    </w:p>
    <w:p>
      <w:pPr>
        <w:spacing w:after="0" w:line="151" w:lineRule="exact"/>
        <w:rPr>
          <w:rFonts w:ascii="Arial" w:cs="Arial" w:eastAsia="Arial" w:hAnsi="Arial"/>
          <w:sz w:val="18"/>
          <w:szCs w:val="18"/>
          <w:b w:val="1"/>
          <w:bCs w:val="1"/>
          <w:color w:val="auto"/>
        </w:rPr>
      </w:pPr>
    </w:p>
    <w:p>
      <w:pPr>
        <w:ind w:left="1500" w:hanging="1123"/>
        <w:spacing w:after="0"/>
        <w:tabs>
          <w:tab w:leader="none" w:pos="150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192" w:lineRule="exact"/>
        <w:rPr>
          <w:rFonts w:ascii="Arial" w:cs="Arial" w:eastAsia="Arial" w:hAnsi="Arial"/>
          <w:sz w:val="18"/>
          <w:szCs w:val="18"/>
          <w:b w:val="1"/>
          <w:bCs w:val="1"/>
          <w:color w:val="auto"/>
        </w:rPr>
      </w:pPr>
    </w:p>
    <w:p>
      <w:pPr>
        <w:ind w:left="15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1" w:lineRule="exact"/>
        <w:rPr>
          <w:rFonts w:ascii="Arial" w:cs="Arial" w:eastAsia="Arial" w:hAnsi="Arial"/>
          <w:sz w:val="18"/>
          <w:szCs w:val="18"/>
          <w:b w:val="1"/>
          <w:bCs w:val="1"/>
          <w:color w:val="auto"/>
        </w:rPr>
      </w:pPr>
    </w:p>
    <w:p>
      <w:pPr>
        <w:ind w:left="1500" w:hanging="1123"/>
        <w:spacing w:after="0"/>
        <w:tabs>
          <w:tab w:leader="none" w:pos="150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8"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15.1%</w:t>
      </w:r>
      <w:r>
        <w:rPr>
          <w:rFonts w:ascii="Arial" w:cs="Arial" w:eastAsia="Arial" w:hAnsi="Arial"/>
          <w:sz w:val="30"/>
          <w:szCs w:val="30"/>
          <w:color w:val="auto"/>
          <w:vertAlign w:val="superscript"/>
        </w:rPr>
        <w:t>2</w:t>
      </w:r>
    </w:p>
    <w:p>
      <w:pPr>
        <w:spacing w:after="0" w:line="151" w:lineRule="exact"/>
        <w:rPr>
          <w:rFonts w:ascii="Arial" w:cs="Arial" w:eastAsia="Arial" w:hAnsi="Arial"/>
          <w:sz w:val="18"/>
          <w:szCs w:val="18"/>
          <w:b w:val="1"/>
          <w:bCs w:val="1"/>
          <w:color w:val="auto"/>
        </w:rPr>
      </w:pPr>
    </w:p>
    <w:p>
      <w:pPr>
        <w:ind w:left="1500" w:right="5540" w:hanging="1123"/>
        <w:spacing w:after="0" w:line="528" w:lineRule="auto"/>
        <w:tabs>
          <w:tab w:leader="none" w:pos="150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196" w:lineRule="exact"/>
        <w:rPr>
          <w:rFonts w:ascii="Arial" w:cs="Arial" w:eastAsia="Arial" w:hAnsi="Arial"/>
          <w:sz w:val="18"/>
          <w:szCs w:val="18"/>
          <w:b w:val="1"/>
          <w:bCs w:val="1"/>
          <w:color w:val="auto"/>
        </w:rPr>
      </w:pPr>
    </w:p>
    <w:p>
      <w:pPr>
        <w:jc w:val="right"/>
        <w:ind w:left="820" w:hanging="810"/>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4,756,478 shares of the Issuer’s Common Stock. All of these shares are held by Atlas X. AVA X LP is the general partner of Atlas X and AVA X LLC is the general partner of AVA X LP. Each of AVA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-701675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-1267460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-1859280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20"/>
        <w:spacing w:after="0" w:line="250" w:lineRule="auto"/>
        <w:rPr>
          <w:sz w:val="20"/>
          <w:szCs w:val="20"/>
          <w:color w:val="auto"/>
        </w:rPr>
      </w:pPr>
      <w:r>
        <w:rPr>
          <w:rFonts w:ascii="Arial" w:cs="Arial" w:eastAsia="Arial" w:hAnsi="Arial"/>
          <w:sz w:val="18"/>
          <w:szCs w:val="18"/>
          <w:color w:val="auto"/>
        </w:rPr>
        <w:t>LP and AVA X LLC has voting and dispositive power over the shares held by Atlas X. As such, each of the Fund X Reporting Persons share voting and dispositive power with respect to the shares held by Atlas X.</w:t>
      </w:r>
    </w:p>
    <w:p>
      <w:pPr>
        <w:spacing w:after="0" w:line="1" w:lineRule="exact"/>
        <w:rPr>
          <w:sz w:val="20"/>
          <w:szCs w:val="20"/>
          <w:color w:val="auto"/>
        </w:rPr>
      </w:pPr>
    </w:p>
    <w:p>
      <w:pPr>
        <w:ind w:left="820" w:hanging="812"/>
        <w:spacing w:after="0" w:line="261"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percentage is calculated based upon 31,551,762 outstanding shares of Common Stock of the Issuer as of July 19, 2019, as reported in the Issuer’s prospectus supplement filed with the Securities and Exchange Commission on July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463" w:gutter="0" w:footer="0" w:header="0"/>
        </w:sectPr>
      </w:pPr>
    </w:p>
    <w:bookmarkStart w:id="2" w:name="page3"/>
    <w:bookmarkEnd w:id="2"/>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05455M100</w:t>
      </w:r>
      <w:r>
        <w:rPr>
          <w:sz w:val="20"/>
          <w:szCs w:val="20"/>
          <w:color w:val="auto"/>
        </w:rPr>
        <w:tab/>
      </w:r>
      <w:r>
        <w:rPr>
          <w:rFonts w:ascii="Arial" w:cs="Arial" w:eastAsia="Arial" w:hAnsi="Arial"/>
          <w:sz w:val="15"/>
          <w:szCs w:val="15"/>
          <w:color w:val="auto"/>
        </w:rPr>
        <w:t>Page 3 of 13</w:t>
      </w:r>
    </w:p>
    <w:p>
      <w:pPr>
        <w:spacing w:after="0" w:line="225" w:lineRule="exact"/>
        <w:rPr>
          <w:sz w:val="20"/>
          <w:szCs w:val="20"/>
          <w:color w:val="auto"/>
        </w:rPr>
      </w:pPr>
    </w:p>
    <w:p>
      <w:pPr>
        <w:ind w:left="1500" w:right="6820" w:hanging="1078"/>
        <w:spacing w:after="0" w:line="544" w:lineRule="auto"/>
        <w:tabs>
          <w:tab w:leader="none" w:pos="150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500" w:hanging="1078"/>
        <w:spacing w:after="0"/>
        <w:tabs>
          <w:tab w:leader="none" w:pos="15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50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1500" w:hanging="1078"/>
        <w:spacing w:after="0"/>
        <w:tabs>
          <w:tab w:leader="none" w:pos="15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500" w:right="6420" w:hanging="1078"/>
        <w:spacing w:after="0" w:line="514" w:lineRule="auto"/>
        <w:tabs>
          <w:tab w:leader="none" w:pos="15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500" w:hanging="1078"/>
        <w:spacing w:after="0"/>
        <w:tabs>
          <w:tab w:leader="none" w:pos="1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92" w:lineRule="exact"/>
        <w:rPr>
          <w:rFonts w:ascii="Arial" w:cs="Arial" w:eastAsia="Arial" w:hAnsi="Arial"/>
          <w:sz w:val="18"/>
          <w:szCs w:val="18"/>
          <w:b w:val="1"/>
          <w:bCs w:val="1"/>
          <w:color w:val="auto"/>
        </w:rPr>
      </w:pPr>
    </w:p>
    <w:p>
      <w:pPr>
        <w:ind w:left="15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2" w:lineRule="exact"/>
        <w:rPr>
          <w:sz w:val="20"/>
          <w:szCs w:val="20"/>
          <w:color w:val="auto"/>
        </w:rPr>
      </w:pPr>
    </w:p>
    <w:p>
      <w:pPr>
        <w:ind w:left="1500" w:right="6200" w:hanging="1078"/>
        <w:spacing w:after="0" w:line="509" w:lineRule="auto"/>
        <w:tabs>
          <w:tab w:leader="none" w:pos="15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42"/>
        </w:trPr>
        <w:tc>
          <w:tcPr>
            <w:tcW w:w="19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83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7"/>
        </w:trPr>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8340" w:type="dxa"/>
            <w:vAlign w:val="bottom"/>
          </w:tcPr>
          <w:p>
            <w:pPr>
              <w:ind w:left="4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9"/>
        </w:trPr>
        <w:tc>
          <w:tcPr>
            <w:tcW w:w="19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9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120" w:type="dxa"/>
            <w:vAlign w:val="bottom"/>
          </w:tcPr>
          <w:p>
            <w:pPr>
              <w:spacing w:after="0"/>
              <w:rPr>
                <w:sz w:val="23"/>
                <w:szCs w:val="23"/>
                <w:color w:val="auto"/>
              </w:rPr>
            </w:pPr>
          </w:p>
        </w:tc>
        <w:tc>
          <w:tcPr>
            <w:tcW w:w="8340" w:type="dxa"/>
            <w:vAlign w:val="bottom"/>
          </w:tcPr>
          <w:p>
            <w:pPr>
              <w:ind w:left="460"/>
              <w:spacing w:after="0" w:line="271" w:lineRule="exact"/>
              <w:rPr>
                <w:sz w:val="20"/>
                <w:szCs w:val="20"/>
                <w:color w:val="auto"/>
              </w:rPr>
            </w:pPr>
            <w:r>
              <w:rPr>
                <w:rFonts w:ascii="Arial" w:cs="Arial" w:eastAsia="Arial" w:hAnsi="Arial"/>
                <w:sz w:val="18"/>
                <w:szCs w:val="18"/>
                <w:color w:val="auto"/>
              </w:rPr>
              <w:t>4,756,478</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61"/>
        </w:trPr>
        <w:tc>
          <w:tcPr>
            <w:tcW w:w="1960" w:type="dxa"/>
            <w:vAlign w:val="bottom"/>
          </w:tcPr>
          <w:p>
            <w:pPr>
              <w:jc w:val="center"/>
              <w:spacing w:after="0" w:line="161" w:lineRule="exact"/>
              <w:rPr>
                <w:sz w:val="20"/>
                <w:szCs w:val="20"/>
                <w:color w:val="auto"/>
              </w:rPr>
            </w:pPr>
            <w:r>
              <w:rPr>
                <w:rFonts w:ascii="Arial" w:cs="Arial" w:eastAsia="Arial" w:hAnsi="Arial"/>
                <w:sz w:val="18"/>
                <w:szCs w:val="18"/>
                <w:color w:val="auto"/>
              </w:rPr>
              <w:t>BENEFICIALLY</w:t>
            </w:r>
          </w:p>
        </w:tc>
        <w:tc>
          <w:tcPr>
            <w:tcW w:w="11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20" w:type="dxa"/>
            <w:vAlign w:val="bottom"/>
            <w:tcBorders>
              <w:bottom w:val="single" w:sz="8" w:color="auto"/>
            </w:tcBorders>
          </w:tcPr>
          <w:p>
            <w:pPr>
              <w:spacing w:after="0"/>
              <w:rPr>
                <w:sz w:val="10"/>
                <w:szCs w:val="10"/>
                <w:color w:val="auto"/>
              </w:rPr>
            </w:pPr>
          </w:p>
        </w:tc>
        <w:tc>
          <w:tcPr>
            <w:tcW w:w="8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120" w:type="dxa"/>
            <w:vAlign w:val="bottom"/>
            <w:vMerge w:val="continue"/>
          </w:tcPr>
          <w:p>
            <w:pPr>
              <w:spacing w:after="0"/>
              <w:rPr>
                <w:sz w:val="13"/>
                <w:szCs w:val="13"/>
                <w:color w:val="auto"/>
              </w:rPr>
            </w:pPr>
          </w:p>
        </w:tc>
        <w:tc>
          <w:tcPr>
            <w:tcW w:w="8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120" w:type="dxa"/>
            <w:vAlign w:val="bottom"/>
          </w:tcPr>
          <w:p>
            <w:pPr>
              <w:spacing w:after="0"/>
              <w:rPr>
                <w:sz w:val="18"/>
                <w:szCs w:val="18"/>
                <w:color w:val="auto"/>
              </w:rPr>
            </w:pP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120" w:type="dxa"/>
            <w:vAlign w:val="bottom"/>
          </w:tcPr>
          <w:p>
            <w:pPr>
              <w:spacing w:after="0"/>
              <w:rPr>
                <w:sz w:val="11"/>
                <w:szCs w:val="11"/>
                <w:color w:val="auto"/>
              </w:rPr>
            </w:pPr>
          </w:p>
        </w:tc>
        <w:tc>
          <w:tcPr>
            <w:tcW w:w="8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8340" w:type="dxa"/>
            <w:vAlign w:val="bottom"/>
          </w:tcPr>
          <w:p>
            <w:pPr>
              <w:ind w:left="4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77"/>
        </w:trPr>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4,756,478</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9" w:lineRule="exact"/>
        <w:rPr>
          <w:sz w:val="20"/>
          <w:szCs w:val="20"/>
          <w:color w:val="auto"/>
        </w:rPr>
      </w:pPr>
    </w:p>
    <w:p>
      <w:pPr>
        <w:ind w:left="1500" w:hanging="1118"/>
        <w:spacing w:after="0"/>
        <w:tabs>
          <w:tab w:leader="none" w:pos="150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8"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4,756,478</w:t>
      </w:r>
      <w:r>
        <w:rPr>
          <w:rFonts w:ascii="Arial" w:cs="Arial" w:eastAsia="Arial" w:hAnsi="Arial"/>
          <w:sz w:val="30"/>
          <w:szCs w:val="30"/>
          <w:color w:val="auto"/>
          <w:vertAlign w:val="superscript"/>
        </w:rPr>
        <w:t>1</w:t>
      </w:r>
    </w:p>
    <w:p>
      <w:pPr>
        <w:spacing w:after="0" w:line="151" w:lineRule="exact"/>
        <w:rPr>
          <w:rFonts w:ascii="Arial" w:cs="Arial" w:eastAsia="Arial" w:hAnsi="Arial"/>
          <w:sz w:val="18"/>
          <w:szCs w:val="18"/>
          <w:b w:val="1"/>
          <w:bCs w:val="1"/>
          <w:color w:val="auto"/>
        </w:rPr>
      </w:pPr>
    </w:p>
    <w:p>
      <w:pPr>
        <w:ind w:left="1500" w:hanging="1123"/>
        <w:spacing w:after="0"/>
        <w:tabs>
          <w:tab w:leader="none" w:pos="150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192" w:lineRule="exact"/>
        <w:rPr>
          <w:rFonts w:ascii="Arial" w:cs="Arial" w:eastAsia="Arial" w:hAnsi="Arial"/>
          <w:sz w:val="18"/>
          <w:szCs w:val="18"/>
          <w:b w:val="1"/>
          <w:bCs w:val="1"/>
          <w:color w:val="auto"/>
        </w:rPr>
      </w:pPr>
    </w:p>
    <w:p>
      <w:pPr>
        <w:ind w:left="15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1" w:lineRule="exact"/>
        <w:rPr>
          <w:rFonts w:ascii="Arial" w:cs="Arial" w:eastAsia="Arial" w:hAnsi="Arial"/>
          <w:sz w:val="18"/>
          <w:szCs w:val="18"/>
          <w:b w:val="1"/>
          <w:bCs w:val="1"/>
          <w:color w:val="auto"/>
        </w:rPr>
      </w:pPr>
    </w:p>
    <w:p>
      <w:pPr>
        <w:ind w:left="1500" w:hanging="1123"/>
        <w:spacing w:after="0"/>
        <w:tabs>
          <w:tab w:leader="none" w:pos="150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8"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15.1%</w:t>
      </w:r>
      <w:r>
        <w:rPr>
          <w:rFonts w:ascii="Arial" w:cs="Arial" w:eastAsia="Arial" w:hAnsi="Arial"/>
          <w:sz w:val="30"/>
          <w:szCs w:val="30"/>
          <w:color w:val="auto"/>
          <w:vertAlign w:val="superscript"/>
        </w:rPr>
        <w:t>2</w:t>
      </w:r>
    </w:p>
    <w:p>
      <w:pPr>
        <w:spacing w:after="0" w:line="151" w:lineRule="exact"/>
        <w:rPr>
          <w:rFonts w:ascii="Arial" w:cs="Arial" w:eastAsia="Arial" w:hAnsi="Arial"/>
          <w:sz w:val="18"/>
          <w:szCs w:val="18"/>
          <w:b w:val="1"/>
          <w:bCs w:val="1"/>
          <w:color w:val="auto"/>
        </w:rPr>
      </w:pPr>
    </w:p>
    <w:p>
      <w:pPr>
        <w:ind w:left="1500" w:right="5540" w:hanging="1123"/>
        <w:spacing w:after="0" w:line="528" w:lineRule="auto"/>
        <w:tabs>
          <w:tab w:leader="none" w:pos="1500"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196" w:lineRule="exact"/>
        <w:rPr>
          <w:rFonts w:ascii="Arial" w:cs="Arial" w:eastAsia="Arial" w:hAnsi="Arial"/>
          <w:sz w:val="18"/>
          <w:szCs w:val="18"/>
          <w:b w:val="1"/>
          <w:bCs w:val="1"/>
          <w:color w:val="auto"/>
        </w:rPr>
      </w:pPr>
    </w:p>
    <w:p>
      <w:pPr>
        <w:jc w:val="right"/>
        <w:ind w:left="820" w:hanging="810"/>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4,756,478 shares of the Issuer’s Common Stock. All of these shares are held by Atlas X. AVA X LP is the general partner of Atlas X and AVA X LLC is the general partner of AVA X LP. Each of AVA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-701675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-1267460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-1859280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20"/>
        <w:spacing w:after="0" w:line="250" w:lineRule="auto"/>
        <w:rPr>
          <w:sz w:val="20"/>
          <w:szCs w:val="20"/>
          <w:color w:val="auto"/>
        </w:rPr>
      </w:pPr>
      <w:r>
        <w:rPr>
          <w:rFonts w:ascii="Arial" w:cs="Arial" w:eastAsia="Arial" w:hAnsi="Arial"/>
          <w:sz w:val="18"/>
          <w:szCs w:val="18"/>
          <w:color w:val="auto"/>
        </w:rPr>
        <w:t>LP and AVA X LLC has voting and dispositive power over the shares held by Atlas X. As such, each of the Fund X Reporting Persons share voting and dispositive power with respect to the shares held by Atlas X.</w:t>
      </w:r>
    </w:p>
    <w:p>
      <w:pPr>
        <w:spacing w:after="0" w:line="1" w:lineRule="exact"/>
        <w:rPr>
          <w:sz w:val="20"/>
          <w:szCs w:val="20"/>
          <w:color w:val="auto"/>
        </w:rPr>
      </w:pPr>
    </w:p>
    <w:p>
      <w:pPr>
        <w:ind w:left="820" w:hanging="812"/>
        <w:spacing w:after="0" w:line="261"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percentage is calculated based upon 31,551,762 outstanding shares of Common Stock of the Issuer as of July 19, 2019, as reported in the Issuer’s prospectus supplement filed with the Securities and Exchange Commission on July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477" w:gutter="0" w:footer="0" w:header="0"/>
        </w:sectPr>
      </w:pPr>
    </w:p>
    <w:bookmarkStart w:id="3" w:name="page4"/>
    <w:bookmarkEnd w:id="3"/>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05455M100</w:t>
      </w:r>
      <w:r>
        <w:rPr>
          <w:sz w:val="20"/>
          <w:szCs w:val="20"/>
          <w:color w:val="auto"/>
        </w:rPr>
        <w:tab/>
      </w:r>
      <w:r>
        <w:rPr>
          <w:rFonts w:ascii="Arial" w:cs="Arial" w:eastAsia="Arial" w:hAnsi="Arial"/>
          <w:sz w:val="15"/>
          <w:szCs w:val="15"/>
          <w:color w:val="auto"/>
        </w:rPr>
        <w:t>Page 4 of 13</w:t>
      </w:r>
    </w:p>
    <w:p>
      <w:pPr>
        <w:spacing w:after="0" w:line="225" w:lineRule="exact"/>
        <w:rPr>
          <w:sz w:val="20"/>
          <w:szCs w:val="20"/>
          <w:color w:val="auto"/>
        </w:rPr>
      </w:pPr>
    </w:p>
    <w:p>
      <w:pPr>
        <w:ind w:left="1500" w:right="6760" w:hanging="1078"/>
        <w:spacing w:after="0" w:line="544" w:lineRule="auto"/>
        <w:tabs>
          <w:tab w:leader="none" w:pos="150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NAMES OF REPORTING PERSONS: ATLAS VENTURE ASSOCIATES 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500" w:hanging="1078"/>
        <w:spacing w:after="0"/>
        <w:tabs>
          <w:tab w:leader="none" w:pos="15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50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1500" w:hanging="1078"/>
        <w:spacing w:after="0"/>
        <w:tabs>
          <w:tab w:leader="none" w:pos="15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500" w:right="6420" w:hanging="1078"/>
        <w:spacing w:after="0" w:line="514" w:lineRule="auto"/>
        <w:tabs>
          <w:tab w:leader="none" w:pos="15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500" w:hanging="1078"/>
        <w:spacing w:after="0"/>
        <w:tabs>
          <w:tab w:leader="none" w:pos="15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92" w:lineRule="exact"/>
        <w:rPr>
          <w:rFonts w:ascii="Arial" w:cs="Arial" w:eastAsia="Arial" w:hAnsi="Arial"/>
          <w:sz w:val="18"/>
          <w:szCs w:val="18"/>
          <w:b w:val="1"/>
          <w:bCs w:val="1"/>
          <w:color w:val="auto"/>
        </w:rPr>
      </w:pPr>
    </w:p>
    <w:p>
      <w:pPr>
        <w:ind w:left="15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2" w:lineRule="exact"/>
        <w:rPr>
          <w:sz w:val="20"/>
          <w:szCs w:val="20"/>
          <w:color w:val="auto"/>
        </w:rPr>
      </w:pPr>
    </w:p>
    <w:p>
      <w:pPr>
        <w:ind w:left="1500" w:right="6200" w:hanging="1078"/>
        <w:spacing w:after="0" w:line="509" w:lineRule="auto"/>
        <w:tabs>
          <w:tab w:leader="none" w:pos="15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42"/>
        </w:trPr>
        <w:tc>
          <w:tcPr>
            <w:tcW w:w="19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83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7"/>
        </w:trPr>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8340" w:type="dxa"/>
            <w:vAlign w:val="bottom"/>
          </w:tcPr>
          <w:p>
            <w:pPr>
              <w:ind w:left="4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9"/>
        </w:trPr>
        <w:tc>
          <w:tcPr>
            <w:tcW w:w="19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9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120" w:type="dxa"/>
            <w:vAlign w:val="bottom"/>
          </w:tcPr>
          <w:p>
            <w:pPr>
              <w:spacing w:after="0"/>
              <w:rPr>
                <w:sz w:val="23"/>
                <w:szCs w:val="23"/>
                <w:color w:val="auto"/>
              </w:rPr>
            </w:pPr>
          </w:p>
        </w:tc>
        <w:tc>
          <w:tcPr>
            <w:tcW w:w="8340" w:type="dxa"/>
            <w:vAlign w:val="bottom"/>
          </w:tcPr>
          <w:p>
            <w:pPr>
              <w:ind w:left="460"/>
              <w:spacing w:after="0" w:line="271" w:lineRule="exact"/>
              <w:rPr>
                <w:sz w:val="20"/>
                <w:szCs w:val="20"/>
                <w:color w:val="auto"/>
              </w:rPr>
            </w:pPr>
            <w:r>
              <w:rPr>
                <w:rFonts w:ascii="Arial" w:cs="Arial" w:eastAsia="Arial" w:hAnsi="Arial"/>
                <w:sz w:val="18"/>
                <w:szCs w:val="18"/>
                <w:color w:val="auto"/>
              </w:rPr>
              <w:t>4,756,478</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61"/>
        </w:trPr>
        <w:tc>
          <w:tcPr>
            <w:tcW w:w="1960" w:type="dxa"/>
            <w:vAlign w:val="bottom"/>
          </w:tcPr>
          <w:p>
            <w:pPr>
              <w:jc w:val="center"/>
              <w:spacing w:after="0" w:line="161" w:lineRule="exact"/>
              <w:rPr>
                <w:sz w:val="20"/>
                <w:szCs w:val="20"/>
                <w:color w:val="auto"/>
              </w:rPr>
            </w:pPr>
            <w:r>
              <w:rPr>
                <w:rFonts w:ascii="Arial" w:cs="Arial" w:eastAsia="Arial" w:hAnsi="Arial"/>
                <w:sz w:val="18"/>
                <w:szCs w:val="18"/>
                <w:color w:val="auto"/>
              </w:rPr>
              <w:t>BENEFICIALLY</w:t>
            </w:r>
          </w:p>
        </w:tc>
        <w:tc>
          <w:tcPr>
            <w:tcW w:w="11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20" w:type="dxa"/>
            <w:vAlign w:val="bottom"/>
            <w:tcBorders>
              <w:bottom w:val="single" w:sz="8" w:color="auto"/>
            </w:tcBorders>
          </w:tcPr>
          <w:p>
            <w:pPr>
              <w:spacing w:after="0"/>
              <w:rPr>
                <w:sz w:val="10"/>
                <w:szCs w:val="10"/>
                <w:color w:val="auto"/>
              </w:rPr>
            </w:pPr>
          </w:p>
        </w:tc>
        <w:tc>
          <w:tcPr>
            <w:tcW w:w="8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120" w:type="dxa"/>
            <w:vAlign w:val="bottom"/>
            <w:vMerge w:val="continue"/>
          </w:tcPr>
          <w:p>
            <w:pPr>
              <w:spacing w:after="0"/>
              <w:rPr>
                <w:sz w:val="13"/>
                <w:szCs w:val="13"/>
                <w:color w:val="auto"/>
              </w:rPr>
            </w:pPr>
          </w:p>
        </w:tc>
        <w:tc>
          <w:tcPr>
            <w:tcW w:w="8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120" w:type="dxa"/>
            <w:vAlign w:val="bottom"/>
          </w:tcPr>
          <w:p>
            <w:pPr>
              <w:spacing w:after="0"/>
              <w:rPr>
                <w:sz w:val="18"/>
                <w:szCs w:val="18"/>
                <w:color w:val="auto"/>
              </w:rPr>
            </w:pP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120" w:type="dxa"/>
            <w:vAlign w:val="bottom"/>
          </w:tcPr>
          <w:p>
            <w:pPr>
              <w:spacing w:after="0"/>
              <w:rPr>
                <w:sz w:val="11"/>
                <w:szCs w:val="11"/>
                <w:color w:val="auto"/>
              </w:rPr>
            </w:pPr>
          </w:p>
        </w:tc>
        <w:tc>
          <w:tcPr>
            <w:tcW w:w="8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8340" w:type="dxa"/>
            <w:vAlign w:val="bottom"/>
          </w:tcPr>
          <w:p>
            <w:pPr>
              <w:ind w:left="4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77"/>
        </w:trPr>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4,756,478</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9" w:lineRule="exact"/>
        <w:rPr>
          <w:sz w:val="20"/>
          <w:szCs w:val="20"/>
          <w:color w:val="auto"/>
        </w:rPr>
      </w:pPr>
    </w:p>
    <w:p>
      <w:pPr>
        <w:ind w:left="1500" w:hanging="1118"/>
        <w:spacing w:after="0"/>
        <w:tabs>
          <w:tab w:leader="none" w:pos="150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8"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4,756,478</w:t>
      </w:r>
      <w:r>
        <w:rPr>
          <w:rFonts w:ascii="Arial" w:cs="Arial" w:eastAsia="Arial" w:hAnsi="Arial"/>
          <w:sz w:val="30"/>
          <w:szCs w:val="30"/>
          <w:color w:val="auto"/>
          <w:vertAlign w:val="superscript"/>
        </w:rPr>
        <w:t>1</w:t>
      </w:r>
    </w:p>
    <w:p>
      <w:pPr>
        <w:spacing w:after="0" w:line="151" w:lineRule="exact"/>
        <w:rPr>
          <w:rFonts w:ascii="Arial" w:cs="Arial" w:eastAsia="Arial" w:hAnsi="Arial"/>
          <w:sz w:val="18"/>
          <w:szCs w:val="18"/>
          <w:b w:val="1"/>
          <w:bCs w:val="1"/>
          <w:color w:val="auto"/>
        </w:rPr>
      </w:pPr>
    </w:p>
    <w:p>
      <w:pPr>
        <w:ind w:left="1500" w:hanging="1123"/>
        <w:spacing w:after="0"/>
        <w:tabs>
          <w:tab w:leader="none" w:pos="150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192" w:lineRule="exact"/>
        <w:rPr>
          <w:rFonts w:ascii="Arial" w:cs="Arial" w:eastAsia="Arial" w:hAnsi="Arial"/>
          <w:sz w:val="18"/>
          <w:szCs w:val="18"/>
          <w:b w:val="1"/>
          <w:bCs w:val="1"/>
          <w:color w:val="auto"/>
        </w:rPr>
      </w:pPr>
    </w:p>
    <w:p>
      <w:pPr>
        <w:ind w:left="15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1" w:lineRule="exact"/>
        <w:rPr>
          <w:rFonts w:ascii="Arial" w:cs="Arial" w:eastAsia="Arial" w:hAnsi="Arial"/>
          <w:sz w:val="18"/>
          <w:szCs w:val="18"/>
          <w:b w:val="1"/>
          <w:bCs w:val="1"/>
          <w:color w:val="auto"/>
        </w:rPr>
      </w:pPr>
    </w:p>
    <w:p>
      <w:pPr>
        <w:ind w:left="1500" w:hanging="1123"/>
        <w:spacing w:after="0"/>
        <w:tabs>
          <w:tab w:leader="none" w:pos="150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8"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15.1%</w:t>
      </w:r>
      <w:r>
        <w:rPr>
          <w:rFonts w:ascii="Arial" w:cs="Arial" w:eastAsia="Arial" w:hAnsi="Arial"/>
          <w:sz w:val="30"/>
          <w:szCs w:val="30"/>
          <w:color w:val="auto"/>
          <w:vertAlign w:val="superscript"/>
        </w:rPr>
        <w:t>2</w:t>
      </w:r>
    </w:p>
    <w:p>
      <w:pPr>
        <w:spacing w:after="0" w:line="151" w:lineRule="exact"/>
        <w:rPr>
          <w:rFonts w:ascii="Arial" w:cs="Arial" w:eastAsia="Arial" w:hAnsi="Arial"/>
          <w:sz w:val="18"/>
          <w:szCs w:val="18"/>
          <w:b w:val="1"/>
          <w:bCs w:val="1"/>
          <w:color w:val="auto"/>
        </w:rPr>
      </w:pPr>
    </w:p>
    <w:p>
      <w:pPr>
        <w:ind w:left="1500" w:right="5540" w:hanging="1123"/>
        <w:spacing w:after="0" w:line="528" w:lineRule="auto"/>
        <w:tabs>
          <w:tab w:leader="none" w:pos="150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196" w:lineRule="exact"/>
        <w:rPr>
          <w:rFonts w:ascii="Arial" w:cs="Arial" w:eastAsia="Arial" w:hAnsi="Arial"/>
          <w:sz w:val="18"/>
          <w:szCs w:val="18"/>
          <w:b w:val="1"/>
          <w:bCs w:val="1"/>
          <w:color w:val="auto"/>
        </w:rPr>
      </w:pPr>
    </w:p>
    <w:p>
      <w:pPr>
        <w:jc w:val="right"/>
        <w:ind w:left="820" w:hanging="810"/>
        <w:spacing w:after="0" w:line="285" w:lineRule="auto"/>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5,567,289 shares of the Issuer’s Common Stock. All of these shares are held by Atlas X. AVA X LP is the general partner of Atlas X and AVA X LLC is the general partner of AVA X LP. Each of AVA X LP and AVA X LLC has voting and dispositive power over the shares held by Atlas X. As such, each of the Fund X Reporting Persons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-1404620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-1995805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voting and dispositive power with respect to the shares held by Atlas X.</w:t>
      </w:r>
    </w:p>
    <w:p>
      <w:pPr>
        <w:spacing w:after="0" w:line="9" w:lineRule="exact"/>
        <w:rPr>
          <w:sz w:val="20"/>
          <w:szCs w:val="20"/>
          <w:color w:val="auto"/>
        </w:rPr>
      </w:pPr>
    </w:p>
    <w:p>
      <w:pPr>
        <w:ind w:left="820" w:hanging="812"/>
        <w:spacing w:after="0" w:line="261"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percentage is calculated based upon 31,551,762 outstanding shares of Common Stock of the Issuer as of July 19, 2019, as reported in the Issuer’s prospectus supplement filed with the Securities and Exchange Commission on July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477" w:gutter="0" w:footer="0" w:header="0"/>
        </w:sectPr>
      </w:pPr>
    </w:p>
    <w:bookmarkStart w:id="4" w:name="page5"/>
    <w:bookmarkEnd w:id="4"/>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05455M100</w:t>
      </w:r>
      <w:r>
        <w:rPr>
          <w:sz w:val="20"/>
          <w:szCs w:val="20"/>
          <w:color w:val="auto"/>
        </w:rPr>
        <w:tab/>
      </w:r>
      <w:r>
        <w:rPr>
          <w:rFonts w:ascii="Arial" w:cs="Arial" w:eastAsia="Arial" w:hAnsi="Arial"/>
          <w:sz w:val="15"/>
          <w:szCs w:val="15"/>
          <w:color w:val="auto"/>
        </w:rPr>
        <w:t>Page 5 of 13</w:t>
      </w:r>
    </w:p>
    <w:p>
      <w:pPr>
        <w:spacing w:after="0" w:line="225" w:lineRule="exact"/>
        <w:rPr>
          <w:sz w:val="20"/>
          <w:szCs w:val="20"/>
          <w:color w:val="auto"/>
        </w:rPr>
      </w:pPr>
    </w:p>
    <w:p>
      <w:pPr>
        <w:ind w:left="1500" w:hanging="1078"/>
        <w:spacing w:after="0"/>
        <w:tabs>
          <w:tab w:leader="none" w:pos="150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ATLAS VENTURE OPPORTUNITY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500" w:hanging="1078"/>
        <w:spacing w:after="0"/>
        <w:tabs>
          <w:tab w:leader="none" w:pos="150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50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1500" w:hanging="1078"/>
        <w:spacing w:after="0"/>
        <w:tabs>
          <w:tab w:leader="none" w:pos="15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500" w:right="6420" w:hanging="1078"/>
        <w:spacing w:after="0" w:line="514" w:lineRule="auto"/>
        <w:tabs>
          <w:tab w:leader="none" w:pos="150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500" w:hanging="1078"/>
        <w:spacing w:after="0"/>
        <w:tabs>
          <w:tab w:leader="none" w:pos="150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92" w:lineRule="exact"/>
        <w:rPr>
          <w:rFonts w:ascii="Arial" w:cs="Arial" w:eastAsia="Arial" w:hAnsi="Arial"/>
          <w:sz w:val="18"/>
          <w:szCs w:val="18"/>
          <w:b w:val="1"/>
          <w:bCs w:val="1"/>
          <w:color w:val="auto"/>
        </w:rPr>
      </w:pPr>
    </w:p>
    <w:p>
      <w:pPr>
        <w:ind w:left="15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2" w:lineRule="exact"/>
        <w:rPr>
          <w:sz w:val="20"/>
          <w:szCs w:val="20"/>
          <w:color w:val="auto"/>
        </w:rPr>
      </w:pPr>
    </w:p>
    <w:p>
      <w:pPr>
        <w:ind w:left="1500" w:right="6200" w:hanging="1078"/>
        <w:spacing w:after="0" w:line="509" w:lineRule="auto"/>
        <w:tabs>
          <w:tab w:leader="none" w:pos="150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42"/>
        </w:trPr>
        <w:tc>
          <w:tcPr>
            <w:tcW w:w="19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83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4"/>
        </w:trPr>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8340" w:type="dxa"/>
            <w:vAlign w:val="bottom"/>
          </w:tcPr>
          <w:p>
            <w:pPr>
              <w:ind w:left="4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9"/>
        </w:trPr>
        <w:tc>
          <w:tcPr>
            <w:tcW w:w="19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9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120" w:type="dxa"/>
            <w:vAlign w:val="bottom"/>
          </w:tcPr>
          <w:p>
            <w:pPr>
              <w:spacing w:after="0"/>
              <w:rPr>
                <w:sz w:val="23"/>
                <w:szCs w:val="23"/>
                <w:color w:val="auto"/>
              </w:rPr>
            </w:pPr>
          </w:p>
        </w:tc>
        <w:tc>
          <w:tcPr>
            <w:tcW w:w="8340" w:type="dxa"/>
            <w:vAlign w:val="bottom"/>
          </w:tcPr>
          <w:p>
            <w:pPr>
              <w:ind w:left="460"/>
              <w:spacing w:after="0" w:line="271" w:lineRule="exact"/>
              <w:rPr>
                <w:sz w:val="20"/>
                <w:szCs w:val="20"/>
                <w:color w:val="auto"/>
              </w:rPr>
            </w:pPr>
            <w:r>
              <w:rPr>
                <w:rFonts w:ascii="Arial" w:cs="Arial" w:eastAsia="Arial" w:hAnsi="Arial"/>
                <w:sz w:val="18"/>
                <w:szCs w:val="18"/>
                <w:color w:val="auto"/>
              </w:rPr>
              <w:t>810,811</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61"/>
        </w:trPr>
        <w:tc>
          <w:tcPr>
            <w:tcW w:w="1960" w:type="dxa"/>
            <w:vAlign w:val="bottom"/>
          </w:tcPr>
          <w:p>
            <w:pPr>
              <w:jc w:val="center"/>
              <w:spacing w:after="0" w:line="161" w:lineRule="exact"/>
              <w:rPr>
                <w:sz w:val="20"/>
                <w:szCs w:val="20"/>
                <w:color w:val="auto"/>
              </w:rPr>
            </w:pPr>
            <w:r>
              <w:rPr>
                <w:rFonts w:ascii="Arial" w:cs="Arial" w:eastAsia="Arial" w:hAnsi="Arial"/>
                <w:sz w:val="18"/>
                <w:szCs w:val="18"/>
                <w:color w:val="auto"/>
              </w:rPr>
              <w:t>BENEFICIALLY</w:t>
            </w:r>
          </w:p>
        </w:tc>
        <w:tc>
          <w:tcPr>
            <w:tcW w:w="11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20" w:type="dxa"/>
            <w:vAlign w:val="bottom"/>
            <w:tcBorders>
              <w:bottom w:val="single" w:sz="8" w:color="auto"/>
            </w:tcBorders>
          </w:tcPr>
          <w:p>
            <w:pPr>
              <w:spacing w:after="0"/>
              <w:rPr>
                <w:sz w:val="10"/>
                <w:szCs w:val="10"/>
                <w:color w:val="auto"/>
              </w:rPr>
            </w:pPr>
          </w:p>
        </w:tc>
        <w:tc>
          <w:tcPr>
            <w:tcW w:w="8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120" w:type="dxa"/>
            <w:vAlign w:val="bottom"/>
            <w:vMerge w:val="continue"/>
          </w:tcPr>
          <w:p>
            <w:pPr>
              <w:spacing w:after="0"/>
              <w:rPr>
                <w:sz w:val="13"/>
                <w:szCs w:val="13"/>
                <w:color w:val="auto"/>
              </w:rPr>
            </w:pPr>
          </w:p>
        </w:tc>
        <w:tc>
          <w:tcPr>
            <w:tcW w:w="8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120" w:type="dxa"/>
            <w:vAlign w:val="bottom"/>
          </w:tcPr>
          <w:p>
            <w:pPr>
              <w:spacing w:after="0"/>
              <w:rPr>
                <w:sz w:val="18"/>
                <w:szCs w:val="18"/>
                <w:color w:val="auto"/>
              </w:rPr>
            </w:pP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120" w:type="dxa"/>
            <w:vAlign w:val="bottom"/>
          </w:tcPr>
          <w:p>
            <w:pPr>
              <w:spacing w:after="0"/>
              <w:rPr>
                <w:sz w:val="11"/>
                <w:szCs w:val="11"/>
                <w:color w:val="auto"/>
              </w:rPr>
            </w:pPr>
          </w:p>
        </w:tc>
        <w:tc>
          <w:tcPr>
            <w:tcW w:w="8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8340" w:type="dxa"/>
            <w:vAlign w:val="bottom"/>
          </w:tcPr>
          <w:p>
            <w:pPr>
              <w:ind w:left="4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77"/>
        </w:trPr>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810,811</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6" w:lineRule="exact"/>
        <w:rPr>
          <w:sz w:val="20"/>
          <w:szCs w:val="20"/>
          <w:color w:val="auto"/>
        </w:rPr>
      </w:pPr>
    </w:p>
    <w:p>
      <w:pPr>
        <w:ind w:left="1500" w:hanging="1118"/>
        <w:spacing w:after="0"/>
        <w:tabs>
          <w:tab w:leader="none" w:pos="150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8"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810,811</w:t>
      </w:r>
      <w:r>
        <w:rPr>
          <w:rFonts w:ascii="Arial" w:cs="Arial" w:eastAsia="Arial" w:hAnsi="Arial"/>
          <w:sz w:val="30"/>
          <w:szCs w:val="30"/>
          <w:color w:val="auto"/>
          <w:vertAlign w:val="superscript"/>
        </w:rPr>
        <w:t>1</w:t>
      </w:r>
    </w:p>
    <w:p>
      <w:pPr>
        <w:spacing w:after="0" w:line="151" w:lineRule="exact"/>
        <w:rPr>
          <w:rFonts w:ascii="Arial" w:cs="Arial" w:eastAsia="Arial" w:hAnsi="Arial"/>
          <w:sz w:val="18"/>
          <w:szCs w:val="18"/>
          <w:b w:val="1"/>
          <w:bCs w:val="1"/>
          <w:color w:val="auto"/>
        </w:rPr>
      </w:pPr>
    </w:p>
    <w:p>
      <w:pPr>
        <w:ind w:left="1500" w:hanging="1123"/>
        <w:spacing w:after="0"/>
        <w:tabs>
          <w:tab w:leader="none" w:pos="150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192" w:lineRule="exact"/>
        <w:rPr>
          <w:rFonts w:ascii="Arial" w:cs="Arial" w:eastAsia="Arial" w:hAnsi="Arial"/>
          <w:sz w:val="18"/>
          <w:szCs w:val="18"/>
          <w:b w:val="1"/>
          <w:bCs w:val="1"/>
          <w:color w:val="auto"/>
        </w:rPr>
      </w:pPr>
    </w:p>
    <w:p>
      <w:pPr>
        <w:ind w:left="15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1" w:lineRule="exact"/>
        <w:rPr>
          <w:rFonts w:ascii="Arial" w:cs="Arial" w:eastAsia="Arial" w:hAnsi="Arial"/>
          <w:sz w:val="18"/>
          <w:szCs w:val="18"/>
          <w:b w:val="1"/>
          <w:bCs w:val="1"/>
          <w:color w:val="auto"/>
        </w:rPr>
      </w:pPr>
    </w:p>
    <w:p>
      <w:pPr>
        <w:ind w:left="1500" w:hanging="1123"/>
        <w:spacing w:after="0"/>
        <w:tabs>
          <w:tab w:leader="none" w:pos="150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8"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2.6%</w:t>
      </w:r>
      <w:r>
        <w:rPr>
          <w:rFonts w:ascii="Arial" w:cs="Arial" w:eastAsia="Arial" w:hAnsi="Arial"/>
          <w:sz w:val="30"/>
          <w:szCs w:val="30"/>
          <w:color w:val="auto"/>
          <w:vertAlign w:val="superscript"/>
        </w:rPr>
        <w:t>2</w:t>
      </w:r>
    </w:p>
    <w:p>
      <w:pPr>
        <w:spacing w:after="0" w:line="151" w:lineRule="exact"/>
        <w:rPr>
          <w:rFonts w:ascii="Arial" w:cs="Arial" w:eastAsia="Arial" w:hAnsi="Arial"/>
          <w:sz w:val="18"/>
          <w:szCs w:val="18"/>
          <w:b w:val="1"/>
          <w:bCs w:val="1"/>
          <w:color w:val="auto"/>
        </w:rPr>
      </w:pPr>
    </w:p>
    <w:p>
      <w:pPr>
        <w:ind w:left="1500" w:right="5540" w:hanging="1123"/>
        <w:spacing w:after="0" w:line="528" w:lineRule="auto"/>
        <w:tabs>
          <w:tab w:leader="none" w:pos="1500"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196" w:lineRule="exact"/>
        <w:rPr>
          <w:rFonts w:ascii="Arial" w:cs="Arial" w:eastAsia="Arial" w:hAnsi="Arial"/>
          <w:sz w:val="18"/>
          <w:szCs w:val="18"/>
          <w:b w:val="1"/>
          <w:bCs w:val="1"/>
          <w:color w:val="auto"/>
        </w:rPr>
      </w:pPr>
    </w:p>
    <w:p>
      <w:pPr>
        <w:jc w:val="right"/>
        <w:ind w:left="820" w:hanging="810"/>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810,811 shares of the Issuer’s Common St2.6%ock. All of these shares are held by AVOF. AVAO LP is the general partner of AVOF and AVAO LLC is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-701675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-1267460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-1859280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20"/>
        <w:spacing w:after="0" w:line="250" w:lineRule="auto"/>
        <w:rPr>
          <w:sz w:val="20"/>
          <w:szCs w:val="20"/>
          <w:color w:val="auto"/>
        </w:rPr>
      </w:pPr>
      <w:r>
        <w:rPr>
          <w:rFonts w:ascii="Arial" w:cs="Arial" w:eastAsia="Arial" w:hAnsi="Arial"/>
          <w:sz w:val="18"/>
          <w:szCs w:val="18"/>
          <w:color w:val="auto"/>
        </w:rPr>
        <w:t>partner of AVAO LP Each of AVAO LP and AVAO LLC has voting and dispositive power over the shares held by AVOF. As such, each of the Opportunity Fund Reporting Persons share voting and dispositive power with respect to the shares held by AVOF.</w:t>
      </w:r>
    </w:p>
    <w:p>
      <w:pPr>
        <w:spacing w:after="0" w:line="1" w:lineRule="exact"/>
        <w:rPr>
          <w:sz w:val="20"/>
          <w:szCs w:val="20"/>
          <w:color w:val="auto"/>
        </w:rPr>
      </w:pPr>
    </w:p>
    <w:p>
      <w:pPr>
        <w:ind w:left="820" w:hanging="812"/>
        <w:spacing w:after="0" w:line="261"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percentage is calculated based upon 31,551,762 outstanding shares of Common Stock of the Issuer as of July 19, 2019, as reported in the Issuer’s prospectus supplement filed with the Securities and Exchange Commission on July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504" w:gutter="0" w:footer="0" w:header="0"/>
        </w:sectPr>
      </w:pPr>
    </w:p>
    <w:bookmarkStart w:id="5" w:name="page6"/>
    <w:bookmarkEnd w:id="5"/>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05455M100</w:t>
      </w:r>
      <w:r>
        <w:rPr>
          <w:sz w:val="20"/>
          <w:szCs w:val="20"/>
          <w:color w:val="auto"/>
        </w:rPr>
        <w:tab/>
      </w:r>
      <w:r>
        <w:rPr>
          <w:rFonts w:ascii="Arial" w:cs="Arial" w:eastAsia="Arial" w:hAnsi="Arial"/>
          <w:sz w:val="15"/>
          <w:szCs w:val="15"/>
          <w:color w:val="auto"/>
        </w:rPr>
        <w:t>Page 6 of 13</w:t>
      </w:r>
    </w:p>
    <w:p>
      <w:pPr>
        <w:spacing w:after="0" w:line="225" w:lineRule="exact"/>
        <w:rPr>
          <w:sz w:val="20"/>
          <w:szCs w:val="20"/>
          <w:color w:val="auto"/>
        </w:rPr>
      </w:pPr>
    </w:p>
    <w:p>
      <w:pPr>
        <w:ind w:left="1500" w:hanging="1078"/>
        <w:spacing w:after="0"/>
        <w:tabs>
          <w:tab w:leader="none" w:pos="15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ATLAS VENTURE ASSOCIATES OPPORTUNITY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500" w:hanging="1078"/>
        <w:spacing w:after="0"/>
        <w:tabs>
          <w:tab w:leader="none" w:pos="150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50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1500" w:hanging="1078"/>
        <w:spacing w:after="0"/>
        <w:tabs>
          <w:tab w:leader="none" w:pos="15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500" w:right="6420" w:hanging="1078"/>
        <w:spacing w:after="0" w:line="514" w:lineRule="auto"/>
        <w:tabs>
          <w:tab w:leader="none" w:pos="15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500" w:hanging="1078"/>
        <w:spacing w:after="0"/>
        <w:tabs>
          <w:tab w:leader="none" w:pos="150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92" w:lineRule="exact"/>
        <w:rPr>
          <w:rFonts w:ascii="Arial" w:cs="Arial" w:eastAsia="Arial" w:hAnsi="Arial"/>
          <w:sz w:val="18"/>
          <w:szCs w:val="18"/>
          <w:b w:val="1"/>
          <w:bCs w:val="1"/>
          <w:color w:val="auto"/>
        </w:rPr>
      </w:pPr>
    </w:p>
    <w:p>
      <w:pPr>
        <w:ind w:left="15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2" w:lineRule="exact"/>
        <w:rPr>
          <w:sz w:val="20"/>
          <w:szCs w:val="20"/>
          <w:color w:val="auto"/>
        </w:rPr>
      </w:pPr>
    </w:p>
    <w:p>
      <w:pPr>
        <w:ind w:left="1500" w:right="6200" w:hanging="1078"/>
        <w:spacing w:after="0" w:line="509" w:lineRule="auto"/>
        <w:tabs>
          <w:tab w:leader="none" w:pos="150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42"/>
        </w:trPr>
        <w:tc>
          <w:tcPr>
            <w:tcW w:w="19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83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4"/>
        </w:trPr>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8340" w:type="dxa"/>
            <w:vAlign w:val="bottom"/>
          </w:tcPr>
          <w:p>
            <w:pPr>
              <w:ind w:left="4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9"/>
        </w:trPr>
        <w:tc>
          <w:tcPr>
            <w:tcW w:w="19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9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120" w:type="dxa"/>
            <w:vAlign w:val="bottom"/>
          </w:tcPr>
          <w:p>
            <w:pPr>
              <w:spacing w:after="0"/>
              <w:rPr>
                <w:sz w:val="23"/>
                <w:szCs w:val="23"/>
                <w:color w:val="auto"/>
              </w:rPr>
            </w:pPr>
          </w:p>
        </w:tc>
        <w:tc>
          <w:tcPr>
            <w:tcW w:w="8340" w:type="dxa"/>
            <w:vAlign w:val="bottom"/>
          </w:tcPr>
          <w:p>
            <w:pPr>
              <w:ind w:left="460"/>
              <w:spacing w:after="0" w:line="271" w:lineRule="exact"/>
              <w:rPr>
                <w:sz w:val="20"/>
                <w:szCs w:val="20"/>
                <w:color w:val="auto"/>
              </w:rPr>
            </w:pPr>
            <w:r>
              <w:rPr>
                <w:rFonts w:ascii="Arial" w:cs="Arial" w:eastAsia="Arial" w:hAnsi="Arial"/>
                <w:sz w:val="18"/>
                <w:szCs w:val="18"/>
                <w:color w:val="auto"/>
              </w:rPr>
              <w:t>810,811</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61"/>
        </w:trPr>
        <w:tc>
          <w:tcPr>
            <w:tcW w:w="1960" w:type="dxa"/>
            <w:vAlign w:val="bottom"/>
          </w:tcPr>
          <w:p>
            <w:pPr>
              <w:jc w:val="center"/>
              <w:spacing w:after="0" w:line="161" w:lineRule="exact"/>
              <w:rPr>
                <w:sz w:val="20"/>
                <w:szCs w:val="20"/>
                <w:color w:val="auto"/>
              </w:rPr>
            </w:pPr>
            <w:r>
              <w:rPr>
                <w:rFonts w:ascii="Arial" w:cs="Arial" w:eastAsia="Arial" w:hAnsi="Arial"/>
                <w:sz w:val="18"/>
                <w:szCs w:val="18"/>
                <w:color w:val="auto"/>
              </w:rPr>
              <w:t>BENEFICIALLY</w:t>
            </w:r>
          </w:p>
        </w:tc>
        <w:tc>
          <w:tcPr>
            <w:tcW w:w="11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20" w:type="dxa"/>
            <w:vAlign w:val="bottom"/>
            <w:tcBorders>
              <w:bottom w:val="single" w:sz="8" w:color="auto"/>
            </w:tcBorders>
          </w:tcPr>
          <w:p>
            <w:pPr>
              <w:spacing w:after="0"/>
              <w:rPr>
                <w:sz w:val="10"/>
                <w:szCs w:val="10"/>
                <w:color w:val="auto"/>
              </w:rPr>
            </w:pPr>
          </w:p>
        </w:tc>
        <w:tc>
          <w:tcPr>
            <w:tcW w:w="8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120" w:type="dxa"/>
            <w:vAlign w:val="bottom"/>
            <w:vMerge w:val="continue"/>
          </w:tcPr>
          <w:p>
            <w:pPr>
              <w:spacing w:after="0"/>
              <w:rPr>
                <w:sz w:val="13"/>
                <w:szCs w:val="13"/>
                <w:color w:val="auto"/>
              </w:rPr>
            </w:pPr>
          </w:p>
        </w:tc>
        <w:tc>
          <w:tcPr>
            <w:tcW w:w="8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120" w:type="dxa"/>
            <w:vAlign w:val="bottom"/>
          </w:tcPr>
          <w:p>
            <w:pPr>
              <w:spacing w:after="0"/>
              <w:rPr>
                <w:sz w:val="18"/>
                <w:szCs w:val="18"/>
                <w:color w:val="auto"/>
              </w:rPr>
            </w:pP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120" w:type="dxa"/>
            <w:vAlign w:val="bottom"/>
          </w:tcPr>
          <w:p>
            <w:pPr>
              <w:spacing w:after="0"/>
              <w:rPr>
                <w:sz w:val="11"/>
                <w:szCs w:val="11"/>
                <w:color w:val="auto"/>
              </w:rPr>
            </w:pPr>
          </w:p>
        </w:tc>
        <w:tc>
          <w:tcPr>
            <w:tcW w:w="8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8340" w:type="dxa"/>
            <w:vAlign w:val="bottom"/>
          </w:tcPr>
          <w:p>
            <w:pPr>
              <w:ind w:left="4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77"/>
        </w:trPr>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810,811</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6" w:lineRule="exact"/>
        <w:rPr>
          <w:sz w:val="20"/>
          <w:szCs w:val="20"/>
          <w:color w:val="auto"/>
        </w:rPr>
      </w:pPr>
    </w:p>
    <w:p>
      <w:pPr>
        <w:ind w:left="1500" w:hanging="1118"/>
        <w:spacing w:after="0"/>
        <w:tabs>
          <w:tab w:leader="none" w:pos="150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8"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810,811</w:t>
      </w:r>
      <w:r>
        <w:rPr>
          <w:rFonts w:ascii="Arial" w:cs="Arial" w:eastAsia="Arial" w:hAnsi="Arial"/>
          <w:sz w:val="30"/>
          <w:szCs w:val="30"/>
          <w:color w:val="auto"/>
          <w:vertAlign w:val="superscript"/>
        </w:rPr>
        <w:t>1</w:t>
      </w:r>
    </w:p>
    <w:p>
      <w:pPr>
        <w:spacing w:after="0" w:line="151" w:lineRule="exact"/>
        <w:rPr>
          <w:rFonts w:ascii="Arial" w:cs="Arial" w:eastAsia="Arial" w:hAnsi="Arial"/>
          <w:sz w:val="18"/>
          <w:szCs w:val="18"/>
          <w:b w:val="1"/>
          <w:bCs w:val="1"/>
          <w:color w:val="auto"/>
        </w:rPr>
      </w:pPr>
    </w:p>
    <w:p>
      <w:pPr>
        <w:ind w:left="1500" w:hanging="1123"/>
        <w:spacing w:after="0"/>
        <w:tabs>
          <w:tab w:leader="none" w:pos="150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192" w:lineRule="exact"/>
        <w:rPr>
          <w:rFonts w:ascii="Arial" w:cs="Arial" w:eastAsia="Arial" w:hAnsi="Arial"/>
          <w:sz w:val="18"/>
          <w:szCs w:val="18"/>
          <w:b w:val="1"/>
          <w:bCs w:val="1"/>
          <w:color w:val="auto"/>
        </w:rPr>
      </w:pPr>
    </w:p>
    <w:p>
      <w:pPr>
        <w:ind w:left="15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1" w:lineRule="exact"/>
        <w:rPr>
          <w:rFonts w:ascii="Arial" w:cs="Arial" w:eastAsia="Arial" w:hAnsi="Arial"/>
          <w:sz w:val="18"/>
          <w:szCs w:val="18"/>
          <w:b w:val="1"/>
          <w:bCs w:val="1"/>
          <w:color w:val="auto"/>
        </w:rPr>
      </w:pPr>
    </w:p>
    <w:p>
      <w:pPr>
        <w:ind w:left="1500" w:hanging="1123"/>
        <w:spacing w:after="0"/>
        <w:tabs>
          <w:tab w:leader="none" w:pos="150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8"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2.6%</w:t>
      </w:r>
      <w:r>
        <w:rPr>
          <w:rFonts w:ascii="Arial" w:cs="Arial" w:eastAsia="Arial" w:hAnsi="Arial"/>
          <w:sz w:val="30"/>
          <w:szCs w:val="30"/>
          <w:color w:val="auto"/>
          <w:vertAlign w:val="superscript"/>
        </w:rPr>
        <w:t>2</w:t>
      </w:r>
    </w:p>
    <w:p>
      <w:pPr>
        <w:spacing w:after="0" w:line="151" w:lineRule="exact"/>
        <w:rPr>
          <w:rFonts w:ascii="Arial" w:cs="Arial" w:eastAsia="Arial" w:hAnsi="Arial"/>
          <w:sz w:val="18"/>
          <w:szCs w:val="18"/>
          <w:b w:val="1"/>
          <w:bCs w:val="1"/>
          <w:color w:val="auto"/>
        </w:rPr>
      </w:pPr>
    </w:p>
    <w:p>
      <w:pPr>
        <w:ind w:left="1500" w:right="5540" w:hanging="1123"/>
        <w:spacing w:after="0" w:line="528" w:lineRule="auto"/>
        <w:tabs>
          <w:tab w:leader="none" w:pos="1500" w:val="left"/>
        </w:tabs>
        <w:numPr>
          <w:ilvl w:val="1"/>
          <w:numId w:val="4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196" w:lineRule="exact"/>
        <w:rPr>
          <w:rFonts w:ascii="Arial" w:cs="Arial" w:eastAsia="Arial" w:hAnsi="Arial"/>
          <w:sz w:val="18"/>
          <w:szCs w:val="18"/>
          <w:b w:val="1"/>
          <w:bCs w:val="1"/>
          <w:color w:val="auto"/>
        </w:rPr>
      </w:pPr>
    </w:p>
    <w:p>
      <w:pPr>
        <w:jc w:val="right"/>
        <w:ind w:left="820" w:hanging="810"/>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810,811 shares of the Issuer’s Common Stock. All of these shares are held by AVOF. AVAO LP is the general partner of AVOF and AVAO LLC is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-701675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-1267460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-1859280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20"/>
        <w:spacing w:after="0" w:line="250" w:lineRule="auto"/>
        <w:rPr>
          <w:sz w:val="20"/>
          <w:szCs w:val="20"/>
          <w:color w:val="auto"/>
        </w:rPr>
      </w:pPr>
      <w:r>
        <w:rPr>
          <w:rFonts w:ascii="Arial" w:cs="Arial" w:eastAsia="Arial" w:hAnsi="Arial"/>
          <w:sz w:val="18"/>
          <w:szCs w:val="18"/>
          <w:color w:val="auto"/>
        </w:rPr>
        <w:t>partner of AVAO LP Each of AVAO LP and AVAO LLC has voting and dispositive power over the shares held by AVOF. As such, each of the Opportunity Fund Reporting Persons share voting and dispositive power with respect to the shares held by AVOF.</w:t>
      </w:r>
    </w:p>
    <w:p>
      <w:pPr>
        <w:spacing w:after="0" w:line="1" w:lineRule="exact"/>
        <w:rPr>
          <w:sz w:val="20"/>
          <w:szCs w:val="20"/>
          <w:color w:val="auto"/>
        </w:rPr>
      </w:pPr>
    </w:p>
    <w:p>
      <w:pPr>
        <w:ind w:left="820" w:hanging="812"/>
        <w:spacing w:after="0" w:line="261"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percentage is calculated based upon 31,551,762 outstanding shares of Common Stock of the Issuer as of July 19, 2019 as reported in the Issuer’s prospectus supplement filed with the Securities and Exchange Commission on July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504" w:gutter="0" w:footer="0" w:header="0"/>
        </w:sectPr>
      </w:pPr>
    </w:p>
    <w:bookmarkStart w:id="6" w:name="page7"/>
    <w:bookmarkEnd w:id="6"/>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05455M100</w:t>
      </w:r>
      <w:r>
        <w:rPr>
          <w:sz w:val="20"/>
          <w:szCs w:val="20"/>
          <w:color w:val="auto"/>
        </w:rPr>
        <w:tab/>
      </w:r>
      <w:r>
        <w:rPr>
          <w:rFonts w:ascii="Arial" w:cs="Arial" w:eastAsia="Arial" w:hAnsi="Arial"/>
          <w:sz w:val="15"/>
          <w:szCs w:val="15"/>
          <w:color w:val="auto"/>
        </w:rPr>
        <w:t>Page 7 of 13</w:t>
      </w:r>
    </w:p>
    <w:p>
      <w:pPr>
        <w:spacing w:after="0" w:line="225" w:lineRule="exact"/>
        <w:rPr>
          <w:sz w:val="20"/>
          <w:szCs w:val="20"/>
          <w:color w:val="auto"/>
        </w:rPr>
      </w:pPr>
    </w:p>
    <w:p>
      <w:pPr>
        <w:ind w:left="1500" w:hanging="1078"/>
        <w:spacing w:after="0"/>
        <w:tabs>
          <w:tab w:leader="none" w:pos="150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ATLAS VENTURE ASSOCIATES OPPORTUNITY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500" w:hanging="1078"/>
        <w:spacing w:after="0"/>
        <w:tabs>
          <w:tab w:leader="none" w:pos="150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50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1500" w:hanging="1078"/>
        <w:spacing w:after="0"/>
        <w:tabs>
          <w:tab w:leader="none" w:pos="15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500" w:right="6420" w:hanging="1078"/>
        <w:spacing w:after="0" w:line="514" w:lineRule="auto"/>
        <w:tabs>
          <w:tab w:leader="none" w:pos="150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500" w:hanging="1078"/>
        <w:spacing w:after="0"/>
        <w:tabs>
          <w:tab w:leader="none" w:pos="150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192" w:lineRule="exact"/>
        <w:rPr>
          <w:rFonts w:ascii="Arial" w:cs="Arial" w:eastAsia="Arial" w:hAnsi="Arial"/>
          <w:sz w:val="18"/>
          <w:szCs w:val="18"/>
          <w:b w:val="1"/>
          <w:bCs w:val="1"/>
          <w:color w:val="auto"/>
        </w:rPr>
      </w:pPr>
    </w:p>
    <w:p>
      <w:pPr>
        <w:ind w:left="15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2" w:lineRule="exact"/>
        <w:rPr>
          <w:sz w:val="20"/>
          <w:szCs w:val="20"/>
          <w:color w:val="auto"/>
        </w:rPr>
      </w:pPr>
    </w:p>
    <w:p>
      <w:pPr>
        <w:ind w:left="1500" w:right="6200" w:hanging="1078"/>
        <w:spacing w:after="0" w:line="509" w:lineRule="auto"/>
        <w:tabs>
          <w:tab w:leader="none" w:pos="150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42"/>
        </w:trPr>
        <w:tc>
          <w:tcPr>
            <w:tcW w:w="19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83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4"/>
        </w:trPr>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8340" w:type="dxa"/>
            <w:vAlign w:val="bottom"/>
          </w:tcPr>
          <w:p>
            <w:pPr>
              <w:ind w:left="4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9"/>
        </w:trPr>
        <w:tc>
          <w:tcPr>
            <w:tcW w:w="19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9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120" w:type="dxa"/>
            <w:vAlign w:val="bottom"/>
          </w:tcPr>
          <w:p>
            <w:pPr>
              <w:spacing w:after="0"/>
              <w:rPr>
                <w:sz w:val="23"/>
                <w:szCs w:val="23"/>
                <w:color w:val="auto"/>
              </w:rPr>
            </w:pPr>
          </w:p>
        </w:tc>
        <w:tc>
          <w:tcPr>
            <w:tcW w:w="8340" w:type="dxa"/>
            <w:vAlign w:val="bottom"/>
          </w:tcPr>
          <w:p>
            <w:pPr>
              <w:ind w:left="460"/>
              <w:spacing w:after="0" w:line="271" w:lineRule="exact"/>
              <w:rPr>
                <w:sz w:val="20"/>
                <w:szCs w:val="20"/>
                <w:color w:val="auto"/>
              </w:rPr>
            </w:pPr>
            <w:r>
              <w:rPr>
                <w:rFonts w:ascii="Arial" w:cs="Arial" w:eastAsia="Arial" w:hAnsi="Arial"/>
                <w:sz w:val="18"/>
                <w:szCs w:val="18"/>
                <w:color w:val="auto"/>
              </w:rPr>
              <w:t>810,811</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61"/>
        </w:trPr>
        <w:tc>
          <w:tcPr>
            <w:tcW w:w="1960" w:type="dxa"/>
            <w:vAlign w:val="bottom"/>
          </w:tcPr>
          <w:p>
            <w:pPr>
              <w:jc w:val="center"/>
              <w:spacing w:after="0" w:line="161" w:lineRule="exact"/>
              <w:rPr>
                <w:sz w:val="20"/>
                <w:szCs w:val="20"/>
                <w:color w:val="auto"/>
              </w:rPr>
            </w:pPr>
            <w:r>
              <w:rPr>
                <w:rFonts w:ascii="Arial" w:cs="Arial" w:eastAsia="Arial" w:hAnsi="Arial"/>
                <w:sz w:val="18"/>
                <w:szCs w:val="18"/>
                <w:color w:val="auto"/>
              </w:rPr>
              <w:t>BENEFICIALLY</w:t>
            </w:r>
          </w:p>
        </w:tc>
        <w:tc>
          <w:tcPr>
            <w:tcW w:w="11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20" w:type="dxa"/>
            <w:vAlign w:val="bottom"/>
            <w:tcBorders>
              <w:bottom w:val="single" w:sz="8" w:color="auto"/>
            </w:tcBorders>
          </w:tcPr>
          <w:p>
            <w:pPr>
              <w:spacing w:after="0"/>
              <w:rPr>
                <w:sz w:val="10"/>
                <w:szCs w:val="10"/>
                <w:color w:val="auto"/>
              </w:rPr>
            </w:pPr>
          </w:p>
        </w:tc>
        <w:tc>
          <w:tcPr>
            <w:tcW w:w="8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960" w:type="dxa"/>
            <w:vAlign w:val="bottom"/>
            <w:vMerge w:val="continue"/>
          </w:tcPr>
          <w:p>
            <w:pPr>
              <w:spacing w:after="0"/>
              <w:rPr>
                <w:sz w:val="6"/>
                <w:szCs w:val="6"/>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120" w:type="dxa"/>
            <w:vAlign w:val="bottom"/>
            <w:vMerge w:val="continue"/>
          </w:tcPr>
          <w:p>
            <w:pPr>
              <w:spacing w:after="0"/>
              <w:rPr>
                <w:sz w:val="13"/>
                <w:szCs w:val="13"/>
                <w:color w:val="auto"/>
              </w:rPr>
            </w:pPr>
          </w:p>
        </w:tc>
        <w:tc>
          <w:tcPr>
            <w:tcW w:w="8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120" w:type="dxa"/>
            <w:vAlign w:val="bottom"/>
          </w:tcPr>
          <w:p>
            <w:pPr>
              <w:spacing w:after="0"/>
              <w:rPr>
                <w:sz w:val="18"/>
                <w:szCs w:val="18"/>
                <w:color w:val="auto"/>
              </w:rPr>
            </w:pP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9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120" w:type="dxa"/>
            <w:vAlign w:val="bottom"/>
          </w:tcPr>
          <w:p>
            <w:pPr>
              <w:spacing w:after="0"/>
              <w:rPr>
                <w:sz w:val="11"/>
                <w:szCs w:val="11"/>
                <w:color w:val="auto"/>
              </w:rPr>
            </w:pPr>
          </w:p>
        </w:tc>
        <w:tc>
          <w:tcPr>
            <w:tcW w:w="8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8340" w:type="dxa"/>
            <w:vAlign w:val="bottom"/>
          </w:tcPr>
          <w:p>
            <w:pPr>
              <w:ind w:left="4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77"/>
        </w:trPr>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810,811</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6" w:lineRule="exact"/>
        <w:rPr>
          <w:sz w:val="20"/>
          <w:szCs w:val="20"/>
          <w:color w:val="auto"/>
        </w:rPr>
      </w:pPr>
    </w:p>
    <w:p>
      <w:pPr>
        <w:ind w:left="1500" w:hanging="1118"/>
        <w:spacing w:after="0"/>
        <w:tabs>
          <w:tab w:leader="none" w:pos="150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8"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810,811</w:t>
      </w:r>
      <w:r>
        <w:rPr>
          <w:rFonts w:ascii="Arial" w:cs="Arial" w:eastAsia="Arial" w:hAnsi="Arial"/>
          <w:sz w:val="30"/>
          <w:szCs w:val="30"/>
          <w:color w:val="auto"/>
          <w:vertAlign w:val="superscript"/>
        </w:rPr>
        <w:t>1</w:t>
      </w:r>
    </w:p>
    <w:p>
      <w:pPr>
        <w:spacing w:after="0" w:line="151" w:lineRule="exact"/>
        <w:rPr>
          <w:rFonts w:ascii="Arial" w:cs="Arial" w:eastAsia="Arial" w:hAnsi="Arial"/>
          <w:sz w:val="18"/>
          <w:szCs w:val="18"/>
          <w:b w:val="1"/>
          <w:bCs w:val="1"/>
          <w:color w:val="auto"/>
        </w:rPr>
      </w:pPr>
    </w:p>
    <w:p>
      <w:pPr>
        <w:ind w:left="1500" w:hanging="1123"/>
        <w:spacing w:after="0"/>
        <w:tabs>
          <w:tab w:leader="none" w:pos="150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(11) EXCLUDES CERTAIN SHARES (SEE INSTRUCTIONS):</w:t>
      </w:r>
    </w:p>
    <w:p>
      <w:pPr>
        <w:spacing w:after="0" w:line="192" w:lineRule="exact"/>
        <w:rPr>
          <w:rFonts w:ascii="Arial" w:cs="Arial" w:eastAsia="Arial" w:hAnsi="Arial"/>
          <w:sz w:val="18"/>
          <w:szCs w:val="18"/>
          <w:b w:val="1"/>
          <w:bCs w:val="1"/>
          <w:color w:val="auto"/>
        </w:rPr>
      </w:pPr>
    </w:p>
    <w:p>
      <w:pPr>
        <w:ind w:left="150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311" w:lineRule="exact"/>
        <w:rPr>
          <w:rFonts w:ascii="Arial" w:cs="Arial" w:eastAsia="Arial" w:hAnsi="Arial"/>
          <w:sz w:val="18"/>
          <w:szCs w:val="18"/>
          <w:b w:val="1"/>
          <w:bCs w:val="1"/>
          <w:color w:val="auto"/>
        </w:rPr>
      </w:pPr>
    </w:p>
    <w:p>
      <w:pPr>
        <w:ind w:left="1500" w:hanging="1123"/>
        <w:spacing w:after="0"/>
        <w:tabs>
          <w:tab w:leader="none" w:pos="150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8"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2.6%</w:t>
      </w:r>
      <w:r>
        <w:rPr>
          <w:rFonts w:ascii="Arial" w:cs="Arial" w:eastAsia="Arial" w:hAnsi="Arial"/>
          <w:sz w:val="30"/>
          <w:szCs w:val="30"/>
          <w:color w:val="auto"/>
          <w:vertAlign w:val="superscript"/>
        </w:rPr>
        <w:t>2</w:t>
      </w:r>
    </w:p>
    <w:p>
      <w:pPr>
        <w:spacing w:after="0" w:line="151" w:lineRule="exact"/>
        <w:rPr>
          <w:rFonts w:ascii="Arial" w:cs="Arial" w:eastAsia="Arial" w:hAnsi="Arial"/>
          <w:sz w:val="18"/>
          <w:szCs w:val="18"/>
          <w:b w:val="1"/>
          <w:bCs w:val="1"/>
          <w:color w:val="auto"/>
        </w:rPr>
      </w:pPr>
    </w:p>
    <w:p>
      <w:pPr>
        <w:ind w:left="1500" w:right="5540" w:hanging="1123"/>
        <w:spacing w:after="0" w:line="528" w:lineRule="auto"/>
        <w:tabs>
          <w:tab w:leader="none" w:pos="150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196" w:lineRule="exact"/>
        <w:rPr>
          <w:rFonts w:ascii="Arial" w:cs="Arial" w:eastAsia="Arial" w:hAnsi="Arial"/>
          <w:sz w:val="18"/>
          <w:szCs w:val="18"/>
          <w:b w:val="1"/>
          <w:bCs w:val="1"/>
          <w:color w:val="auto"/>
        </w:rPr>
      </w:pPr>
    </w:p>
    <w:p>
      <w:pPr>
        <w:jc w:val="right"/>
        <w:ind w:left="820" w:hanging="810"/>
        <w:spacing w:after="0" w:line="297" w:lineRule="auto"/>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810,811 shares of the Issuer’s Common Stock. All of these shares are held by AVOF. AVAO LP is the general partner of AVOF and AVAO LLC is the general partner of AVAO LP Each of AVAO LP and AVAO LLC has voting and dispositive power over the shares held by AVOF. As such,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-867410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-1433830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-2025015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-2591435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p>
      <w:pPr>
        <w:ind w:left="820" w:hanging="812"/>
        <w:spacing w:after="0" w:line="277"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percentage is calculated based upon 31,551,762 outstanding shares of Common Stock of the Issuer as of July 19, 2019, as reported in the Issuer’s prospectus supplement filed with the Securities and Exchange Commission on July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491" w:gutter="0" w:footer="0" w:header="0"/>
        </w:sectPr>
      </w:pPr>
    </w:p>
    <w:bookmarkStart w:id="7" w:name="page8"/>
    <w:bookmarkEnd w:id="7"/>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05455M100</w:t>
      </w:r>
      <w:r>
        <w:rPr>
          <w:sz w:val="20"/>
          <w:szCs w:val="20"/>
          <w:color w:val="auto"/>
        </w:rPr>
        <w:tab/>
      </w:r>
      <w:r>
        <w:rPr>
          <w:rFonts w:ascii="Arial" w:cs="Arial" w:eastAsia="Arial" w:hAnsi="Arial"/>
          <w:sz w:val="15"/>
          <w:szCs w:val="15"/>
          <w:color w:val="auto"/>
        </w:rPr>
        <w:t>Page 8 of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constitutes the Schedule 13D filed by the undersigned (the “Schedule 13D”). This Schedule 13D is being filed by Atlas Venture Fund X, L.P., Atlas Venture Associates X, L.P., Atlas Venture Associates X, LLC, Atlas Venture Opportunity Fund I, L.P., Atlas Venture Associates Opportunity I, L.P. and Atlas Venture Associates Opportunity I, LLC, as described in Item 3 below. This Schedule 13D supersedes the Schedule 13G filed by the Reporting Persons (defined below) on February 13,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class of equity securities to which this Schedule 13D relates is common stock, par value $0.0001 per share (the “Common Stock”) of AVROBIO, Inc., a Delaware corporation (the “Issuer” or “AVRO”). The principal executive offices of the Issuer are located at One Kendall Square, Building 300, Suite 201, Cambridge, Massachusetts 02139.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left="820" w:hanging="812"/>
        <w:spacing w:after="0" w:line="255"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Schedule 13D is filed by (i) Atlas Venture Fund X, L.P., a Delaware limited partnership (“Atlas X”), (ii) Atlas Venture Associates X, L.P., a Delaware limited partnership (“AVA X LP”) (iii) Atlas Venture Associates X, LLC, a Delaware limited liability company (“AVA X LLC” and together with Atlas X and AVA X LP, the “Fund X Reporting Persons”), (iv) Atlas Venture Opportunity Fund I, L.P., a Delaware limited partnership (“AVOF”), (v) Atlas Venture Associates Opportunity I, L.P., a Delaware limited partnership (“AVAO LP”) and (vi) Atlas Venture Associates Opportunity I, LLC, a Delaware limited liability company (“AVAO LLC” and together with AVOF and AVAO LP, the “Opportunity Fund Reporting Persons” and together with the Fund X Reporting Persons, the "Reporting Persons").</w:t>
      </w:r>
    </w:p>
    <w:p>
      <w:pPr>
        <w:spacing w:after="0" w:line="193"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address of the principal place of business of each of the Reporting Persons is c/o 400 Technology Square, 10th Floor, Cambridge, Massachusetts 02139.</w:t>
      </w:r>
    </w:p>
    <w:p>
      <w:pPr>
        <w:spacing w:after="0" w:line="170" w:lineRule="exact"/>
        <w:rPr>
          <w:rFonts w:ascii="Arial" w:cs="Arial" w:eastAsia="Arial" w:hAnsi="Arial"/>
          <w:sz w:val="18"/>
          <w:szCs w:val="18"/>
          <w:color w:val="auto"/>
        </w:rPr>
      </w:pPr>
    </w:p>
    <w:p>
      <w:pPr>
        <w:ind w:left="820" w:hanging="812"/>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principal business of each of the Reporting Persons is the venture capital investment business.</w:t>
      </w:r>
    </w:p>
    <w:p>
      <w:pPr>
        <w:spacing w:after="0" w:line="225"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any criminal proceeding (excluding traffic violations or similar misdemeanors).</w:t>
      </w:r>
    </w:p>
    <w:p>
      <w:pPr>
        <w:spacing w:after="0" w:line="170" w:lineRule="exact"/>
        <w:rPr>
          <w:rFonts w:ascii="Arial" w:cs="Arial" w:eastAsia="Arial" w:hAnsi="Arial"/>
          <w:sz w:val="18"/>
          <w:szCs w:val="18"/>
          <w:color w:val="auto"/>
        </w:rPr>
      </w:pPr>
    </w:p>
    <w:p>
      <w:pPr>
        <w:jc w:val="both"/>
        <w:ind w:left="820" w:right="20" w:hanging="812"/>
        <w:spacing w:after="0" w:line="286" w:lineRule="auto"/>
        <w:tabs>
          <w:tab w:leader="none" w:pos="8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820" w:hanging="812"/>
        <w:spacing w:after="0" w:line="277"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Atlas X, AVA X LP, AVOF and AVAO LP is a Delaware limited partnership. Each of AVA X LLC and AVAO LLC is a Delaware limited liability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hereof, the Reporting Persons may be deemed to beneficially own an aggregate of 5,567,289 shares of Common Stock, consisting of (i) 4,756,478 shares of Common Stock that were acquired by Atlas X prior to the Issuer’s initial public offering (the “IPO”) and (ii) 810,811 shares of Common Stock that were purchased by AVOF in the Issuer’s follow-on public offering (the “Offering”) at the public offering price of $18.50 per share. The Offering closed on July 19, 2019.</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4,756,478 shares of Common Stock acquired prior to the IPO were acquired at the closing of the IPO on June 25, 2018 upon the automatic conversion of 3,333,333 shares of Series Seed Preferred Stock, 12,580,199 shares of Series A Preferred Stock and 3,740,239 shares of Series B Preferred Stock into 806,711 shares of Common Stock, 3,044,579 shares of Common Stock and 905,188 shares of Common Stock, respectively. The Series Seed, Series A and Series B Preferred Stock were acquired for a purchase price of approximately $1.5 million, $10.0 million and $8.0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810,811 shares of Common Stock acquired in the Offering were purchased for an aggregate purchase price of approximately $15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funds used by Atlas X and AVOF to acquire the securities described above were obtained from its general and limited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8" w:name="page9"/>
    <w:bookmarkEnd w:id="8"/>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05455M100</w:t>
      </w:r>
      <w:r>
        <w:rPr>
          <w:sz w:val="20"/>
          <w:szCs w:val="20"/>
          <w:color w:val="auto"/>
        </w:rPr>
        <w:tab/>
      </w:r>
      <w:r>
        <w:rPr>
          <w:rFonts w:ascii="Arial" w:cs="Arial" w:eastAsia="Arial" w:hAnsi="Arial"/>
          <w:sz w:val="15"/>
          <w:szCs w:val="15"/>
          <w:color w:val="auto"/>
        </w:rPr>
        <w:t>Page 9 of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Atlas X and AVOF purchased the Common Stock for investment purposes. Except as set forth herein and except that the Reporting Persons or any of their affiliates may, from time to time or at any time, subject to market conditions and other factors, purchase additional Common Stock in the open market, in privately negotiated transactions or otherwise, or sell at any time all or a portion of the Common Stock now owned or hereafter acquired by them to one or more purchasers, as of the date of this Schedule 13D, none of the Reporting Persons has any present plans which relate to or would result in:</w:t>
      </w:r>
    </w:p>
    <w:p>
      <w:pPr>
        <w:spacing w:after="0" w:line="154" w:lineRule="exact"/>
        <w:rPr>
          <w:sz w:val="20"/>
          <w:szCs w:val="20"/>
          <w:color w:val="auto"/>
        </w:rPr>
      </w:pPr>
    </w:p>
    <w:p>
      <w:pPr>
        <w:ind w:left="1620" w:hanging="802"/>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25" w:lineRule="exact"/>
        <w:rPr>
          <w:rFonts w:ascii="Arial" w:cs="Arial" w:eastAsia="Arial" w:hAnsi="Arial"/>
          <w:sz w:val="18"/>
          <w:szCs w:val="18"/>
          <w:color w:val="auto"/>
        </w:rPr>
      </w:pPr>
    </w:p>
    <w:p>
      <w:pPr>
        <w:ind w:left="1620" w:hanging="802"/>
        <w:spacing w:after="0"/>
        <w:tabs>
          <w:tab w:leader="none" w:pos="1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extraordinary corporate transaction, such as a merger, reorganization or liquidation, involving the Issuer or any of its subsidiaries;</w:t>
      </w:r>
    </w:p>
    <w:p>
      <w:pPr>
        <w:spacing w:after="0" w:line="248" w:lineRule="exact"/>
        <w:rPr>
          <w:rFonts w:ascii="Arial" w:cs="Arial" w:eastAsia="Arial" w:hAnsi="Arial"/>
          <w:sz w:val="16"/>
          <w:szCs w:val="16"/>
          <w:color w:val="auto"/>
        </w:rPr>
      </w:pPr>
    </w:p>
    <w:p>
      <w:pPr>
        <w:ind w:left="1620" w:hanging="802"/>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225" w:lineRule="exact"/>
        <w:rPr>
          <w:rFonts w:ascii="Arial" w:cs="Arial" w:eastAsia="Arial" w:hAnsi="Arial"/>
          <w:sz w:val="18"/>
          <w:szCs w:val="18"/>
          <w:color w:val="auto"/>
        </w:rPr>
      </w:pPr>
    </w:p>
    <w:p>
      <w:pPr>
        <w:ind w:left="1620" w:hanging="802"/>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70" w:lineRule="exact"/>
        <w:rPr>
          <w:rFonts w:ascii="Arial" w:cs="Arial" w:eastAsia="Arial" w:hAnsi="Arial"/>
          <w:sz w:val="18"/>
          <w:szCs w:val="18"/>
          <w:color w:val="auto"/>
        </w:rPr>
      </w:pPr>
    </w:p>
    <w:p>
      <w:pPr>
        <w:ind w:left="1620" w:hanging="802"/>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25" w:lineRule="exact"/>
        <w:rPr>
          <w:rFonts w:ascii="Arial" w:cs="Arial" w:eastAsia="Arial" w:hAnsi="Arial"/>
          <w:sz w:val="18"/>
          <w:szCs w:val="18"/>
          <w:color w:val="auto"/>
        </w:rPr>
      </w:pPr>
    </w:p>
    <w:p>
      <w:pPr>
        <w:jc w:val="both"/>
        <w:ind w:left="1620" w:hanging="802"/>
        <w:spacing w:after="0" w:line="264"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w:t>
      </w:r>
    </w:p>
    <w:p>
      <w:pPr>
        <w:spacing w:after="0" w:line="181" w:lineRule="exact"/>
        <w:rPr>
          <w:rFonts w:ascii="Arial" w:cs="Arial" w:eastAsia="Arial" w:hAnsi="Arial"/>
          <w:sz w:val="18"/>
          <w:szCs w:val="18"/>
          <w:color w:val="auto"/>
        </w:rPr>
      </w:pPr>
    </w:p>
    <w:p>
      <w:pPr>
        <w:ind w:left="1620" w:hanging="802"/>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170" w:lineRule="exact"/>
        <w:rPr>
          <w:rFonts w:ascii="Arial" w:cs="Arial" w:eastAsia="Arial" w:hAnsi="Arial"/>
          <w:sz w:val="18"/>
          <w:szCs w:val="18"/>
          <w:color w:val="auto"/>
        </w:rPr>
      </w:pPr>
    </w:p>
    <w:p>
      <w:pPr>
        <w:ind w:left="1620" w:hanging="802"/>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70" w:lineRule="exact"/>
        <w:rPr>
          <w:rFonts w:ascii="Arial" w:cs="Arial" w:eastAsia="Arial" w:hAnsi="Arial"/>
          <w:sz w:val="18"/>
          <w:szCs w:val="18"/>
          <w:color w:val="auto"/>
        </w:rPr>
      </w:pPr>
    </w:p>
    <w:p>
      <w:pPr>
        <w:ind w:left="1620" w:hanging="802"/>
        <w:spacing w:after="0"/>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class of equity securities of the Issuer becoming eligible for termination of registration pursuant to Section 12(g)(4) of the Act; or</w:t>
      </w:r>
    </w:p>
    <w:p>
      <w:pPr>
        <w:spacing w:after="0" w:line="236" w:lineRule="exact"/>
        <w:rPr>
          <w:rFonts w:ascii="Arial" w:cs="Arial" w:eastAsia="Arial" w:hAnsi="Arial"/>
          <w:sz w:val="17"/>
          <w:szCs w:val="17"/>
          <w:color w:val="auto"/>
        </w:rPr>
      </w:pPr>
    </w:p>
    <w:p>
      <w:pPr>
        <w:ind w:left="1620" w:hanging="802"/>
        <w:spacing w:after="0"/>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Bruce Booth, D.Phil., a member of AVA X LLC and AVAO LLC, has served on the board of directors of the Issuer since February 2016. As a director of the Issuer, Dr. Booth may have influence over the corporate activities of the Issuer, including activities which may relate to the transactions described in clauses (a) through (j) of this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9" w:name="page10"/>
    <w:bookmarkEnd w:id="9"/>
    <w:p>
      <w:pPr>
        <w:spacing w:after="0"/>
        <w:tabs>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05455M100</w:t>
      </w:r>
      <w:r>
        <w:rPr>
          <w:sz w:val="20"/>
          <w:szCs w:val="20"/>
          <w:color w:val="auto"/>
        </w:rPr>
        <w:tab/>
      </w:r>
      <w:r>
        <w:rPr>
          <w:rFonts w:ascii="Arial" w:cs="Arial" w:eastAsia="Arial" w:hAnsi="Arial"/>
          <w:sz w:val="16"/>
          <w:szCs w:val="16"/>
          <w:color w:val="auto"/>
        </w:rPr>
        <w:t>Page 10 of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660" w:hanging="652"/>
        <w:spacing w:after="0" w:line="286" w:lineRule="auto"/>
        <w:tabs>
          <w:tab w:leader="none" w:pos="257" w:val="left"/>
        </w:tabs>
        <w:numPr>
          <w:ilvl w:val="0"/>
          <w:numId w:val="52"/>
        </w:numPr>
        <w:rPr>
          <w:rFonts w:ascii="Arial" w:cs="Arial" w:eastAsia="Arial" w:hAnsi="Arial"/>
          <w:sz w:val="17"/>
          <w:szCs w:val="17"/>
          <w:color w:val="auto"/>
        </w:rPr>
      </w:pPr>
      <w:r>
        <w:rPr>
          <w:rFonts w:ascii="Arial" w:cs="Arial" w:eastAsia="Arial" w:hAnsi="Arial"/>
          <w:sz w:val="17"/>
          <w:szCs w:val="17"/>
          <w:color w:val="auto"/>
        </w:rPr>
        <w:t>(b) As of the date hereof, Atlas X is the record owner of 4,756,478 shares of Common Stock. AVA X LP is the general partner of Atlas X and AVA X LLC is the general partner of AVA X LP. Each of Atlas X, AVA X LP and AVA X LLC has shared voting and dispositive power over the shares held by Atlas X. As such, each of Atlas X, AVA X LP and AVA X LLC may be deemed to beneficially own the shares held by Atlas X.</w:t>
      </w:r>
    </w:p>
    <w:p>
      <w:pPr>
        <w:spacing w:after="0" w:line="166"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As of the date hereof, AVOF is the record owner of 810,811 shares of Common Stock. AVAO LP is the general partner of AVOF and AVAO LLC is the general partner of AVAO LP. Each of AVOF, AVAO LP and AVAO LLC has shared voting and dispositive power over the shares held by AVOF. As such, each of AVOF, AVAO LP and AVAO LLC may be deemed to beneficially own the shares held by AVOF.</w:t>
      </w:r>
    </w:p>
    <w:p>
      <w:pPr>
        <w:spacing w:after="0" w:line="16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Each of the Fund X Reporting Persons and Opportunity Fund Reporting Persons may be deemed to beneficially own 15.1% and 2.6%, respectively, of the Issuer’s outstanding Common Stock, which percentages are calculated based upon 31,551,762 outstanding shares of Common Stock, as reported in the Issuer's prospectus supplement filed with the Securities and Exchange Commission on July 17, 2019.</w:t>
      </w:r>
    </w:p>
    <w:p>
      <w:pPr>
        <w:spacing w:after="0" w:line="16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Collectively, the Reporting Persons beneficially own an aggregate of 5,567,289 shares of Common Stock, which represents 17.6% of the Issuer's outstanding Common Stock. The Fund X Reporting Persons and the Opportunity Fund Reporting Persons are under common control and as a result, the Reporting Persons may be deemed to be members of a group. However, the Reporting Persons disclaim such group membership, and this Schedule 13D shall not be deemed an admission that the Reporting Persons are members of a group for purposes of Section 13 or for any other purposes.</w:t>
      </w:r>
    </w:p>
    <w:p>
      <w:pPr>
        <w:spacing w:after="0" w:line="188" w:lineRule="exact"/>
        <w:rPr>
          <w:sz w:val="20"/>
          <w:szCs w:val="20"/>
          <w:color w:val="auto"/>
        </w:rPr>
      </w:pPr>
    </w:p>
    <w:p>
      <w:pPr>
        <w:ind w:left="66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provided and incorporated by reference in Item 3 is hereby incorporated by reference. There were no other transactions in the Common Stock by the Reporting Persons in the 60 days prior to the date of the event which requires the filing of this Schedule 13D.</w:t>
      </w:r>
    </w:p>
    <w:p>
      <w:pPr>
        <w:spacing w:after="0" w:line="14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other person is known by the Reporting Persons to have the right to receive or the power to direct the receipt of dividends from, or the proceeds from the sale of, the shares of Common Stock beneficially owned by the Reporting Persons.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Atlas X and certain other stockholders of the Issuer entered into a Second Amended and Restated Investors’ Rights Agreement dated January 19, 2018 (the “Investors’ Rights Agreement”), with the Issuer. Under the Investors’ Rights Agreement, holders of registrable shares can demand that the Issuer file a registration statement or request that their shares be included on a registration statement that the Issuer is otherwise filing, in either case, registering the resale of their shares of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Beginning 90 days after July 19, 2019, holders of registrable shares, are entitled to demand registration rights. Under the terms of the Investors’ Rights Agreement, the Issuer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The Issuer is required to effect only two registrations pursuant to this provision of the Investors’ Rights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Short-Form Registration Rights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Investors’ Rights Agreement, if the Issuer is eligible to file a registration statement on Form S-3, upon the written request of holders of at least 25% of these securities at an aggregate offer price of at least $3.0 million, the Issuer will be required to use commercially reasonable efforts to effect a registration of such shares. The Issuer is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Investors’ Rights Agreement, if the Issuer registers any of its securities either for its own account or for the account of other security holders, the holders of these shares are entitled to include their shares in the registration. Subject to certain exceptions contained in the Investors’ Rights Agreement, the Issuer and the underwriters may limit the number of shares included in the underwritten offering to the number of shares which the Issuer and the underwriters determine in their sole discretion will not jeopardize the success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0" w:name="page11"/>
    <w:bookmarkEnd w:id="10"/>
    <w:p>
      <w:pPr>
        <w:spacing w:after="0"/>
        <w:tabs>
          <w:tab w:leader="none" w:pos="10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05455M100</w:t>
      </w:r>
      <w:r>
        <w:rPr>
          <w:sz w:val="20"/>
          <w:szCs w:val="20"/>
          <w:color w:val="auto"/>
        </w:rPr>
        <w:tab/>
      </w:r>
      <w:r>
        <w:rPr>
          <w:rFonts w:ascii="Arial" w:cs="Arial" w:eastAsia="Arial" w:hAnsi="Arial"/>
          <w:sz w:val="15"/>
          <w:szCs w:val="15"/>
          <w:color w:val="auto"/>
        </w:rPr>
        <w:t>Page 11 of 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of Registration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fees, costs and expenses of underwritten registrations under the Investors’ Rights Agreement will be borne by the Issuer and all selling expenses, including underwriting discounts and selling commissions, will be borne by the holders of the shares being registered.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 of Registration Rights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demand registration rights and short form registration rights granted under the Investors’ Rights Agreement will terminate on the earliest of (i) a deemed liquidation event, as defined in the Investors’ Rights Agreement, (ii) the fifth anniversary of the completion of the IPO and (iii) at such time after this offering when the holders’ shares may be sold without restriction pursuant to Rule 144 within a three month period.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terms of the Investors’ Rights Agreement is not complete and is qualified in its entirety by reference to the text of the Investors’ Rights Agreement, which is referenced as Exhibit A,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Offering, Atlas X, along with all of the Issuer’s directors (including Dr. Booth), executive officers and certain other stockholders entered into a lock-up agreement, pursuant to which they agreed, subject to certain exceptions, not to sell, transfer or otherwise convey any of the Issuer’s securities held by them or request or demand that the Issuer file a registration statement related to its Common Stock for a period of 90 days after July 19, 2019.</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lead underwriters for the Offering, Morgan Stanley &amp; Co. LLC and Cowen and Company, LLC, may, in their discretion and at any time or from time to time before the termination of the lock-up period, without public notice, release all or any portion of the securities subject to lock-up agreements.</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Other than as described in this Schedule 13D, to the knowledge of the Reporting Persons, there are no other contracts, arrangements, understandings or relationships (legal or otherwise) among the persons named in Item 2 and between such persons and any person with respect to any securities of the Issuer.</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of the terms of the lock-up agreement is not complete and is qualified in its entirety by reference to the text of the form of lock-up agreement, which is referenced as Exhibit B,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jc w:val="both"/>
        <w:ind w:left="820" w:hanging="812"/>
        <w:spacing w:after="0" w:line="264"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AVROBIO, Inc. Second Amended and Restated Investors’ Rights Agreement, dated January 9, 2018 (Incorporated by reference to Exhibit 4.2 to the Issuer’s Registration Statement on Form S-1 (SEC File No. 333-225213), filed with the Securities and Exchange Commission on May 25, 2018).</w:t>
      </w:r>
    </w:p>
    <w:p>
      <w:pPr>
        <w:spacing w:after="0" w:line="181"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 of Lock-Up Agreement (Incorporated by reference to Exhibit A of Exhibit 1.1 to the Issuer’s Current Report on Form 8-K (SEC File No. 001-38537), filed with the Securities and Exchange Commission on July 17, 2019).</w:t>
      </w:r>
    </w:p>
    <w:p>
      <w:pPr>
        <w:spacing w:after="0" w:line="170" w:lineRule="exact"/>
        <w:rPr>
          <w:rFonts w:ascii="Arial" w:cs="Arial" w:eastAsia="Arial" w:hAnsi="Arial"/>
          <w:sz w:val="18"/>
          <w:szCs w:val="18"/>
          <w:color w:val="auto"/>
        </w:rPr>
      </w:pPr>
    </w:p>
    <w:p>
      <w:pPr>
        <w:ind w:left="820" w:hanging="812"/>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Agreement regarding filing of joint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1" w:name="page12"/>
    <w:bookmarkEnd w:id="11"/>
    <w:p>
      <w:pPr>
        <w:spacing w:after="0"/>
        <w:tabs>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05455M100</w:t>
      </w:r>
      <w:r>
        <w:rPr>
          <w:sz w:val="20"/>
          <w:szCs w:val="20"/>
          <w:color w:val="auto"/>
        </w:rPr>
        <w:tab/>
      </w:r>
      <w:r>
        <w:rPr>
          <w:rFonts w:ascii="Arial" w:cs="Arial" w:eastAsia="Arial" w:hAnsi="Arial"/>
          <w:sz w:val="16"/>
          <w:szCs w:val="16"/>
          <w:color w:val="auto"/>
        </w:rPr>
        <w:t>Page 12 of 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ATLAS VENTURE FUND X,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X, L.P.,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X,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-121920</wp:posOffset>
            </wp:positionV>
            <wp:extent cx="3404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X,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X,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X,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OPPORTUNITY FUND 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Opportunity I, L.P.,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Opportunity 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Opportunity I,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2" w:name="page13"/>
    <w:bookmarkEnd w:id="12"/>
    <w:p>
      <w:pPr>
        <w:spacing w:after="0"/>
        <w:tabs>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05455M100</w:t>
      </w:r>
      <w:r>
        <w:rPr>
          <w:sz w:val="20"/>
          <w:szCs w:val="20"/>
          <w:color w:val="auto"/>
        </w:rPr>
        <w:tab/>
      </w:r>
      <w:r>
        <w:rPr>
          <w:rFonts w:ascii="Arial" w:cs="Arial" w:eastAsia="Arial" w:hAnsi="Arial"/>
          <w:sz w:val="16"/>
          <w:szCs w:val="16"/>
          <w:color w:val="auto"/>
        </w:rPr>
        <w:t>Page 13 of 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Rule 13d-1(k)(1) promulgated pursuant to the Securities Exchange Act of 1934, as amended, the undersigned agree that the attached Schedule 13D is being filed on behalf of each of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ATLAS VENTURE FUND X,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X, L.P.,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X,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X,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X,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X,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OPPORTUNITY FUND 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Opportunity I, L.P.,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Opportunity 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Atlas Venture Associates Opportunity I,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ATLAS VENTURE ASSOCIATES OPPORTUNITY 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Ommer Chohan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bullet"/>
      <w:start w:val="1"/>
    </w:lvl>
  </w:abstractNum>
  <w:abstractNum w:abstractNumId="2">
    <w:nsid w:val="836C40E"/>
    <w:multiLevelType w:val="hybridMultilevel"/>
    <w:lvl w:ilvl="0">
      <w:lvlJc w:val="left"/>
      <w:lvlText w:val="2"/>
      <w:numFmt w:val="bullet"/>
      <w:start w:val="1"/>
    </w:lvl>
  </w:abstractNum>
  <w:abstractNum w:abstractNumId="3">
    <w:nsid w:val="2901D82"/>
    <w:multiLevelType w:val="hybridMultilevel"/>
    <w:lvl w:ilvl="0">
      <w:lvlJc w:val="left"/>
      <w:lvlText w:val="3"/>
      <w:numFmt w:val="bullet"/>
      <w:start w:val="1"/>
    </w:lvl>
  </w:abstractNum>
  <w:abstractNum w:abstractNumId="4">
    <w:nsid w:val="3A95F874"/>
    <w:multiLevelType w:val="hybridMultilevel"/>
    <w:lvl w:ilvl="0">
      <w:lvlJc w:val="left"/>
      <w:lvlText w:val="4"/>
      <w:numFmt w:val="bullet"/>
      <w:start w:val="1"/>
    </w:lvl>
  </w:abstractNum>
  <w:abstractNum w:abstractNumId="5">
    <w:nsid w:val="8138641"/>
    <w:multiLevelType w:val="hybridMultilevel"/>
    <w:lvl w:ilvl="0">
      <w:lvlJc w:val="left"/>
      <w:lvlText w:val="5"/>
      <w:numFmt w:val="bullet"/>
      <w:start w:val="1"/>
    </w:lvl>
  </w:abstractNum>
  <w:abstractNum w:abstractNumId="6">
    <w:nsid w:val="1E7FF521"/>
    <w:multiLevelType w:val="hybridMultilevel"/>
    <w:lvl w:ilvl="0">
      <w:lvlJc w:val="left"/>
      <w:lvlText w:val="6"/>
      <w:numFmt w:val="bullet"/>
      <w:start w:val="1"/>
    </w:lvl>
  </w:abstractNum>
  <w:abstractNum w:abstractNumId="7">
    <w:nsid w:val="7C3DBD3D"/>
    <w:multiLevelType w:val="hybridMultilevel"/>
    <w:lvl w:ilvl="0">
      <w:lvlJc w:val="left"/>
      <w:lvlText w:val="%1"/>
      <w:numFmt w:val="decimal"/>
      <w:start w:val="1"/>
    </w:lvl>
    <w:lvl w:ilvl="1">
      <w:lvlJc w:val="left"/>
      <w:lvlText w:val="%2"/>
      <w:numFmt w:val="decimal"/>
      <w:start w:val="11"/>
    </w:lvl>
  </w:abstractNum>
  <w:abstractNum w:abstractNumId="8">
    <w:nsid w:val="737B8DDC"/>
    <w:multiLevelType w:val="hybridMultilevel"/>
    <w:lvl w:ilvl="0">
      <w:lvlJc w:val="left"/>
      <w:lvlText w:val="2"/>
      <w:numFmt w:val="bullet"/>
      <w:start w:val="1"/>
    </w:lvl>
  </w:abstractNum>
  <w:abstractNum w:abstractNumId="9">
    <w:nsid w:val="6CEAF087"/>
    <w:multiLevelType w:val="hybridMultilevel"/>
    <w:lvl w:ilvl="0">
      <w:lvlJc w:val="left"/>
      <w:lvlText w:val="1"/>
      <w:numFmt w:val="bullet"/>
      <w:start w:val="1"/>
    </w:lvl>
  </w:abstractNum>
  <w:abstractNum w:abstractNumId="10">
    <w:nsid w:val="22221A70"/>
    <w:multiLevelType w:val="hybridMultilevel"/>
    <w:lvl w:ilvl="0">
      <w:lvlJc w:val="left"/>
      <w:lvlText w:val="2"/>
      <w:numFmt w:val="bullet"/>
      <w:start w:val="1"/>
    </w:lvl>
  </w:abstractNum>
  <w:abstractNum w:abstractNumId="11">
    <w:nsid w:val="4516DDE9"/>
    <w:multiLevelType w:val="hybridMultilevel"/>
    <w:lvl w:ilvl="0">
      <w:lvlJc w:val="left"/>
      <w:lvlText w:val="3"/>
      <w:numFmt w:val="bullet"/>
      <w:start w:val="1"/>
    </w:lvl>
  </w:abstractNum>
  <w:abstractNum w:abstractNumId="12">
    <w:nsid w:val="3006C83E"/>
    <w:multiLevelType w:val="hybridMultilevel"/>
    <w:lvl w:ilvl="0">
      <w:lvlJc w:val="left"/>
      <w:lvlText w:val="4"/>
      <w:numFmt w:val="bullet"/>
      <w:start w:val="1"/>
    </w:lvl>
  </w:abstractNum>
  <w:abstractNum w:abstractNumId="13">
    <w:nsid w:val="614FD4A1"/>
    <w:multiLevelType w:val="hybridMultilevel"/>
    <w:lvl w:ilvl="0">
      <w:lvlJc w:val="left"/>
      <w:lvlText w:val="5"/>
      <w:numFmt w:val="bullet"/>
      <w:start w:val="1"/>
    </w:lvl>
  </w:abstractNum>
  <w:abstractNum w:abstractNumId="14">
    <w:nsid w:val="419AC241"/>
    <w:multiLevelType w:val="hybridMultilevel"/>
    <w:lvl w:ilvl="0">
      <w:lvlJc w:val="left"/>
      <w:lvlText w:val="6"/>
      <w:numFmt w:val="bullet"/>
      <w:start w:val="1"/>
    </w:lvl>
  </w:abstractNum>
  <w:abstractNum w:abstractNumId="15">
    <w:nsid w:val="5577F8E1"/>
    <w:multiLevelType w:val="hybridMultilevel"/>
    <w:lvl w:ilvl="0">
      <w:lvlJc w:val="left"/>
      <w:lvlText w:val="%1"/>
      <w:numFmt w:val="decimal"/>
      <w:start w:val="1"/>
    </w:lvl>
    <w:lvl w:ilvl="1">
      <w:lvlJc w:val="left"/>
      <w:lvlText w:val="%2"/>
      <w:numFmt w:val="decimal"/>
      <w:start w:val="11"/>
    </w:lvl>
  </w:abstractNum>
  <w:abstractNum w:abstractNumId="16">
    <w:nsid w:val="440BADFC"/>
    <w:multiLevelType w:val="hybridMultilevel"/>
    <w:lvl w:ilvl="0">
      <w:lvlJc w:val="left"/>
      <w:lvlText w:val="2"/>
      <w:numFmt w:val="bullet"/>
      <w:start w:val="1"/>
    </w:lvl>
  </w:abstractNum>
  <w:abstractNum w:abstractNumId="17">
    <w:nsid w:val="5072367"/>
    <w:multiLevelType w:val="hybridMultilevel"/>
    <w:lvl w:ilvl="0">
      <w:lvlJc w:val="left"/>
      <w:lvlText w:val="1"/>
      <w:numFmt w:val="bullet"/>
      <w:start w:val="1"/>
    </w:lvl>
  </w:abstractNum>
  <w:abstractNum w:abstractNumId="18">
    <w:nsid w:val="3804823E"/>
    <w:multiLevelType w:val="hybridMultilevel"/>
    <w:lvl w:ilvl="0">
      <w:lvlJc w:val="left"/>
      <w:lvlText w:val="2"/>
      <w:numFmt w:val="bullet"/>
      <w:start w:val="1"/>
    </w:lvl>
  </w:abstractNum>
  <w:abstractNum w:abstractNumId="19">
    <w:nsid w:val="77465F01"/>
    <w:multiLevelType w:val="hybridMultilevel"/>
    <w:lvl w:ilvl="0">
      <w:lvlJc w:val="left"/>
      <w:lvlText w:val="3"/>
      <w:numFmt w:val="bullet"/>
      <w:start w:val="1"/>
    </w:lvl>
  </w:abstractNum>
  <w:abstractNum w:abstractNumId="20">
    <w:nsid w:val="7724C67E"/>
    <w:multiLevelType w:val="hybridMultilevel"/>
    <w:lvl w:ilvl="0">
      <w:lvlJc w:val="left"/>
      <w:lvlText w:val="4"/>
      <w:numFmt w:val="bullet"/>
      <w:start w:val="1"/>
    </w:lvl>
  </w:abstractNum>
  <w:abstractNum w:abstractNumId="21">
    <w:nsid w:val="5C482A97"/>
    <w:multiLevelType w:val="hybridMultilevel"/>
    <w:lvl w:ilvl="0">
      <w:lvlJc w:val="left"/>
      <w:lvlText w:val="5"/>
      <w:numFmt w:val="bullet"/>
      <w:start w:val="1"/>
    </w:lvl>
  </w:abstractNum>
  <w:abstractNum w:abstractNumId="22">
    <w:nsid w:val="2463B9EA"/>
    <w:multiLevelType w:val="hybridMultilevel"/>
    <w:lvl w:ilvl="0">
      <w:lvlJc w:val="left"/>
      <w:lvlText w:val="6"/>
      <w:numFmt w:val="bullet"/>
      <w:start w:val="1"/>
    </w:lvl>
  </w:abstractNum>
  <w:abstractNum w:abstractNumId="23">
    <w:nsid w:val="5E884ADC"/>
    <w:multiLevelType w:val="hybridMultilevel"/>
    <w:lvl w:ilvl="0">
      <w:lvlJc w:val="left"/>
      <w:lvlText w:val="%1"/>
      <w:numFmt w:val="decimal"/>
      <w:start w:val="1"/>
    </w:lvl>
    <w:lvl w:ilvl="1">
      <w:lvlJc w:val="left"/>
      <w:lvlText w:val="%2"/>
      <w:numFmt w:val="decimal"/>
      <w:start w:val="11"/>
    </w:lvl>
  </w:abstractNum>
  <w:abstractNum w:abstractNumId="24">
    <w:nsid w:val="51EAD36B"/>
    <w:multiLevelType w:val="hybridMultilevel"/>
    <w:lvl w:ilvl="0">
      <w:lvlJc w:val="left"/>
      <w:lvlText w:val="2"/>
      <w:numFmt w:val="bullet"/>
      <w:start w:val="1"/>
    </w:lvl>
  </w:abstractNum>
  <w:abstractNum w:abstractNumId="25">
    <w:nsid w:val="2D517796"/>
    <w:multiLevelType w:val="hybridMultilevel"/>
    <w:lvl w:ilvl="0">
      <w:lvlJc w:val="left"/>
      <w:lvlText w:val="1"/>
      <w:numFmt w:val="bullet"/>
      <w:start w:val="1"/>
    </w:lvl>
  </w:abstractNum>
  <w:abstractNum w:abstractNumId="26">
    <w:nsid w:val="580BD78F"/>
    <w:multiLevelType w:val="hybridMultilevel"/>
    <w:lvl w:ilvl="0">
      <w:lvlJc w:val="left"/>
      <w:lvlText w:val="2"/>
      <w:numFmt w:val="bullet"/>
      <w:start w:val="1"/>
    </w:lvl>
  </w:abstractNum>
  <w:abstractNum w:abstractNumId="27">
    <w:nsid w:val="153EA438"/>
    <w:multiLevelType w:val="hybridMultilevel"/>
    <w:lvl w:ilvl="0">
      <w:lvlJc w:val="left"/>
      <w:lvlText w:val="3"/>
      <w:numFmt w:val="bullet"/>
      <w:start w:val="1"/>
    </w:lvl>
  </w:abstractNum>
  <w:abstractNum w:abstractNumId="28">
    <w:nsid w:val="3855585C"/>
    <w:multiLevelType w:val="hybridMultilevel"/>
    <w:lvl w:ilvl="0">
      <w:lvlJc w:val="left"/>
      <w:lvlText w:val="4"/>
      <w:numFmt w:val="bullet"/>
      <w:start w:val="1"/>
    </w:lvl>
  </w:abstractNum>
  <w:abstractNum w:abstractNumId="29">
    <w:nsid w:val="70A64E2A"/>
    <w:multiLevelType w:val="hybridMultilevel"/>
    <w:lvl w:ilvl="0">
      <w:lvlJc w:val="left"/>
      <w:lvlText w:val="5"/>
      <w:numFmt w:val="bullet"/>
      <w:start w:val="1"/>
    </w:lvl>
  </w:abstractNum>
  <w:abstractNum w:abstractNumId="30">
    <w:nsid w:val="6A2342EC"/>
    <w:multiLevelType w:val="hybridMultilevel"/>
    <w:lvl w:ilvl="0">
      <w:lvlJc w:val="left"/>
      <w:lvlText w:val="6"/>
      <w:numFmt w:val="bullet"/>
      <w:start w:val="1"/>
    </w:lvl>
  </w:abstractNum>
  <w:abstractNum w:abstractNumId="31">
    <w:nsid w:val="2A487CB0"/>
    <w:multiLevelType w:val="hybridMultilevel"/>
    <w:lvl w:ilvl="0">
      <w:lvlJc w:val="left"/>
      <w:lvlText w:val="%1"/>
      <w:numFmt w:val="decimal"/>
      <w:start w:val="1"/>
    </w:lvl>
    <w:lvl w:ilvl="1">
      <w:lvlJc w:val="left"/>
      <w:lvlText w:val="%2"/>
      <w:numFmt w:val="decimal"/>
      <w:start w:val="11"/>
    </w:lvl>
  </w:abstractNum>
  <w:abstractNum w:abstractNumId="32">
    <w:nsid w:val="1D4ED43B"/>
    <w:multiLevelType w:val="hybridMultilevel"/>
    <w:lvl w:ilvl="0">
      <w:lvlJc w:val="left"/>
      <w:lvlText w:val="2"/>
      <w:numFmt w:val="bullet"/>
      <w:start w:val="1"/>
    </w:lvl>
  </w:abstractNum>
  <w:abstractNum w:abstractNumId="33">
    <w:nsid w:val="725A06FB"/>
    <w:multiLevelType w:val="hybridMultilevel"/>
    <w:lvl w:ilvl="0">
      <w:lvlJc w:val="left"/>
      <w:lvlText w:val="1"/>
      <w:numFmt w:val="bullet"/>
      <w:start w:val="1"/>
    </w:lvl>
  </w:abstractNum>
  <w:abstractNum w:abstractNumId="34">
    <w:nsid w:val="2CD89A32"/>
    <w:multiLevelType w:val="hybridMultilevel"/>
    <w:lvl w:ilvl="0">
      <w:lvlJc w:val="left"/>
      <w:lvlText w:val="2"/>
      <w:numFmt w:val="bullet"/>
      <w:start w:val="1"/>
    </w:lvl>
  </w:abstractNum>
  <w:abstractNum w:abstractNumId="35">
    <w:nsid w:val="57E4CCAF"/>
    <w:multiLevelType w:val="hybridMultilevel"/>
    <w:lvl w:ilvl="0">
      <w:lvlJc w:val="left"/>
      <w:lvlText w:val="3"/>
      <w:numFmt w:val="bullet"/>
      <w:start w:val="1"/>
    </w:lvl>
  </w:abstractNum>
  <w:abstractNum w:abstractNumId="36">
    <w:nsid w:val="7A6D8D3C"/>
    <w:multiLevelType w:val="hybridMultilevel"/>
    <w:lvl w:ilvl="0">
      <w:lvlJc w:val="left"/>
      <w:lvlText w:val="4"/>
      <w:numFmt w:val="bullet"/>
      <w:start w:val="1"/>
    </w:lvl>
  </w:abstractNum>
  <w:abstractNum w:abstractNumId="37">
    <w:nsid w:val="4B588F54"/>
    <w:multiLevelType w:val="hybridMultilevel"/>
    <w:lvl w:ilvl="0">
      <w:lvlJc w:val="left"/>
      <w:lvlText w:val="5"/>
      <w:numFmt w:val="bullet"/>
      <w:start w:val="1"/>
    </w:lvl>
  </w:abstractNum>
  <w:abstractNum w:abstractNumId="38">
    <w:nsid w:val="542289EC"/>
    <w:multiLevelType w:val="hybridMultilevel"/>
    <w:lvl w:ilvl="0">
      <w:lvlJc w:val="left"/>
      <w:lvlText w:val="6"/>
      <w:numFmt w:val="bullet"/>
      <w:start w:val="1"/>
    </w:lvl>
  </w:abstractNum>
  <w:abstractNum w:abstractNumId="39">
    <w:nsid w:val="6DE91B18"/>
    <w:multiLevelType w:val="hybridMultilevel"/>
    <w:lvl w:ilvl="0">
      <w:lvlJc w:val="left"/>
      <w:lvlText w:val="%1"/>
      <w:numFmt w:val="decimal"/>
      <w:start w:val="1"/>
    </w:lvl>
    <w:lvl w:ilvl="1">
      <w:lvlJc w:val="left"/>
      <w:lvlText w:val="%2"/>
      <w:numFmt w:val="decimal"/>
      <w:start w:val="11"/>
    </w:lvl>
  </w:abstractNum>
  <w:abstractNum w:abstractNumId="40">
    <w:nsid w:val="38437FDB"/>
    <w:multiLevelType w:val="hybridMultilevel"/>
    <w:lvl w:ilvl="0">
      <w:lvlJc w:val="left"/>
      <w:lvlText w:val="2"/>
      <w:numFmt w:val="bullet"/>
      <w:start w:val="1"/>
    </w:lvl>
  </w:abstractNum>
  <w:abstractNum w:abstractNumId="41">
    <w:nsid w:val="7644A45C"/>
    <w:multiLevelType w:val="hybridMultilevel"/>
    <w:lvl w:ilvl="0">
      <w:lvlJc w:val="left"/>
      <w:lvlText w:val="1"/>
      <w:numFmt w:val="bullet"/>
      <w:start w:val="1"/>
    </w:lvl>
  </w:abstractNum>
  <w:abstractNum w:abstractNumId="42">
    <w:nsid w:val="32FFF902"/>
    <w:multiLevelType w:val="hybridMultilevel"/>
    <w:lvl w:ilvl="0">
      <w:lvlJc w:val="left"/>
      <w:lvlText w:val="2"/>
      <w:numFmt w:val="bullet"/>
      <w:start w:val="1"/>
    </w:lvl>
  </w:abstractNum>
  <w:abstractNum w:abstractNumId="43">
    <w:nsid w:val="684A481A"/>
    <w:multiLevelType w:val="hybridMultilevel"/>
    <w:lvl w:ilvl="0">
      <w:lvlJc w:val="left"/>
      <w:lvlText w:val="3"/>
      <w:numFmt w:val="bullet"/>
      <w:start w:val="1"/>
    </w:lvl>
  </w:abstractNum>
  <w:abstractNum w:abstractNumId="44">
    <w:nsid w:val="579478FE"/>
    <w:multiLevelType w:val="hybridMultilevel"/>
    <w:lvl w:ilvl="0">
      <w:lvlJc w:val="left"/>
      <w:lvlText w:val="4"/>
      <w:numFmt w:val="bullet"/>
      <w:start w:val="1"/>
    </w:lvl>
  </w:abstractNum>
  <w:abstractNum w:abstractNumId="45">
    <w:nsid w:val="749ABB43"/>
    <w:multiLevelType w:val="hybridMultilevel"/>
    <w:lvl w:ilvl="0">
      <w:lvlJc w:val="left"/>
      <w:lvlText w:val="5"/>
      <w:numFmt w:val="bullet"/>
      <w:start w:val="1"/>
    </w:lvl>
  </w:abstractNum>
  <w:abstractNum w:abstractNumId="46">
    <w:nsid w:val="3DC240FB"/>
    <w:multiLevelType w:val="hybridMultilevel"/>
    <w:lvl w:ilvl="0">
      <w:lvlJc w:val="left"/>
      <w:lvlText w:val="6"/>
      <w:numFmt w:val="bullet"/>
      <w:start w:val="1"/>
    </w:lvl>
  </w:abstractNum>
  <w:abstractNum w:abstractNumId="47">
    <w:nsid w:val="1BA026FA"/>
    <w:multiLevelType w:val="hybridMultilevel"/>
    <w:lvl w:ilvl="0">
      <w:lvlJc w:val="left"/>
      <w:lvlText w:val="%1"/>
      <w:numFmt w:val="decimal"/>
      <w:start w:val="1"/>
    </w:lvl>
    <w:lvl w:ilvl="1">
      <w:lvlJc w:val="left"/>
      <w:lvlText w:val="%2"/>
      <w:numFmt w:val="decimal"/>
      <w:start w:val="11"/>
    </w:lvl>
  </w:abstractNum>
  <w:abstractNum w:abstractNumId="48">
    <w:nsid w:val="79A1DEAA"/>
    <w:multiLevelType w:val="hybridMultilevel"/>
    <w:lvl w:ilvl="0">
      <w:lvlJc w:val="left"/>
      <w:lvlText w:val="2"/>
      <w:numFmt w:val="bullet"/>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lowerLetter"/>
      <w:start w:val="3"/>
    </w:lvl>
  </w:abstractNum>
  <w:abstractNum w:abstractNumId="53">
    <w:nsid w:val="374A3FE6"/>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2019-11-30T15:04:17Z</dcterms:created>
  <dcterms:modified xsi:type="dcterms:W3CDTF">2019-11-30T15:04:17Z</dcterms:modified>
</cp:coreProperties>
</file>