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001-38537</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81-0710585</w:t>
            </w:r>
          </w:p>
        </w:tc>
      </w:tr>
      <w:tr>
        <w:trPr>
          <w:trHeight w:val="216"/>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7"/>
        </w:trPr>
        <w:tc>
          <w:tcPr>
            <w:tcW w:w="2140" w:type="dxa"/>
            <w:vAlign w:val="bottom"/>
          </w:tcPr>
          <w:p>
            <w:pPr>
              <w:spacing w:after="0"/>
              <w:rPr>
                <w:sz w:val="24"/>
                <w:szCs w:val="24"/>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100 Technology Square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Sixth Floor</w:t>
            </w:r>
          </w:p>
        </w:tc>
        <w:tc>
          <w:tcPr>
            <w:tcW w:w="168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168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680" w:type="dxa"/>
            <w:vAlign w:val="bottom"/>
          </w:tcPr>
          <w:p>
            <w:pPr>
              <w:spacing w:after="0"/>
              <w:rPr>
                <w:sz w:val="20"/>
                <w:szCs w:val="20"/>
                <w:color w:val="auto"/>
              </w:rPr>
            </w:pPr>
          </w:p>
        </w:tc>
      </w:tr>
      <w:tr>
        <w:trPr>
          <w:trHeight w:val="437"/>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(617) 914-8420</w:t>
            </w:r>
          </w:p>
        </w:tc>
        <w:tc>
          <w:tcPr>
            <w:tcW w:w="16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80" w:type="dxa"/>
            <w:vAlign w:val="bottom"/>
          </w:tcPr>
          <w:p>
            <w:pPr>
              <w:spacing w:after="0"/>
              <w:rPr>
                <w:sz w:val="20"/>
                <w:szCs w:val="20"/>
                <w:color w:val="auto"/>
              </w:rPr>
            </w:pPr>
          </w:p>
        </w:tc>
      </w:tr>
      <w:tr>
        <w:trPr>
          <w:trHeight w:val="437"/>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7"/>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40" w:type="dxa"/>
            <w:vAlign w:val="bottom"/>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AVRO</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 230.405 of this chapter) or Rule 12b-2 of the Securities Exchange Act of 1934 (Sec.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8, 2022, AVROBIO, Inc. (the “Company”) issued a press release containing information about the Company’s results of operations for the three and nine months ended September 30, 2022. A copy of this press release is furnished as Exhibit 99.1 to this Current Report on Form 8-K.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issued by AVROBIO, Inc., dated November 8, 2022.</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20" w:val="left"/>
          <w:tab w:leader="none" w:pos="62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Geoff MacKay</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AVROBIO Reports Third Quarter 2022 Financial Results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Provides Business Update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Patient dosing completed in collaborator-sponsored Phase 1/2 clinical trial for cystinosis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Rare pediatric disease designations received for Gaucher disease and cystinosis investigational gene therapies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Comprehensive Gaucher disease program update planned for Wednesday, Dec. 7</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CAMBRIDGE, Mass., Nov. 8, 2022 -- AVROBIO, Inc. (Nasdaq: AVRO), a leading clinical-stage gene therapy company working to free people from a lifetime of genetic disease, today reported financial results for the third quarter ended Sept. 30, 2022 and provided a business update.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had a steady cadence of news this quarter highlighting our steadfast efforts to bring our gene therapies to patients,” said Geoff MacKay, president and CEO of AVROBIO. “We look forward to providing a comprehensive update next month on our HSC gene therapy targeting Gaucher disease, the most common lysosomal disorder, impacting an estimated 30,000 patients worldwide. This update will contain interim clinical data from our Gaucher disease type 1 Phase 1/2 trial, including data out over two years. Notably, we plan to provide an update on our regulatory interactions for a planned Gaucher disease type 3 clinical study, as well as our overall Gaucher clinical development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AVR-RD-02 in Gaucher disease:</w:t>
      </w:r>
    </w:p>
    <w:p>
      <w:pPr>
        <w:spacing w:after="0" w:line="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rare pediatric disease designation (RPDD) from the U.S. Food and Drug Administration (FDA). Read full press release here</w:t>
      </w:r>
    </w:p>
    <w:p>
      <w:pPr>
        <w:spacing w:after="0" w:line="9" w:lineRule="exact"/>
        <w:rPr>
          <w:rFonts w:ascii="Times New Roman" w:cs="Times New Roman" w:eastAsia="Times New Roman" w:hAnsi="Times New Roman"/>
          <w:sz w:val="18"/>
          <w:szCs w:val="18"/>
          <w:color w:val="auto"/>
        </w:rPr>
      </w:pPr>
    </w:p>
    <w:p>
      <w:pPr>
        <w:ind w:left="340" w:right="7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Innovation Passport under the Innovative Licensing and Access Pathway (ILAP) from the U.K. Medicines and Healthcare products Regulatory Agency (MHRA). Read full press release here</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AVR-RD-02 previously has been granted Fast Track status from FDA and orphan drug designation (ODD) in the U.S. and EU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AVR-RD-04 in cystinosis:</w:t>
      </w:r>
    </w:p>
    <w:p>
      <w:pPr>
        <w:spacing w:after="0" w:line="27" w:lineRule="exact"/>
        <w:rPr>
          <w:sz w:val="20"/>
          <w:szCs w:val="20"/>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dosing completed in collaborator-sponsored Phase 1/2 trial. Interim efficacy data from first five patients show systemic gene therapy effect across multiple tissues evaluated, including peripheral blood leukocytes, eyes, skin, gastrointestinal mucosa and neurocognitive system. Read full press release here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RPDD for AVR-RD-04 from FDA. Read full press release here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AVR-RD-04 previously has been granted ODD in the U.S. and EU</w:t>
      </w:r>
    </w:p>
    <w:p>
      <w:pPr>
        <w:spacing w:after="0" w:line="9" w:lineRule="exact"/>
        <w:rPr>
          <w:rFonts w:ascii="Times New Roman" w:cs="Times New Roman" w:eastAsia="Times New Roman" w:hAnsi="Times New Roman"/>
          <w:sz w:val="18"/>
          <w:szCs w:val="18"/>
          <w:color w:val="auto"/>
        </w:rPr>
      </w:pPr>
    </w:p>
    <w:p>
      <w:pPr>
        <w:ind w:left="340" w:right="18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a meeting request to the MHRA to discuss a company-sponsored clinical trial for AVR-RD-04 and expect a scientific advice meeting with MHRA in Q1 2023; planning to engage with other regulatory authorities as we expand this anticipated global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AVR-RD-05 in Hunter syndrome:</w:t>
      </w:r>
    </w:p>
    <w:p>
      <w:pPr>
        <w:spacing w:after="0" w:line="27" w:lineRule="exact"/>
        <w:rPr>
          <w:sz w:val="20"/>
          <w:szCs w:val="20"/>
          <w:color w:val="auto"/>
        </w:rPr>
      </w:pPr>
    </w:p>
    <w:p>
      <w:pPr>
        <w:jc w:val="both"/>
        <w:ind w:left="340" w:right="20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application (CTA) approved by the MHRA, Research Ethics Committee and Health Research Authority for a Phase 1/2 clinical trial in infants diagnosed with neuronopathic mucopolysaccharidosis type II (nMPS-II) or Hunter syndrome. AVROBIO’s collaborators at the University of Manchester, U.K., expect to dose the first patient in the trial in 1H 2023. Read full press release here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AVR-RD-05 previously has been granted RPDD and ODD in the U.S.</w:t>
      </w:r>
    </w:p>
    <w:p>
      <w:pPr>
        <w:spacing w:after="0" w:line="207"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u w:val="single" w:color="auto"/>
          <w:color w:val="auto"/>
        </w:rPr>
        <w:t>Presented positive data on the combined use of two state-of-the-art assays to evaluate the genotoxicity risk of integrating vectors during preclinical development, at the 29th Annual Congress of the European Society of Gene &amp; Cell Therapy (ESGCT), Oct. 11-14, 2022 in Edinburgh, Scotland</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the full press release here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Gaucher disease program update planned for Dec. 7, 2022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will provide an update to investors on its Gaucher disease program, including new and updated data from the Guard1 Phase 1/2 clinical trial of AVR-RD-02 for Gaucher disease type 1 and an update on regulatory interactions for a planned Gaucher disease type 3 clinical study, as well as the overall Gaucher clinical development strategy. More information on this virtual event will follow in the next few weeks and will be posted on the corporate website ahead of the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Financial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reported a net loss of $ 23.0 million for the third quarter of 2022 as compared to a net loss of $32.6 million for the comparable period in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driven by a reduction in research and development expenses.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$15.9 million for the third quarter of 2022 as compared to $23.0 million for the comparable period in 2021. This decrease was driven by a reduction in program development expenses and personnel-related costs, including non-cash stock-based compensation.</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$7.1 million for the third quarter of 2022 as compared to $9.6 million for the comparable period in 2021. This decrease was attributable to a decrease in personnel-related costs, including non-cash stock-based compensation, and a decrease in other expenses, primarily related to facilities costs and professional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was less than $0.1 million in income for the third quarter of 2022 as well as for the comparable period in 2021.</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2022, AVROBIO had $116.0 million in cash and cash equivalents, as compared to $189.6 million in cash and cash equivalents as of December 31, 2021. Based on AVROBIO’s current operating plan, AVROBIO expects its cash and cash equivalents as of September 30, 2022, will enable AVROBIO to fund its operating expenses and capital expenditure requirements into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vision is to bring personalized gene therapy to the world. We target the root cause of genetic disease by introducing a functional copy of the affected gene into patients’ own hematopoietic stem cells (HSCs), with the goal to durably express the therapeutic protein throughout the body, including the central nervous system. Our first-in-class pipeline includes clinical programs for cystinosis and Gaucher disease type 1, as well as preclinical programs for Gaucher disease type 3, Hunter syndrome and Pompe disease. Our proprietary plato® gene therapy platform is designed to be scaled to support late-stage clinical development and commercialization globally. We are headquartered in Cambridge, Mass. For additional information, visit avrobio.com and follow us on</w:t>
      </w:r>
      <w:r>
        <w:rPr>
          <w:rFonts w:ascii="Times New Roman" w:cs="Times New Roman" w:eastAsia="Times New Roman" w:hAnsi="Times New Roman"/>
          <w:sz w:val="18"/>
          <w:szCs w:val="18"/>
          <w:color w:val="4472C4"/>
        </w:rPr>
        <w:t> </w:t>
      </w:r>
      <w:r>
        <w:rPr>
          <w:rFonts w:ascii="Times New Roman" w:cs="Times New Roman" w:eastAsia="Times New Roman" w:hAnsi="Times New Roman"/>
          <w:sz w:val="18"/>
          <w:szCs w:val="18"/>
          <w:color w:val="auto"/>
        </w:rPr>
        <w:t>Twitter and LinkedIn.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3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current and prospective product candidates, the expected safety profile of our investigational gene therapies, results of preclinical studies, the design, commencement, enrollment and timing of ongoing or planned clinical trials, clinical trial results, product approvals and regulatory pathways, the timing of patient recruitment and enrollment activities, our plans and expectations with respect to interactions with regulatory agencies and the timing and likelihood of success thereof, the expected benefits and results of our implementation of the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in our clinical trials and gene therapy programs and its potential impact on our manufacturing and commercialization activities, and statements regarding our financial and cash position and expected cash runway, including impact on anticipated milestones.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line="244"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we may be unable to realize the potential benefits associated with rare pediatric disease designation, the Innovative Licensing and Access Pathway, or any other regulatory strategy,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 Rodophele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617-999-9620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98,090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169,476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jc w:val="center"/>
              <w:ind w:right="3710"/>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54,049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64,114</w:t>
            </w:r>
          </w:p>
        </w:tc>
      </w:tr>
      <w:tr>
        <w:trPr>
          <w:trHeight w:val="223"/>
        </w:trPr>
        <w:tc>
          <w:tcPr>
            <w:tcW w:w="594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9,577</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26,128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26,765</w:t>
            </w:r>
          </w:p>
        </w:tc>
      </w:tr>
      <w:tr>
        <w:trPr>
          <w:trHeight w:val="216"/>
        </w:trPr>
        <w:tc>
          <w:tcPr>
            <w:tcW w:w="5940" w:type="dxa"/>
            <w:vAlign w:val="bottom"/>
            <w:shd w:val="clear" w:color="auto" w:fill="CCEEFF"/>
          </w:tcPr>
          <w:p>
            <w:pPr>
              <w:jc w:val="center"/>
              <w:ind w:right="3690"/>
              <w:spacing w:after="0"/>
              <w:rPr>
                <w:sz w:val="20"/>
                <w:szCs w:val="20"/>
                <w:color w:val="auto"/>
              </w:rPr>
            </w:pPr>
            <w:r>
              <w:rPr>
                <w:rFonts w:ascii="Times New Roman" w:cs="Times New Roman" w:eastAsia="Times New Roman" w:hAnsi="Times New Roman"/>
                <w:sz w:val="18"/>
                <w:szCs w:val="18"/>
                <w:color w:val="auto"/>
                <w:w w:val="99"/>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90,879</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(32,620)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(90,879)</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42,588</w:t>
            </w:r>
          </w:p>
        </w:tc>
        <w:tc>
          <w:tcPr>
            <w:tcW w:w="100" w:type="dxa"/>
            <w:vAlign w:val="bottom"/>
            <w:shd w:val="clear" w:color="auto" w:fill="CCEEFF"/>
          </w:tcPr>
          <w:p>
            <w:pPr>
              <w:spacing w:after="0"/>
              <w:rPr>
                <w:sz w:val="18"/>
                <w:szCs w:val="18"/>
                <w:color w:val="auto"/>
              </w:rPr>
            </w:pPr>
          </w:p>
        </w:tc>
      </w:tr>
      <w:tr>
        <w:trPr>
          <w:trHeight w:val="318"/>
        </w:trPr>
        <w:tc>
          <w:tcPr>
            <w:tcW w:w="5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2022-11-08T06:18:48Z</dcterms:created>
  <dcterms:modified xsi:type="dcterms:W3CDTF">2022-11-08T06:18:48Z</dcterms:modified>
</cp:coreProperties>
</file>