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18, 2021</w:t>
      </w:r>
    </w:p>
    <w:p>
      <w:pPr>
        <w:spacing w:after="0" w:line="31"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5960" w:type="dxa"/>
            <w:vAlign w:val="bottom"/>
          </w:tcPr>
          <w:p>
            <w:pPr>
              <w:jc w:val="center"/>
              <w:ind w:right="339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81-0710585</w:t>
            </w:r>
          </w:p>
        </w:tc>
      </w:tr>
      <w:tr>
        <w:trPr>
          <w:trHeight w:val="148"/>
        </w:trPr>
        <w:tc>
          <w:tcPr>
            <w:tcW w:w="5960" w:type="dxa"/>
            <w:vAlign w:val="bottom"/>
          </w:tcPr>
          <w:p>
            <w:pPr>
              <w:jc w:val="center"/>
              <w:ind w:right="339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60" w:type="dxa"/>
            <w:vAlign w:val="bottom"/>
          </w:tcPr>
          <w:p>
            <w:pPr>
              <w:jc w:val="center"/>
              <w:ind w:left="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60" w:type="dxa"/>
            <w:vAlign w:val="bottom"/>
          </w:tcPr>
          <w:p>
            <w:pPr>
              <w:jc w:val="center"/>
              <w:ind w:right="339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98"/>
        </w:trPr>
        <w:tc>
          <w:tcPr>
            <w:tcW w:w="5960" w:type="dxa"/>
            <w:vAlign w:val="bottom"/>
          </w:tcPr>
          <w:p>
            <w:pPr>
              <w:jc w:val="center"/>
              <w:ind w:right="3394"/>
              <w:spacing w:after="0"/>
              <w:rPr>
                <w:sz w:val="20"/>
                <w:szCs w:val="20"/>
                <w:color w:val="auto"/>
              </w:rPr>
            </w:pPr>
            <w:r>
              <w:rPr>
                <w:rFonts w:ascii="Times New Roman" w:cs="Times New Roman" w:eastAsia="Times New Roman" w:hAnsi="Times New Roman"/>
                <w:sz w:val="18"/>
                <w:szCs w:val="18"/>
                <w:b w:val="1"/>
                <w:bCs w:val="1"/>
                <w:color w:val="auto"/>
                <w:w w:val="99"/>
              </w:rPr>
              <w:t>One Kendall Square</w:t>
            </w:r>
          </w:p>
        </w:tc>
        <w:tc>
          <w:tcPr>
            <w:tcW w:w="1560" w:type="dxa"/>
            <w:vAlign w:val="bottom"/>
          </w:tcPr>
          <w:p>
            <w:pPr>
              <w:spacing w:after="0"/>
              <w:rPr>
                <w:sz w:val="24"/>
                <w:szCs w:val="24"/>
                <w:color w:val="auto"/>
              </w:rPr>
            </w:pPr>
          </w:p>
        </w:tc>
      </w:tr>
      <w:tr>
        <w:trPr>
          <w:trHeight w:val="216"/>
        </w:trPr>
        <w:tc>
          <w:tcPr>
            <w:tcW w:w="5960" w:type="dxa"/>
            <w:vAlign w:val="bottom"/>
          </w:tcPr>
          <w:p>
            <w:pPr>
              <w:jc w:val="center"/>
              <w:ind w:right="3394"/>
              <w:spacing w:after="0"/>
              <w:rPr>
                <w:sz w:val="20"/>
                <w:szCs w:val="20"/>
                <w:color w:val="auto"/>
              </w:rPr>
            </w:pPr>
            <w:r>
              <w:rPr>
                <w:rFonts w:ascii="Times New Roman" w:cs="Times New Roman" w:eastAsia="Times New Roman" w:hAnsi="Times New Roman"/>
                <w:sz w:val="18"/>
                <w:szCs w:val="18"/>
                <w:b w:val="1"/>
                <w:bCs w:val="1"/>
                <w:color w:val="auto"/>
                <w:w w:val="99"/>
              </w:rPr>
              <w:t>Building 300, Suite 201</w:t>
            </w:r>
          </w:p>
        </w:tc>
        <w:tc>
          <w:tcPr>
            <w:tcW w:w="1560" w:type="dxa"/>
            <w:vAlign w:val="bottom"/>
          </w:tcPr>
          <w:p>
            <w:pPr>
              <w:spacing w:after="0"/>
              <w:rPr>
                <w:sz w:val="18"/>
                <w:szCs w:val="18"/>
                <w:color w:val="auto"/>
              </w:rPr>
            </w:pPr>
          </w:p>
        </w:tc>
      </w:tr>
      <w:tr>
        <w:trPr>
          <w:trHeight w:val="227"/>
        </w:trPr>
        <w:tc>
          <w:tcPr>
            <w:tcW w:w="5960" w:type="dxa"/>
            <w:vAlign w:val="bottom"/>
          </w:tcPr>
          <w:p>
            <w:pPr>
              <w:jc w:val="center"/>
              <w:ind w:right="3394"/>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156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5960" w:type="dxa"/>
            <w:vAlign w:val="bottom"/>
          </w:tcPr>
          <w:p>
            <w:pPr>
              <w:jc w:val="center"/>
              <w:ind w:right="341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5960" w:type="dxa"/>
            <w:vAlign w:val="bottom"/>
          </w:tcPr>
          <w:p>
            <w:pPr>
              <w:jc w:val="center"/>
              <w:ind w:left="1894"/>
              <w:spacing w:after="0"/>
              <w:rPr>
                <w:sz w:val="20"/>
                <w:szCs w:val="20"/>
                <w:color w:val="auto"/>
              </w:rPr>
            </w:pPr>
            <w:r>
              <w:rPr>
                <w:rFonts w:ascii="Times New Roman" w:cs="Times New Roman" w:eastAsia="Times New Roman" w:hAnsi="Times New Roman"/>
                <w:sz w:val="18"/>
                <w:szCs w:val="18"/>
                <w:b w:val="1"/>
                <w:bCs w:val="1"/>
                <w:color w:val="auto"/>
                <w:w w:val="98"/>
              </w:rPr>
              <w:t>AVROBIO, Inc. 2020 Inducement Plan</w:t>
            </w:r>
          </w:p>
        </w:tc>
        <w:tc>
          <w:tcPr>
            <w:tcW w:w="1560" w:type="dxa"/>
            <w:vAlign w:val="bottom"/>
          </w:tcPr>
          <w:p>
            <w:pPr>
              <w:spacing w:after="0"/>
              <w:rPr>
                <w:sz w:val="24"/>
                <w:szCs w:val="24"/>
                <w:color w:val="auto"/>
              </w:rPr>
            </w:pPr>
          </w:p>
        </w:tc>
      </w:tr>
      <w:tr>
        <w:trPr>
          <w:trHeight w:val="216"/>
        </w:trPr>
        <w:tc>
          <w:tcPr>
            <w:tcW w:w="5960" w:type="dxa"/>
            <w:vAlign w:val="bottom"/>
          </w:tcPr>
          <w:p>
            <w:pPr>
              <w:jc w:val="center"/>
              <w:ind w:left="1894"/>
              <w:spacing w:after="0"/>
              <w:rPr>
                <w:sz w:val="20"/>
                <w:szCs w:val="20"/>
                <w:color w:val="auto"/>
              </w:rPr>
            </w:pPr>
            <w:r>
              <w:rPr>
                <w:rFonts w:ascii="Times New Roman" w:cs="Times New Roman" w:eastAsia="Times New Roman" w:hAnsi="Times New Roman"/>
                <w:sz w:val="18"/>
                <w:szCs w:val="18"/>
                <w:b w:val="1"/>
                <w:bCs w:val="1"/>
                <w:color w:val="auto"/>
                <w:w w:val="99"/>
              </w:rPr>
              <w:t>2018 Stock Option and Incentive Plan</w:t>
            </w:r>
          </w:p>
        </w:tc>
        <w:tc>
          <w:tcPr>
            <w:tcW w:w="1560" w:type="dxa"/>
            <w:vAlign w:val="bottom"/>
          </w:tcPr>
          <w:p>
            <w:pPr>
              <w:spacing w:after="0"/>
              <w:rPr>
                <w:sz w:val="18"/>
                <w:szCs w:val="18"/>
                <w:color w:val="auto"/>
              </w:rPr>
            </w:pPr>
          </w:p>
        </w:tc>
      </w:tr>
      <w:tr>
        <w:trPr>
          <w:trHeight w:val="214"/>
        </w:trPr>
        <w:tc>
          <w:tcPr>
            <w:tcW w:w="5960" w:type="dxa"/>
            <w:vAlign w:val="bottom"/>
          </w:tcPr>
          <w:p>
            <w:pPr>
              <w:jc w:val="center"/>
              <w:ind w:left="1894"/>
              <w:spacing w:after="0"/>
              <w:rPr>
                <w:sz w:val="20"/>
                <w:szCs w:val="20"/>
                <w:color w:val="auto"/>
              </w:rPr>
            </w:pPr>
            <w:r>
              <w:rPr>
                <w:rFonts w:ascii="Times New Roman" w:cs="Times New Roman" w:eastAsia="Times New Roman" w:hAnsi="Times New Roman"/>
                <w:sz w:val="18"/>
                <w:szCs w:val="18"/>
                <w:b w:val="1"/>
                <w:bCs w:val="1"/>
                <w:color w:val="auto"/>
                <w:w w:val="99"/>
              </w:rPr>
              <w:t>2018 Employee Stock Purchase Plan</w:t>
            </w:r>
          </w:p>
        </w:tc>
        <w:tc>
          <w:tcPr>
            <w:tcW w:w="1560" w:type="dxa"/>
            <w:vAlign w:val="bottom"/>
          </w:tcPr>
          <w:p>
            <w:pPr>
              <w:spacing w:after="0"/>
              <w:rPr>
                <w:sz w:val="18"/>
                <w:szCs w:val="18"/>
                <w:color w:val="auto"/>
              </w:rPr>
            </w:pPr>
          </w:p>
        </w:tc>
      </w:tr>
      <w:tr>
        <w:trPr>
          <w:trHeight w:val="190"/>
        </w:trPr>
        <w:tc>
          <w:tcPr>
            <w:tcW w:w="5960" w:type="dxa"/>
            <w:vAlign w:val="bottom"/>
          </w:tcPr>
          <w:p>
            <w:pPr>
              <w:jc w:val="center"/>
              <w:ind w:left="1894"/>
              <w:spacing w:after="0"/>
              <w:rPr>
                <w:sz w:val="20"/>
                <w:szCs w:val="20"/>
                <w:color w:val="auto"/>
              </w:rPr>
            </w:pPr>
            <w:r>
              <w:rPr>
                <w:rFonts w:ascii="Times New Roman" w:cs="Times New Roman" w:eastAsia="Times New Roman" w:hAnsi="Times New Roman"/>
                <w:sz w:val="14"/>
                <w:szCs w:val="14"/>
                <w:b w:val="1"/>
                <w:bCs w:val="1"/>
                <w:color w:val="auto"/>
              </w:rPr>
              <w:t>(Full Title of the Plans)</w:t>
            </w:r>
          </w:p>
        </w:tc>
        <w:tc>
          <w:tcPr>
            <w:tcW w:w="1560" w:type="dxa"/>
            <w:vAlign w:val="bottom"/>
          </w:tcPr>
          <w:p>
            <w:pPr>
              <w:spacing w:after="0"/>
              <w:rPr>
                <w:sz w:val="16"/>
                <w:szCs w:val="16"/>
                <w:color w:val="auto"/>
              </w:rPr>
            </w:pPr>
          </w:p>
        </w:tc>
      </w:tr>
      <w:tr>
        <w:trPr>
          <w:trHeight w:val="393"/>
        </w:trPr>
        <w:tc>
          <w:tcPr>
            <w:tcW w:w="5960" w:type="dxa"/>
            <w:vAlign w:val="bottom"/>
          </w:tcPr>
          <w:p>
            <w:pPr>
              <w:jc w:val="center"/>
              <w:ind w:left="1894"/>
              <w:spacing w:after="0"/>
              <w:rPr>
                <w:sz w:val="20"/>
                <w:szCs w:val="20"/>
                <w:color w:val="auto"/>
              </w:rPr>
            </w:pPr>
            <w:r>
              <w:rPr>
                <w:rFonts w:ascii="Times New Roman" w:cs="Times New Roman" w:eastAsia="Times New Roman" w:hAnsi="Times New Roman"/>
                <w:sz w:val="18"/>
                <w:szCs w:val="18"/>
                <w:b w:val="1"/>
                <w:bCs w:val="1"/>
                <w:color w:val="auto"/>
              </w:rPr>
              <w:t>Geoff MacKay</w:t>
            </w:r>
          </w:p>
        </w:tc>
        <w:tc>
          <w:tcPr>
            <w:tcW w:w="1560" w:type="dxa"/>
            <w:vAlign w:val="bottom"/>
          </w:tcPr>
          <w:p>
            <w:pPr>
              <w:spacing w:after="0"/>
              <w:rPr>
                <w:sz w:val="24"/>
                <w:szCs w:val="24"/>
                <w:color w:val="auto"/>
              </w:rPr>
            </w:pPr>
          </w:p>
        </w:tc>
      </w:tr>
      <w:tr>
        <w:trPr>
          <w:trHeight w:val="216"/>
        </w:trPr>
        <w:tc>
          <w:tcPr>
            <w:tcW w:w="5960" w:type="dxa"/>
            <w:vAlign w:val="bottom"/>
          </w:tcPr>
          <w:p>
            <w:pPr>
              <w:jc w:val="center"/>
              <w:ind w:left="1874"/>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1560" w:type="dxa"/>
            <w:vAlign w:val="bottom"/>
          </w:tcPr>
          <w:p>
            <w:pPr>
              <w:spacing w:after="0"/>
              <w:rPr>
                <w:sz w:val="18"/>
                <w:szCs w:val="18"/>
                <w:color w:val="auto"/>
              </w:rPr>
            </w:pPr>
          </w:p>
        </w:tc>
      </w:tr>
      <w:tr>
        <w:trPr>
          <w:trHeight w:val="216"/>
        </w:trPr>
        <w:tc>
          <w:tcPr>
            <w:tcW w:w="5960" w:type="dxa"/>
            <w:vAlign w:val="bottom"/>
          </w:tcPr>
          <w:p>
            <w:pPr>
              <w:jc w:val="center"/>
              <w:ind w:left="1874"/>
              <w:spacing w:after="0"/>
              <w:rPr>
                <w:sz w:val="20"/>
                <w:szCs w:val="20"/>
                <w:color w:val="auto"/>
              </w:rPr>
            </w:pPr>
            <w:r>
              <w:rPr>
                <w:rFonts w:ascii="Times New Roman" w:cs="Times New Roman" w:eastAsia="Times New Roman" w:hAnsi="Times New Roman"/>
                <w:sz w:val="18"/>
                <w:szCs w:val="18"/>
                <w:b w:val="1"/>
                <w:bCs w:val="1"/>
                <w:color w:val="auto"/>
                <w:w w:val="99"/>
              </w:rPr>
              <w:t>One Kendall Square</w:t>
            </w:r>
          </w:p>
        </w:tc>
        <w:tc>
          <w:tcPr>
            <w:tcW w:w="1560" w:type="dxa"/>
            <w:vAlign w:val="bottom"/>
          </w:tcPr>
          <w:p>
            <w:pPr>
              <w:spacing w:after="0"/>
              <w:rPr>
                <w:sz w:val="18"/>
                <w:szCs w:val="18"/>
                <w:color w:val="auto"/>
              </w:rPr>
            </w:pPr>
          </w:p>
        </w:tc>
      </w:tr>
      <w:tr>
        <w:trPr>
          <w:trHeight w:val="216"/>
        </w:trPr>
        <w:tc>
          <w:tcPr>
            <w:tcW w:w="5960" w:type="dxa"/>
            <w:vAlign w:val="bottom"/>
          </w:tcPr>
          <w:p>
            <w:pPr>
              <w:jc w:val="center"/>
              <w:ind w:left="1874"/>
              <w:spacing w:after="0"/>
              <w:rPr>
                <w:sz w:val="20"/>
                <w:szCs w:val="20"/>
                <w:color w:val="auto"/>
              </w:rPr>
            </w:pPr>
            <w:r>
              <w:rPr>
                <w:rFonts w:ascii="Times New Roman" w:cs="Times New Roman" w:eastAsia="Times New Roman" w:hAnsi="Times New Roman"/>
                <w:sz w:val="18"/>
                <w:szCs w:val="18"/>
                <w:b w:val="1"/>
                <w:bCs w:val="1"/>
                <w:color w:val="auto"/>
                <w:w w:val="99"/>
              </w:rPr>
              <w:t>Building 300, Suite 201</w:t>
            </w:r>
          </w:p>
        </w:tc>
        <w:tc>
          <w:tcPr>
            <w:tcW w:w="1560" w:type="dxa"/>
            <w:vAlign w:val="bottom"/>
          </w:tcPr>
          <w:p>
            <w:pPr>
              <w:spacing w:after="0"/>
              <w:rPr>
                <w:sz w:val="18"/>
                <w:szCs w:val="18"/>
                <w:color w:val="auto"/>
              </w:rPr>
            </w:pPr>
          </w:p>
        </w:tc>
      </w:tr>
      <w:tr>
        <w:trPr>
          <w:trHeight w:val="214"/>
        </w:trPr>
        <w:tc>
          <w:tcPr>
            <w:tcW w:w="5960" w:type="dxa"/>
            <w:vAlign w:val="bottom"/>
          </w:tcPr>
          <w:p>
            <w:pPr>
              <w:jc w:val="center"/>
              <w:ind w:left="1874"/>
              <w:spacing w:after="0"/>
              <w:rPr>
                <w:sz w:val="20"/>
                <w:szCs w:val="20"/>
                <w:color w:val="auto"/>
              </w:rPr>
            </w:pPr>
            <w:r>
              <w:rPr>
                <w:rFonts w:ascii="Times New Roman" w:cs="Times New Roman" w:eastAsia="Times New Roman" w:hAnsi="Times New Roman"/>
                <w:sz w:val="18"/>
                <w:szCs w:val="18"/>
                <w:b w:val="1"/>
                <w:bCs w:val="1"/>
                <w:color w:val="auto"/>
              </w:rPr>
              <w:t>Cambridge, MA 02139</w:t>
            </w:r>
          </w:p>
        </w:tc>
        <w:tc>
          <w:tcPr>
            <w:tcW w:w="1560" w:type="dxa"/>
            <w:vAlign w:val="bottom"/>
          </w:tcPr>
          <w:p>
            <w:pPr>
              <w:spacing w:after="0"/>
              <w:rPr>
                <w:sz w:val="18"/>
                <w:szCs w:val="18"/>
                <w:color w:val="auto"/>
              </w:rPr>
            </w:pPr>
          </w:p>
        </w:tc>
      </w:tr>
      <w:tr>
        <w:trPr>
          <w:trHeight w:val="190"/>
        </w:trPr>
        <w:tc>
          <w:tcPr>
            <w:tcW w:w="5960" w:type="dxa"/>
            <w:vAlign w:val="bottom"/>
          </w:tcPr>
          <w:p>
            <w:pPr>
              <w:jc w:val="center"/>
              <w:ind w:left="1874"/>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c>
          <w:tcPr>
            <w:tcW w:w="1560" w:type="dxa"/>
            <w:vAlign w:val="bottom"/>
          </w:tcPr>
          <w:p>
            <w:pPr>
              <w:spacing w:after="0"/>
              <w:rPr>
                <w:sz w:val="16"/>
                <w:szCs w:val="16"/>
                <w:color w:val="auto"/>
              </w:rPr>
            </w:pPr>
          </w:p>
        </w:tc>
      </w:tr>
      <w:tr>
        <w:trPr>
          <w:trHeight w:val="390"/>
        </w:trPr>
        <w:tc>
          <w:tcPr>
            <w:tcW w:w="5960" w:type="dxa"/>
            <w:vAlign w:val="bottom"/>
          </w:tcPr>
          <w:p>
            <w:pPr>
              <w:jc w:val="center"/>
              <w:ind w:left="1874"/>
              <w:spacing w:after="0"/>
              <w:rPr>
                <w:sz w:val="20"/>
                <w:szCs w:val="20"/>
                <w:color w:val="auto"/>
              </w:rPr>
            </w:pPr>
            <w:r>
              <w:rPr>
                <w:rFonts w:ascii="Times New Roman" w:cs="Times New Roman" w:eastAsia="Times New Roman" w:hAnsi="Times New Roman"/>
                <w:sz w:val="18"/>
                <w:szCs w:val="18"/>
                <w:b w:val="1"/>
                <w:bCs w:val="1"/>
                <w:color w:val="auto"/>
                <w:w w:val="99"/>
              </w:rPr>
              <w:t>(617) 914-8420</w:t>
            </w:r>
          </w:p>
        </w:tc>
        <w:tc>
          <w:tcPr>
            <w:tcW w:w="1560" w:type="dxa"/>
            <w:vAlign w:val="bottom"/>
          </w:tcPr>
          <w:p>
            <w:pPr>
              <w:spacing w:after="0"/>
              <w:rPr>
                <w:sz w:val="24"/>
                <w:szCs w:val="24"/>
                <w:color w:val="auto"/>
              </w:rPr>
            </w:pPr>
          </w:p>
        </w:tc>
      </w:tr>
      <w:tr>
        <w:trPr>
          <w:trHeight w:val="190"/>
        </w:trPr>
        <w:tc>
          <w:tcPr>
            <w:tcW w:w="5960" w:type="dxa"/>
            <w:vAlign w:val="bottom"/>
          </w:tcPr>
          <w:p>
            <w:pPr>
              <w:jc w:val="center"/>
              <w:ind w:left="1894"/>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tc>
        <w:tc>
          <w:tcPr>
            <w:tcW w:w="1560" w:type="dxa"/>
            <w:vAlign w:val="bottom"/>
          </w:tcPr>
          <w:p>
            <w:pPr>
              <w:spacing w:after="0"/>
              <w:rPr>
                <w:sz w:val="16"/>
                <w:szCs w:val="16"/>
                <w:color w:val="auto"/>
              </w:rPr>
            </w:pPr>
          </w:p>
        </w:tc>
      </w:tr>
      <w:tr>
        <w:trPr>
          <w:trHeight w:val="415"/>
        </w:trPr>
        <w:tc>
          <w:tcPr>
            <w:tcW w:w="5960" w:type="dxa"/>
            <w:vAlign w:val="bottom"/>
          </w:tcPr>
          <w:p>
            <w:pPr>
              <w:jc w:val="center"/>
              <w:ind w:left="1894"/>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c>
          <w:tcPr>
            <w:tcW w:w="1560" w:type="dxa"/>
            <w:vAlign w:val="bottom"/>
          </w:tcPr>
          <w:p>
            <w:pPr>
              <w:spacing w:after="0"/>
              <w:rPr>
                <w:sz w:val="24"/>
                <w:szCs w:val="24"/>
                <w:color w:val="auto"/>
              </w:rPr>
            </w:pPr>
          </w:p>
        </w:tc>
      </w:tr>
      <w:tr>
        <w:trPr>
          <w:trHeight w:val="302"/>
        </w:trPr>
        <w:tc>
          <w:tcPr>
            <w:tcW w:w="5960" w:type="dxa"/>
            <w:vAlign w:val="bottom"/>
          </w:tcPr>
          <w:p>
            <w:pPr>
              <w:jc w:val="center"/>
              <w:ind w:left="1874"/>
              <w:spacing w:after="0"/>
              <w:rPr>
                <w:sz w:val="20"/>
                <w:szCs w:val="20"/>
                <w:color w:val="auto"/>
              </w:rPr>
            </w:pPr>
            <w:r>
              <w:rPr>
                <w:rFonts w:ascii="Times New Roman" w:cs="Times New Roman" w:eastAsia="Times New Roman" w:hAnsi="Times New Roman"/>
                <w:sz w:val="18"/>
                <w:szCs w:val="18"/>
                <w:b w:val="1"/>
                <w:bCs w:val="1"/>
                <w:color w:val="auto"/>
              </w:rPr>
              <w:t>Arthur R. McGivern, Esq.</w:t>
            </w:r>
          </w:p>
        </w:tc>
        <w:tc>
          <w:tcPr>
            <w:tcW w:w="1560" w:type="dxa"/>
            <w:vAlign w:val="bottom"/>
          </w:tcPr>
          <w:p>
            <w:pPr>
              <w:spacing w:after="0"/>
              <w:rPr>
                <w:sz w:val="24"/>
                <w:szCs w:val="24"/>
                <w:color w:val="auto"/>
              </w:rPr>
            </w:pPr>
          </w:p>
        </w:tc>
      </w:tr>
      <w:tr>
        <w:trPr>
          <w:trHeight w:val="216"/>
        </w:trPr>
        <w:tc>
          <w:tcPr>
            <w:tcW w:w="5960" w:type="dxa"/>
            <w:vAlign w:val="bottom"/>
          </w:tcPr>
          <w:p>
            <w:pPr>
              <w:jc w:val="center"/>
              <w:ind w:left="1894"/>
              <w:spacing w:after="0"/>
              <w:rPr>
                <w:sz w:val="20"/>
                <w:szCs w:val="20"/>
                <w:color w:val="auto"/>
              </w:rPr>
            </w:pPr>
            <w:r>
              <w:rPr>
                <w:rFonts w:ascii="Times New Roman" w:cs="Times New Roman" w:eastAsia="Times New Roman" w:hAnsi="Times New Roman"/>
                <w:sz w:val="18"/>
                <w:szCs w:val="18"/>
                <w:b w:val="1"/>
                <w:bCs w:val="1"/>
                <w:color w:val="auto"/>
                <w:w w:val="99"/>
              </w:rPr>
              <w:t>James Xu, Esq.</w:t>
            </w:r>
          </w:p>
        </w:tc>
        <w:tc>
          <w:tcPr>
            <w:tcW w:w="1560" w:type="dxa"/>
            <w:vAlign w:val="bottom"/>
          </w:tcPr>
          <w:p>
            <w:pPr>
              <w:spacing w:after="0"/>
              <w:rPr>
                <w:sz w:val="18"/>
                <w:szCs w:val="18"/>
                <w:color w:val="auto"/>
              </w:rPr>
            </w:pPr>
          </w:p>
        </w:tc>
      </w:tr>
      <w:tr>
        <w:trPr>
          <w:trHeight w:val="216"/>
        </w:trPr>
        <w:tc>
          <w:tcPr>
            <w:tcW w:w="5960" w:type="dxa"/>
            <w:vAlign w:val="bottom"/>
          </w:tcPr>
          <w:p>
            <w:pPr>
              <w:jc w:val="center"/>
              <w:ind w:left="1874"/>
              <w:spacing w:after="0"/>
              <w:rPr>
                <w:sz w:val="20"/>
                <w:szCs w:val="20"/>
                <w:color w:val="auto"/>
              </w:rPr>
            </w:pPr>
            <w:r>
              <w:rPr>
                <w:rFonts w:ascii="Times New Roman" w:cs="Times New Roman" w:eastAsia="Times New Roman" w:hAnsi="Times New Roman"/>
                <w:sz w:val="18"/>
                <w:szCs w:val="18"/>
                <w:b w:val="1"/>
                <w:bCs w:val="1"/>
                <w:color w:val="auto"/>
                <w:w w:val="99"/>
              </w:rPr>
              <w:t>Goodwin Procter LLP</w:t>
            </w:r>
          </w:p>
        </w:tc>
        <w:tc>
          <w:tcPr>
            <w:tcW w:w="1560" w:type="dxa"/>
            <w:vAlign w:val="bottom"/>
          </w:tcPr>
          <w:p>
            <w:pPr>
              <w:spacing w:after="0"/>
              <w:rPr>
                <w:sz w:val="18"/>
                <w:szCs w:val="18"/>
                <w:color w:val="auto"/>
              </w:rPr>
            </w:pPr>
          </w:p>
        </w:tc>
      </w:tr>
      <w:tr>
        <w:trPr>
          <w:trHeight w:val="216"/>
        </w:trPr>
        <w:tc>
          <w:tcPr>
            <w:tcW w:w="5960" w:type="dxa"/>
            <w:vAlign w:val="bottom"/>
          </w:tcPr>
          <w:p>
            <w:pPr>
              <w:jc w:val="center"/>
              <w:ind w:left="1874"/>
              <w:spacing w:after="0"/>
              <w:rPr>
                <w:sz w:val="20"/>
                <w:szCs w:val="20"/>
                <w:color w:val="auto"/>
              </w:rPr>
            </w:pPr>
            <w:r>
              <w:rPr>
                <w:rFonts w:ascii="Times New Roman" w:cs="Times New Roman" w:eastAsia="Times New Roman" w:hAnsi="Times New Roman"/>
                <w:sz w:val="18"/>
                <w:szCs w:val="18"/>
                <w:b w:val="1"/>
                <w:bCs w:val="1"/>
                <w:color w:val="auto"/>
                <w:w w:val="98"/>
              </w:rPr>
              <w:t>100 Northern Avenue</w:t>
            </w:r>
          </w:p>
        </w:tc>
        <w:tc>
          <w:tcPr>
            <w:tcW w:w="1560" w:type="dxa"/>
            <w:vAlign w:val="bottom"/>
          </w:tcPr>
          <w:p>
            <w:pPr>
              <w:spacing w:after="0"/>
              <w:rPr>
                <w:sz w:val="18"/>
                <w:szCs w:val="18"/>
                <w:color w:val="auto"/>
              </w:rPr>
            </w:pPr>
          </w:p>
        </w:tc>
      </w:tr>
      <w:tr>
        <w:trPr>
          <w:trHeight w:val="216"/>
        </w:trPr>
        <w:tc>
          <w:tcPr>
            <w:tcW w:w="5960" w:type="dxa"/>
            <w:vAlign w:val="bottom"/>
          </w:tcPr>
          <w:p>
            <w:pPr>
              <w:jc w:val="center"/>
              <w:ind w:left="1894"/>
              <w:spacing w:after="0"/>
              <w:rPr>
                <w:sz w:val="20"/>
                <w:szCs w:val="20"/>
                <w:color w:val="auto"/>
              </w:rPr>
            </w:pPr>
            <w:r>
              <w:rPr>
                <w:rFonts w:ascii="Times New Roman" w:cs="Times New Roman" w:eastAsia="Times New Roman" w:hAnsi="Times New Roman"/>
                <w:sz w:val="18"/>
                <w:szCs w:val="18"/>
                <w:b w:val="1"/>
                <w:bCs w:val="1"/>
                <w:color w:val="auto"/>
                <w:w w:val="99"/>
              </w:rPr>
              <w:t>Boston, Massachusetts 02210</w:t>
            </w:r>
          </w:p>
        </w:tc>
        <w:tc>
          <w:tcPr>
            <w:tcW w:w="1560" w:type="dxa"/>
            <w:vAlign w:val="bottom"/>
          </w:tcPr>
          <w:p>
            <w:pPr>
              <w:spacing w:after="0"/>
              <w:rPr>
                <w:sz w:val="18"/>
                <w:szCs w:val="18"/>
                <w:color w:val="auto"/>
              </w:rPr>
            </w:pPr>
          </w:p>
        </w:tc>
      </w:tr>
      <w:tr>
        <w:trPr>
          <w:trHeight w:val="238"/>
        </w:trPr>
        <w:tc>
          <w:tcPr>
            <w:tcW w:w="5960" w:type="dxa"/>
            <w:vAlign w:val="bottom"/>
          </w:tcPr>
          <w:p>
            <w:pPr>
              <w:jc w:val="center"/>
              <w:ind w:left="1874"/>
              <w:spacing w:after="0"/>
              <w:rPr>
                <w:sz w:val="20"/>
                <w:szCs w:val="20"/>
                <w:color w:val="auto"/>
              </w:rPr>
            </w:pPr>
            <w:r>
              <w:rPr>
                <w:rFonts w:ascii="Times New Roman" w:cs="Times New Roman" w:eastAsia="Times New Roman" w:hAnsi="Times New Roman"/>
                <w:sz w:val="18"/>
                <w:szCs w:val="18"/>
                <w:b w:val="1"/>
                <w:bCs w:val="1"/>
                <w:color w:val="auto"/>
                <w:w w:val="99"/>
              </w:rPr>
              <w:t>(617) 570-1000</w:t>
            </w:r>
          </w:p>
        </w:tc>
        <w:tc>
          <w:tcPr>
            <w:tcW w:w="1560" w:type="dxa"/>
            <w:vAlign w:val="bottom"/>
          </w:tcPr>
          <w:p>
            <w:pPr>
              <w:spacing w:after="0"/>
              <w:rPr>
                <w:sz w:val="20"/>
                <w:szCs w:val="20"/>
                <w:color w:val="auto"/>
              </w:rPr>
            </w:pPr>
          </w:p>
        </w:tc>
      </w:tr>
    </w:tbl>
    <w:p>
      <w:pPr>
        <w:spacing w:after="0" w:line="198"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76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76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restart"/>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6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86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Securities</w:t>
            </w:r>
          </w:p>
        </w:tc>
        <w:tc>
          <w:tcPr>
            <w:tcW w:w="190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376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tcPr>
          <w:p>
            <w:pPr>
              <w:jc w:val="center"/>
              <w:ind w:left="1"/>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19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Registered (1)</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9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w w:val="99"/>
              </w:rPr>
              <w:t>1,700,000 shares (2)</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$12.93 (3)</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$21,981,000.00</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$2,398.13</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9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w w:val="99"/>
              </w:rPr>
              <w:t>1,662,762 shares (4)</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$12.93 (5)</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$21,499,512.66</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$2,345.60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25" w:right="439" w:bottom="0" w:gutter="0" w:footer="0" w:header="0"/>
        </w:sectPr>
      </w:pPr>
    </w:p>
    <w:bookmarkStart w:id="1" w:name="page2"/>
    <w:bookmarkEnd w:id="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37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415,690 shares (6)</w:t>
            </w:r>
          </w:p>
        </w:tc>
        <w:tc>
          <w:tcPr>
            <w:tcW w:w="176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$10.99 (7)</w:t>
            </w:r>
          </w:p>
        </w:tc>
        <w:tc>
          <w:tcPr>
            <w:tcW w:w="186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$4,568,433.10</w:t>
            </w:r>
          </w:p>
        </w:tc>
        <w:tc>
          <w:tcPr>
            <w:tcW w:w="17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$498.42</w:t>
            </w:r>
          </w:p>
        </w:tc>
      </w:tr>
      <w:tr>
        <w:trPr>
          <w:trHeight w:val="209"/>
        </w:trPr>
        <w:tc>
          <w:tcPr>
            <w:tcW w:w="3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3,778,452 shares</w:t>
            </w:r>
          </w:p>
        </w:tc>
        <w:tc>
          <w:tcPr>
            <w:tcW w:w="17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$48,048,945.76</w:t>
            </w:r>
          </w:p>
        </w:tc>
        <w:tc>
          <w:tcPr>
            <w:tcW w:w="1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$5,242.15</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4" w:right="540" w:hanging="424"/>
        <w:spacing w:after="0" w:line="255"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shall also cover any additional shares of common stock which become issuable by reason of any stock dividend, stock split, recapitalization or any other similar transaction effected without the receipt of consideration which results in an increase in the number of the registrant’s outstanding shares of common stock.</w:t>
      </w:r>
    </w:p>
    <w:p>
      <w:pPr>
        <w:spacing w:after="0" w:line="2" w:lineRule="exact"/>
        <w:rPr>
          <w:rFonts w:ascii="Times New Roman" w:cs="Times New Roman" w:eastAsia="Times New Roman" w:hAnsi="Times New Roman"/>
          <w:sz w:val="18"/>
          <w:szCs w:val="18"/>
          <w:color w:val="auto"/>
        </w:rPr>
      </w:pPr>
    </w:p>
    <w:p>
      <w:pPr>
        <w:ind w:left="424" w:right="44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and available for future issuance under the registrant’s 2020 Inducement Plan (the “Inducement Plan”).</w:t>
      </w:r>
    </w:p>
    <w:p>
      <w:pPr>
        <w:ind w:left="424" w:right="22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of the Securities Act, and based on the average of the high and low sales prices of the registrant’s common stock, as quoted on the Nasdaq Global Select Market, on March 12, 2021.</w:t>
      </w:r>
    </w:p>
    <w:p>
      <w:pPr>
        <w:ind w:left="424" w:right="8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increase of 1,662,762 shares of common stock to the number of shares available for issuance under the Registrant’s 2018 Stock Option and Incentive Plan (the “Plan”), effective January 1, 2021. Shares available for issuance under the Plan were previously registered on a registration statement on Form S-8 filed with the Securities and Exchange Commission on June 21, 2018 (Registration No. 333-225788), March 25, 2019 (Registration No. 333-230494), March 16, 2020 (Registration No. 333-237203) and August 6, 2020 (Registration</w:t>
      </w:r>
    </w:p>
    <w:p>
      <w:pPr>
        <w:spacing w:after="0" w:line="1"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333-241400).</w:t>
      </w:r>
    </w:p>
    <w:p>
      <w:pPr>
        <w:spacing w:after="0" w:line="9" w:lineRule="exact"/>
        <w:rPr>
          <w:rFonts w:ascii="Times New Roman" w:cs="Times New Roman" w:eastAsia="Times New Roman" w:hAnsi="Times New Roman"/>
          <w:sz w:val="18"/>
          <w:szCs w:val="18"/>
          <w:color w:val="auto"/>
        </w:rPr>
      </w:pPr>
    </w:p>
    <w:p>
      <w:pPr>
        <w:ind w:left="424" w:right="22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of the Securities Act, and based on the average of the high and low sales prices of the registrant’s common stock, as quoted on the Nasdaq Global Select Market, on March 12, 2021.</w:t>
      </w:r>
    </w:p>
    <w:p>
      <w:pPr>
        <w:ind w:left="424" w:right="14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increase of 415,690 shares of common stock to the number of shares available for issuance under the registrant’s 2018 Employee Stock Purchase Plan (the “ESPP”), effective January 1, 2021. Shares available for issuance under the ESPP were previously registered on a registration statement on Form S-8 filed with the Securities and Exchange Commission on June 21, 2018 (Registration No. 333-225788), March 25, 2019 (Registration No. 333-230494) and March 16, 2020 (Registration No. 333-237203).</w:t>
      </w:r>
    </w:p>
    <w:p>
      <w:pPr>
        <w:spacing w:after="0" w:line="1" w:lineRule="exact"/>
        <w:rPr>
          <w:rFonts w:ascii="Times New Roman" w:cs="Times New Roman" w:eastAsia="Times New Roman" w:hAnsi="Times New Roman"/>
          <w:sz w:val="18"/>
          <w:szCs w:val="18"/>
          <w:color w:val="auto"/>
        </w:rPr>
      </w:pPr>
    </w:p>
    <w:p>
      <w:pPr>
        <w:ind w:left="424" w:right="140" w:hanging="424"/>
        <w:spacing w:after="0" w:line="253"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 of the Securities Act, and based on 85% of $12.93 per share, which represents the average of the high and low prices of the registrant’s common stock reported on the Nasdaq Global Select Market on March 12, 2021. Pursuant to the ESPP, the purchase price of the shares of common stock reserved for issuance thereunder will be 85% of the fair market value of a share of common stock on the first trading day of the offering period or on the exercise date, whichever is less.</w:t>
      </w:r>
    </w:p>
    <w:p>
      <w:pPr>
        <w:spacing w:after="0" w:line="189" w:lineRule="exact"/>
        <w:rPr>
          <w:sz w:val="20"/>
          <w:szCs w:val="20"/>
          <w:color w:val="auto"/>
        </w:rPr>
      </w:pPr>
    </w:p>
    <w:p>
      <w:pPr>
        <w:ind w:left="4" w:right="2980"/>
        <w:spacing w:after="0" w:line="282" w:lineRule="auto"/>
        <w:rPr>
          <w:sz w:val="20"/>
          <w:szCs w:val="20"/>
          <w:color w:val="auto"/>
        </w:rPr>
      </w:pPr>
      <w:r>
        <w:rPr>
          <w:rFonts w:ascii="Times New Roman" w:cs="Times New Roman" w:eastAsia="Times New Roman" w:hAnsi="Times New Roman"/>
          <w:sz w:val="18"/>
          <w:szCs w:val="18"/>
          <w:color w:val="auto"/>
        </w:rPr>
        <w:t>Proposed sales to take place as soon after the effective date of the Registration Statement as awards are granted, exercised or distributed under the 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3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is being filed for the purpose of (i) registering 1,700,000 shares of common stock reserved and available for future issuance under the registrant’s Inducement Plan and (ii) registering additional shares of common stock under the registrant’s Plan and ESPP.</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and ESPP Increase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reserved and available for issuance under the Plan is subject to an automatic annual increase on each January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 amount equal to the lesser of (i) 4.0% of the number of shares of common stock issued and outstanding on the immediately preceding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or (ii) such amount as determined by the Administrator (as defined in the Plan), currently the Compensation Committee of the registrant’s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Accordingly, on January 1, 2021, the number of shares of common stock reserved and available for issuance under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by 1,662,762 shares.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reserved and available for issuance under the ESPP is subject to an automatic annual increase on each January 1, by an amount equal to the lesser of (i) 1.0% of the number of shares of common stock issued and outstanding on the immediately preceding December 31, (ii) 1,115,700 shares or (iii) such amount as determined by the Administrator (as defined in the ESPP), currently the Compensation Committee of the registrant’s Board of Directors. Accordingly, on January 1, 2021, the number of shares of common stock reserved and available for issuance under the ESPP increased by 415,690 shares.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additional shares described above are of the same class as other securities relating to the Plan and the ESPP for which the registrant’s registration statements filed on Form S-8 (Registration No. 333-225788) on June 21, 2018, on Form S-8 (Registration No. 333-230494) on March 25, 2019, on Form S-8 (Registration No. 333-237203) on March 16, 2020 and on Form S-8 (Registration No. 333-241400) on August 6, 2020 are effective. The information contained in the registrant’s registration statement on Form S-8 (Registration No. 333-225788) is hereby incorporated by reference pursuant to General Instruction 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10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Plan Information.</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documents containing the information specified in this Item 1 will be sent or given to participants as specified by Rule 428(b)(1) under the Securities Act.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Registrant Information and Employee Plan Annual Information.</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documents containing the information specified in this Item 2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0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filed with the Commission:</w:t>
      </w:r>
    </w:p>
    <w:p>
      <w:pPr>
        <w:spacing w:after="0" w:line="131"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18, 2021;</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definitive proxy statement on </w:t>
      </w:r>
      <w:hyperlink r:id="rId17">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22, 2020;</w:t>
      </w:r>
    </w:p>
    <w:p>
      <w:pPr>
        <w:sectPr>
          <w:pgSz w:w="11900" w:h="16838" w:orient="portrait"/>
          <w:cols w:equalWidth="0" w:num="1">
            <w:col w:w="11000"/>
          </w:cols>
          <w:pgMar w:left="440" w:top="266" w:right="459" w:bottom="1440" w:gutter="0" w:footer="0" w:header="0"/>
        </w:sectPr>
      </w:pPr>
    </w:p>
    <w:bookmarkStart w:id="3" w:name="page4"/>
    <w:bookmarkEnd w:id="3"/>
    <w:p>
      <w:pPr>
        <w:ind w:left="960" w:right="2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registrant’s Current Report on </w:t>
      </w:r>
      <w:hyperlink r:id="rId19">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8, 2021 (except for information contained therein which is furnished rather than filed); and</w:t>
      </w:r>
    </w:p>
    <w:p>
      <w:pPr>
        <w:spacing w:after="0" w:line="67" w:lineRule="exact"/>
        <w:rPr>
          <w:rFonts w:ascii="Times New Roman" w:cs="Times New Roman" w:eastAsia="Times New Roman" w:hAnsi="Times New Roman"/>
          <w:sz w:val="18"/>
          <w:szCs w:val="18"/>
          <w:color w:val="auto"/>
        </w:rPr>
      </w:pPr>
    </w:p>
    <w:p>
      <w:pPr>
        <w:ind w:left="960" w:right="120" w:hanging="532"/>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2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001-38537), filed by the registrant with the Commission under Section 12(b) of the Securities Exchange Act of 1934, as amended (the “Exchange Act”), on June 18, 2018,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pacing w:after="0" w:line="180" w:lineRule="exact"/>
        <w:rPr>
          <w:rFonts w:ascii="Times New Roman" w:cs="Times New Roman" w:eastAsia="Times New Roman" w:hAnsi="Times New Roman"/>
          <w:sz w:val="18"/>
          <w:szCs w:val="18"/>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rFonts w:ascii="Times New Roman" w:cs="Times New Roman" w:eastAsia="Times New Roman" w:hAnsi="Times New Roman"/>
          <w:sz w:val="18"/>
          <w:szCs w:val="18"/>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Under no circumstances will any information filed under current items 2.02 or 7.01 of Form 8-K be deemed incorporated herein by reference unless such Form 8-K expressly provides to the contrary.</w:t>
      </w:r>
    </w:p>
    <w:p>
      <w:pPr>
        <w:spacing w:after="0" w:line="306"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rFonts w:ascii="Times New Roman" w:cs="Times New Roman" w:eastAsia="Times New Roman" w:hAnsi="Times New Roman"/>
          <w:sz w:val="18"/>
          <w:szCs w:val="18"/>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92" w:lineRule="exact"/>
        <w:rPr>
          <w:rFonts w:ascii="Times New Roman" w:cs="Times New Roman" w:eastAsia="Times New Roman" w:hAnsi="Times New Roman"/>
          <w:sz w:val="18"/>
          <w:szCs w:val="18"/>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have adopted provisions in our certificate of incorporation and bylaws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purchases, redemptions or other distributions;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rFonts w:ascii="Times New Roman" w:cs="Times New Roman" w:eastAsia="Times New Roman" w:hAnsi="Times New Roman"/>
          <w:sz w:val="18"/>
          <w:szCs w:val="18"/>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16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In addition, our bylaws provide that:</w:t>
      </w:r>
    </w:p>
    <w:p>
      <w:pPr>
        <w:spacing w:after="0" w:line="131"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67" w:lineRule="exact"/>
        <w:rPr>
          <w:rFonts w:ascii="Times New Roman" w:cs="Times New Roman" w:eastAsia="Times New Roman" w:hAnsi="Times New Roman"/>
          <w:sz w:val="18"/>
          <w:szCs w:val="18"/>
          <w:color w:val="auto"/>
        </w:rPr>
      </w:pPr>
    </w:p>
    <w:p>
      <w:pPr>
        <w:jc w:val="both"/>
        <w:ind w:left="960" w:right="38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ectPr>
          <w:pgSz w:w="11900" w:h="16838" w:orient="portrait"/>
          <w:cols w:equalWidth="0" w:num="1">
            <w:col w:w="10960"/>
          </w:cols>
          <w:pgMar w:left="440" w:top="270" w:right="499" w:bottom="1440" w:gutter="0" w:footer="0" w:header="0"/>
        </w:sectPr>
      </w:pPr>
    </w:p>
    <w:bookmarkStart w:id="4" w:name="page5"/>
    <w:bookmarkEnd w:id="4"/>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entered into indemnification agreements with each of our directors and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also maintain general liability insurance which covers certain liabilities of our directors and officers arising out of claims based on acts or omissions in their capacities as directors or officers, including liabilities under the Securities Act.</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140" w:type="dxa"/>
            <w:vAlign w:val="bottom"/>
            <w:gridSpan w:val="16"/>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540"/>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40" w:type="dxa"/>
            <w:vAlign w:val="bottom"/>
            <w:gridSpan w:val="1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00" w:type="dxa"/>
            <w:vAlign w:val="bottom"/>
            <w:gridSpan w:val="11"/>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90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3"/>
                <w:szCs w:val="23"/>
                <w:color w:val="auto"/>
              </w:rPr>
            </w:pPr>
          </w:p>
        </w:tc>
        <w:tc>
          <w:tcPr>
            <w:tcW w:w="10080" w:type="dxa"/>
            <w:vAlign w:val="bottom"/>
            <w:tcBorders>
              <w:top w:val="single" w:sz="8" w:color="auto"/>
              <w:bottom w:val="single" w:sz="8" w:color="0000EE"/>
            </w:tcBorders>
            <w:gridSpan w:val="15"/>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Fourth Amended and Restated Certificate of Incorporation of the Registrant (filed as Exhibit 3.1 to the Registrant’s Current Report on Form</w:t>
              </w:r>
            </w:hyperlink>
          </w:p>
        </w:tc>
        <w:tc>
          <w:tcPr>
            <w:tcW w:w="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8-K filed on June 25, 2018 (File No. 001-38537) and incorporated herein by reference)</w:t>
              </w:r>
            </w:hyperlink>
          </w:p>
        </w:tc>
        <w:tc>
          <w:tcPr>
            <w:tcW w:w="38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0140" w:type="dxa"/>
            <w:vAlign w:val="bottom"/>
            <w:gridSpan w:val="16"/>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Certificate of Change of Registered Agent and/or Registered Office of the Registrant (filed as Exhibit 3.2 to the Registrant’s Quarterly</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Report on Form 10-Q filed on November 5, 2020 (File No. 001-38537) and incorporated herein by reference).</w:t>
              </w:r>
            </w:hyperlink>
          </w:p>
        </w:tc>
        <w:tc>
          <w:tcPr>
            <w:tcW w:w="4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10140" w:type="dxa"/>
            <w:vAlign w:val="bottom"/>
            <w:gridSpan w:val="16"/>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Amended and Restated By-laws (filed as Exhibit 3.2 to the Registrant’s Current Report on Form 8-K filed on June 25, 2018 (File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No. 001-38537) and incorporated herein by reference)</w:t>
              </w:r>
            </w:hyperlink>
          </w:p>
        </w:tc>
        <w:tc>
          <w:tcPr>
            <w:tcW w:w="5380" w:type="dxa"/>
            <w:vAlign w:val="bottom"/>
            <w:tcBorders>
              <w:top w:val="single" w:sz="8" w:color="0000EE"/>
            </w:tcBorders>
            <w:gridSpan w:val="6"/>
          </w:tcPr>
          <w:p>
            <w:pPr>
              <w:spacing w:after="0"/>
              <w:rPr>
                <w:sz w:val="17"/>
                <w:szCs w:val="17"/>
                <w:color w:val="auto"/>
              </w:rPr>
            </w:pPr>
          </w:p>
        </w:tc>
        <w:tc>
          <w:tcPr>
            <w:tcW w:w="8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10140" w:type="dxa"/>
            <w:vAlign w:val="bottom"/>
            <w:gridSpan w:val="16"/>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Second Amended and Restated Investors’ Rights Agreement among the Registrant and certain of its stockholders, dated January 9, 2018</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6"/>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(filed as Exhibit 4.2 to the Registrant’s Registration Statement on Form S-1 filed on May 25, 2018 (File No. 333-225213) and incorporated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herein by reference)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10140" w:type="dxa"/>
            <w:vAlign w:val="bottom"/>
            <w:gridSpan w:val="16"/>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Opinion of Goodwin Procter LLP</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10140" w:type="dxa"/>
            <w:vAlign w:val="bottom"/>
            <w:gridSpan w:val="16"/>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Consent of Ernst &amp; Young LLP, Independent Registered Public Accounting Firm</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42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Consent of Goodwin Procter LLP (included in Exhibit 5.1)</w:t>
              </w:r>
            </w:hyperlink>
          </w:p>
        </w:tc>
        <w:tc>
          <w:tcPr>
            <w:tcW w:w="1580" w:type="dxa"/>
            <w:vAlign w:val="bottom"/>
            <w:tcBorders>
              <w:top w:val="single" w:sz="8" w:color="0000EE"/>
            </w:tcBorders>
          </w:tcPr>
          <w:p>
            <w:pPr>
              <w:spacing w:after="0"/>
              <w:rPr>
                <w:sz w:val="24"/>
                <w:szCs w:val="24"/>
                <w:color w:val="auto"/>
              </w:rPr>
            </w:pPr>
          </w:p>
        </w:tc>
        <w:tc>
          <w:tcPr>
            <w:tcW w:w="4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4"/>
                <w:szCs w:val="24"/>
                <w:color w:val="auto"/>
              </w:rPr>
            </w:pPr>
          </w:p>
        </w:tc>
        <w:tc>
          <w:tcPr>
            <w:tcW w:w="34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Power of Attorney (included on signature page)</w:t>
              </w:r>
            </w:hyperlink>
          </w:p>
        </w:tc>
        <w:tc>
          <w:tcPr>
            <w:tcW w:w="67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10140" w:type="dxa"/>
            <w:vAlign w:val="bottom"/>
            <w:gridSpan w:val="16"/>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AVROBIO, Inc. 2020 Inducement Plan and form of award agreement thereunder (filed as Exhibit 10.25 to the Registrant’s Annual Report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on Form 10-K filed on March 18, 2021 (File No. 001-38537) and incorporated herein by reference)</w:t>
              </w:r>
            </w:hyperlink>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1020"/>
          </w:cols>
          <w:pgMar w:left="440" w:top="270" w:right="439" w:bottom="1440" w:gutter="0" w:footer="0" w:header="0"/>
        </w:sectPr>
      </w:pPr>
    </w:p>
    <w:bookmarkStart w:id="5" w:name="page6"/>
    <w:bookmarkEnd w:id="5"/>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The registrant hereby undertakes:</w:t>
      </w:r>
    </w:p>
    <w:p>
      <w:pPr>
        <w:spacing w:after="0" w:line="225" w:lineRule="exact"/>
        <w:rPr>
          <w:sz w:val="20"/>
          <w:szCs w:val="20"/>
          <w:color w:val="auto"/>
        </w:rPr>
      </w:pPr>
    </w:p>
    <w:p>
      <w:pPr>
        <w:ind w:left="264" w:hanging="264"/>
        <w:spacing w:after="0"/>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5" w:lineRule="exact"/>
        <w:rPr>
          <w:sz w:val="20"/>
          <w:szCs w:val="20"/>
          <w:color w:val="auto"/>
        </w:rPr>
      </w:pPr>
    </w:p>
    <w:p>
      <w:pPr>
        <w:ind w:left="4" w:right="160" w:hanging="4"/>
        <w:spacing w:after="0" w:line="256"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ind w:left="4" w:right="320" w:hanging="4"/>
        <w:spacing w:after="0" w:line="282" w:lineRule="auto"/>
        <w:tabs>
          <w:tab w:leader="none" w:pos="3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4" w:right="120"/>
        <w:spacing w:after="0" w:line="290"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paragraphs (a)(1)(i) and (a)(1)(ii) herein do not apply if the registration statement is on Form S-8, and the information required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included in a post-effective amendment by 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157" w:lineRule="exact"/>
        <w:rPr>
          <w:sz w:val="20"/>
          <w:szCs w:val="20"/>
          <w:color w:val="auto"/>
        </w:rPr>
      </w:pPr>
    </w:p>
    <w:p>
      <w:pPr>
        <w:ind w:left="4" w:right="140" w:hanging="4"/>
        <w:spacing w:after="0" w:line="266"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4" w:hanging="4"/>
        <w:spacing w:after="0" w:line="282"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4" w:right="140" w:hanging="4"/>
        <w:spacing w:after="0" w:line="258"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ind w:left="4" w:right="60" w:hanging="4"/>
        <w:spacing w:after="0" w:line="254"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66" w:right="45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18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March, 2021.</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Geoff MacKay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KNOW ALL BY THESE PRESENT, that each individual whose signature appears below hereby constitutes and appoints each of Geoff MacKay and Erik Ostrowski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0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80" w:type="dxa"/>
            <w:vAlign w:val="bottom"/>
          </w:tcPr>
          <w:p>
            <w:pPr>
              <w:jc w:val="center"/>
              <w:ind w:left="37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Geoff MacKay</w:t>
            </w:r>
          </w:p>
        </w:tc>
        <w:tc>
          <w:tcPr>
            <w:tcW w:w="4500" w:type="dxa"/>
            <w:vAlign w:val="bottom"/>
          </w:tcPr>
          <w:p>
            <w:pPr>
              <w:jc w:val="center"/>
              <w:ind w:left="72"/>
              <w:spacing w:after="0"/>
              <w:rPr>
                <w:sz w:val="20"/>
                <w:szCs w:val="20"/>
                <w:color w:val="auto"/>
              </w:rPr>
            </w:pPr>
            <w:r>
              <w:rPr>
                <w:rFonts w:ascii="Times New Roman" w:cs="Times New Roman" w:eastAsia="Times New Roman" w:hAnsi="Times New Roman"/>
                <w:sz w:val="18"/>
                <w:szCs w:val="18"/>
                <w:i w:val="1"/>
                <w:iCs w:val="1"/>
                <w:color w:val="auto"/>
                <w:w w:val="98"/>
              </w:rPr>
              <w:t>Director, President, Chief Executive Officer and</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18, 2021</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Geoff MacKay</w:t>
            </w:r>
          </w:p>
        </w:tc>
        <w:tc>
          <w:tcPr>
            <w:tcW w:w="4500" w:type="dxa"/>
            <w:vAlign w:val="bottom"/>
          </w:tcPr>
          <w:p>
            <w:pPr>
              <w:jc w:val="center"/>
              <w:ind w:left="72"/>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58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Erik Ostrowski</w:t>
            </w:r>
          </w:p>
        </w:tc>
        <w:tc>
          <w:tcPr>
            <w:tcW w:w="4500" w:type="dxa"/>
            <w:vAlign w:val="bottom"/>
          </w:tcPr>
          <w:p>
            <w:pPr>
              <w:jc w:val="center"/>
              <w:ind w:left="72"/>
              <w:spacing w:after="0"/>
              <w:rPr>
                <w:sz w:val="20"/>
                <w:szCs w:val="20"/>
                <w:color w:val="auto"/>
              </w:rPr>
            </w:pPr>
            <w:r>
              <w:rPr>
                <w:rFonts w:ascii="Times New Roman" w:cs="Times New Roman" w:eastAsia="Times New Roman" w:hAnsi="Times New Roman"/>
                <w:sz w:val="18"/>
                <w:szCs w:val="18"/>
                <w:i w:val="1"/>
                <w:iCs w:val="1"/>
                <w:color w:val="auto"/>
                <w:w w:val="99"/>
              </w:rPr>
              <w:t>Chief Financial Officer and Principal Financial</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18, 2021</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Erik Ostrowski</w:t>
            </w:r>
          </w:p>
        </w:tc>
        <w:tc>
          <w:tcPr>
            <w:tcW w:w="4500" w:type="dxa"/>
            <w:vAlign w:val="bottom"/>
          </w:tcPr>
          <w:p>
            <w:pPr>
              <w:jc w:val="center"/>
              <w:ind w:left="72"/>
              <w:spacing w:after="0"/>
              <w:rPr>
                <w:sz w:val="20"/>
                <w:szCs w:val="20"/>
                <w:color w:val="auto"/>
              </w:rPr>
            </w:pPr>
            <w:r>
              <w:rPr>
                <w:rFonts w:ascii="Times New Roman" w:cs="Times New Roman" w:eastAsia="Times New Roman" w:hAnsi="Times New Roman"/>
                <w:sz w:val="18"/>
                <w:szCs w:val="18"/>
                <w:i w:val="1"/>
                <w:iCs w:val="1"/>
                <w:color w:val="auto"/>
              </w:rPr>
              <w:t>and Accounting Officer</w:t>
            </w:r>
          </w:p>
        </w:tc>
        <w:tc>
          <w:tcPr>
            <w:tcW w:w="158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Bruce Booth</w:t>
            </w:r>
          </w:p>
        </w:tc>
        <w:tc>
          <w:tcPr>
            <w:tcW w:w="4500" w:type="dxa"/>
            <w:vAlign w:val="bottom"/>
          </w:tcPr>
          <w:p>
            <w:pPr>
              <w:jc w:val="center"/>
              <w:ind w:left="72"/>
              <w:spacing w:after="0"/>
              <w:rPr>
                <w:sz w:val="20"/>
                <w:szCs w:val="20"/>
                <w:color w:val="auto"/>
              </w:rPr>
            </w:pPr>
            <w:r>
              <w:rPr>
                <w:rFonts w:ascii="Times New Roman" w:cs="Times New Roman" w:eastAsia="Times New Roman" w:hAnsi="Times New Roman"/>
                <w:sz w:val="18"/>
                <w:szCs w:val="18"/>
                <w:i w:val="1"/>
                <w:iCs w:val="1"/>
                <w:color w:val="auto"/>
                <w:w w:val="99"/>
              </w:rPr>
              <w:t>Chairman of the Board of Directors</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18, 2021</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Bruce Booth, D.Phil.</w:t>
            </w:r>
          </w:p>
        </w:tc>
        <w:tc>
          <w:tcPr>
            <w:tcW w:w="45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Ian T. Clark</w:t>
            </w:r>
          </w:p>
        </w:tc>
        <w:tc>
          <w:tcPr>
            <w:tcW w:w="4500" w:type="dxa"/>
            <w:vAlign w:val="bottom"/>
          </w:tcPr>
          <w:p>
            <w:pPr>
              <w:jc w:val="center"/>
              <w:ind w:left="72"/>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18, 2021</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Ian T. Clark</w:t>
            </w:r>
          </w:p>
        </w:tc>
        <w:tc>
          <w:tcPr>
            <w:tcW w:w="45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Phillip B. Donenberg</w:t>
            </w:r>
          </w:p>
        </w:tc>
        <w:tc>
          <w:tcPr>
            <w:tcW w:w="4500" w:type="dxa"/>
            <w:vAlign w:val="bottom"/>
          </w:tcPr>
          <w:p>
            <w:pPr>
              <w:jc w:val="center"/>
              <w:ind w:left="72"/>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18, 2021</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Phillip B. Donenberg</w:t>
            </w:r>
          </w:p>
        </w:tc>
        <w:tc>
          <w:tcPr>
            <w:tcW w:w="45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Gail M. Farfel</w:t>
            </w:r>
          </w:p>
        </w:tc>
        <w:tc>
          <w:tcPr>
            <w:tcW w:w="4500" w:type="dxa"/>
            <w:vAlign w:val="bottom"/>
          </w:tcPr>
          <w:p>
            <w:pPr>
              <w:jc w:val="center"/>
              <w:ind w:left="72"/>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18, 2021</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Gail M. Farfel, Ph.D.</w:t>
            </w:r>
          </w:p>
        </w:tc>
        <w:tc>
          <w:tcPr>
            <w:tcW w:w="45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Annalisa Jenkins</w:t>
            </w:r>
          </w:p>
        </w:tc>
        <w:tc>
          <w:tcPr>
            <w:tcW w:w="4500" w:type="dxa"/>
            <w:vAlign w:val="bottom"/>
          </w:tcPr>
          <w:p>
            <w:pPr>
              <w:jc w:val="center"/>
              <w:ind w:left="72"/>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18, 2021</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Annalisa Jenkins, M.B.B.S., F.R.C.P.</w:t>
            </w:r>
          </w:p>
        </w:tc>
        <w:tc>
          <w:tcPr>
            <w:tcW w:w="45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Paige</w:t>
            </w:r>
          </w:p>
        </w:tc>
        <w:tc>
          <w:tcPr>
            <w:tcW w:w="4500" w:type="dxa"/>
            <w:vAlign w:val="bottom"/>
          </w:tcPr>
          <w:p>
            <w:pPr>
              <w:jc w:val="center"/>
              <w:ind w:left="72"/>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18, 2021</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Christopher Paige, Ph.D.</w:t>
            </w:r>
          </w:p>
        </w:tc>
        <w:tc>
          <w:tcPr>
            <w:tcW w:w="45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Philip Vickers</w:t>
            </w:r>
          </w:p>
        </w:tc>
        <w:tc>
          <w:tcPr>
            <w:tcW w:w="4500" w:type="dxa"/>
            <w:vAlign w:val="bottom"/>
          </w:tcPr>
          <w:p>
            <w:pPr>
              <w:jc w:val="center"/>
              <w:ind w:left="72"/>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5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March 18, 2021</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Philip Vickers, Ph.D.</w:t>
            </w:r>
          </w:p>
        </w:tc>
        <w:tc>
          <w:tcPr>
            <w:tcW w:w="450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sectPr>
          <w:pgSz w:w="11900" w:h="16838" w:orient="portrait"/>
          <w:cols w:equalWidth="0" w:num="1">
            <w:col w:w="10980"/>
          </w:cols>
          <w:pgMar w:left="440" w:top="266" w:right="4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18,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AVROBIO,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Kendall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300, Suite 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S-8</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on or about the date hereof relating to an aggregate of 3,778,452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$0.0001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AVROBIO,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may be issued pursuant to the Company’s 2020 Inducement Plan, the Company’s 2018 Stock Option and Incentive Plan and the Company’s 2018 Employee Stock Purchase Plan, as amended (collectively with the Company’s 2020 Inducement Plan and 2018 Stock Option and Incentive Plan,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1020"/>
          </w:cols>
          <w:pgMar w:left="440" w:top="117"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AVROBIO, Inc. 2020 Inducement Plan, the 2018 Stock Option and Incentive Plan of AVROBIO, Inc. and the 2018 Employee Stock Purchase Plan of AVROBIO, Inc. of our report dated March 18, 2021, with respect to the consolidated financial statements of AVROBIO, Inc. included in its Annual Report (Form 10-K) for the year ended December 31, 2020,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2021</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3"/>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Roman"/>
      <w:start w:val="2"/>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21"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16" Type="http://schemas.openxmlformats.org/officeDocument/2006/relationships/hyperlink" Target="http://www.sec.gov/ix?doc=/Archives/edgar/data/1681087/000156459021014190/avro-10k_20201231.htm" TargetMode="External"/><Relationship Id="rId17" Type="http://schemas.openxmlformats.org/officeDocument/2006/relationships/hyperlink" Target="http://www.sec.gov/Archives/edgar/data/1681087/000156459020017934/avro-def14a_20200604.htm" TargetMode="External"/><Relationship Id="rId19" Type="http://schemas.openxmlformats.org/officeDocument/2006/relationships/hyperlink" Target="http://www.sec.gov/Archives/edgar/data/1681087/000119312521031585/d106770d8k.htm" TargetMode="External"/><Relationship Id="rId20" Type="http://schemas.openxmlformats.org/officeDocument/2006/relationships/hyperlink" Target="http://www.sec.gov/Archives/edgar/data/0001681087/000119312518195637/d562006d8a12b.htm" TargetMode="External"/><Relationship Id="rId22" Type="http://schemas.openxmlformats.org/officeDocument/2006/relationships/hyperlink" Target="http://www.sec.gov/Archives/edgar/data/1681087/000119312518202460/d153924dex31.htm" TargetMode="External"/><Relationship Id="rId23" Type="http://schemas.openxmlformats.org/officeDocument/2006/relationships/hyperlink" Target="http://www.sec.gov/Archives/edgar/data/1681087/000156459020051456/avro-ex32_90.htm" TargetMode="External"/><Relationship Id="rId24" Type="http://schemas.openxmlformats.org/officeDocument/2006/relationships/hyperlink" Target="http://www.sec.gov/Archives/edgar/data/1681087/000119312518202460/d153924dex32.htm" TargetMode="External"/><Relationship Id="rId25" Type="http://schemas.openxmlformats.org/officeDocument/2006/relationships/hyperlink" Target="http://www.sec.gov/Archives/edgar/data/1681087/000119312518175024/d562006dex42.htm" TargetMode="External"/><Relationship Id="rId26" Type="http://schemas.openxmlformats.org/officeDocument/2006/relationships/hyperlink" Target="http://www.sec.gov/Archives/edgar/data/1681087/000156459021014190/avro-ex1025_46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2021-03-18T16:26:17Z</dcterms:created>
  <dcterms:modified xsi:type="dcterms:W3CDTF">2021-03-18T16:26:17Z</dcterms:modified>
</cp:coreProperties>
</file>