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8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8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r>
      <w:tr>
        <w:trPr>
          <w:trHeight w:val="453"/>
        </w:trPr>
        <w:tc>
          <w:tcPr>
            <w:tcW w:w="4420" w:type="dxa"/>
            <w:vAlign w:val="bottom"/>
            <w:gridSpan w:val="4"/>
          </w:tcPr>
          <w:p>
            <w:pPr>
              <w:ind w:left="780"/>
              <w:spacing w:after="0"/>
              <w:rPr>
                <w:sz w:val="20"/>
                <w:szCs w:val="20"/>
                <w:color w:val="auto"/>
              </w:rPr>
            </w:pPr>
            <w:r>
              <w:rPr>
                <w:rFonts w:ascii="Arial" w:cs="Arial" w:eastAsia="Arial" w:hAnsi="Arial"/>
                <w:sz w:val="18"/>
                <w:szCs w:val="18"/>
                <w:b w:val="1"/>
                <w:bCs w:val="1"/>
                <w:color w:val="auto"/>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222885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00" w:type="dxa"/>
        <w:tblCellMar>
          <w:top w:w="0" w:type="dxa"/>
          <w:left w:w="0" w:type="dxa"/>
          <w:bottom w:w="0" w:type="dxa"/>
          <w:right w:w="0" w:type="dxa"/>
        </w:tblCellMar>
      </w:tblPr>
      <w:tr>
        <w:trPr>
          <w:trHeight w:val="212"/>
        </w:trPr>
        <w:tc>
          <w:tcPr>
            <w:tcW w:w="4280" w:type="dxa"/>
            <w:vAlign w:val="bottom"/>
          </w:tcPr>
          <w:p>
            <w:pPr>
              <w:jc w:val="center"/>
              <w:ind w:right="1838"/>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right"/>
              <w:ind w:right="61"/>
              <w:spacing w:after="0"/>
              <w:rPr>
                <w:sz w:val="20"/>
                <w:szCs w:val="20"/>
                <w:color w:val="auto"/>
              </w:rPr>
            </w:pPr>
            <w:r>
              <w:rPr>
                <w:rFonts w:ascii="Arial" w:cs="Arial" w:eastAsia="Arial" w:hAnsi="Arial"/>
                <w:sz w:val="18"/>
                <w:szCs w:val="18"/>
                <w:b w:val="1"/>
                <w:bCs w:val="1"/>
                <w:color w:val="auto"/>
              </w:rPr>
              <w:t>81-0710585</w:t>
            </w:r>
          </w:p>
        </w:tc>
      </w:tr>
      <w:tr>
        <w:trPr>
          <w:trHeight w:val="149"/>
        </w:trPr>
        <w:tc>
          <w:tcPr>
            <w:tcW w:w="4280" w:type="dxa"/>
            <w:vAlign w:val="bottom"/>
          </w:tcPr>
          <w:p>
            <w:pPr>
              <w:jc w:val="center"/>
              <w:ind w:right="1838"/>
              <w:spacing w:after="0" w:line="149" w:lineRule="exact"/>
              <w:rPr>
                <w:sz w:val="20"/>
                <w:szCs w:val="20"/>
                <w:color w:val="auto"/>
              </w:rPr>
            </w:pPr>
            <w:r>
              <w:rPr>
                <w:rFonts w:ascii="Arial" w:cs="Arial" w:eastAsia="Arial" w:hAnsi="Arial"/>
                <w:sz w:val="14"/>
                <w:szCs w:val="14"/>
                <w:b w:val="1"/>
                <w:bCs w:val="1"/>
                <w:color w:val="auto"/>
                <w:w w:val="93"/>
              </w:rPr>
              <w:t>( State or other jurisdiction of</w:t>
            </w:r>
          </w:p>
        </w:tc>
        <w:tc>
          <w:tcPr>
            <w:tcW w:w="304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280" w:type="dxa"/>
            <w:vAlign w:val="bottom"/>
          </w:tcPr>
          <w:p>
            <w:pPr>
              <w:jc w:val="center"/>
              <w:ind w:right="1838"/>
              <w:spacing w:after="0"/>
              <w:rPr>
                <w:sz w:val="20"/>
                <w:szCs w:val="20"/>
                <w:color w:val="auto"/>
              </w:rPr>
            </w:pPr>
            <w:r>
              <w:rPr>
                <w:rFonts w:ascii="Arial" w:cs="Arial" w:eastAsia="Arial" w:hAnsi="Arial"/>
                <w:sz w:val="14"/>
                <w:szCs w:val="14"/>
                <w:b w:val="1"/>
                <w:bCs w:val="1"/>
                <w:color w:val="auto"/>
                <w:w w:val="94"/>
              </w:rPr>
              <w:t>incorporation or organization)</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280" w:type="dxa"/>
            <w:vAlign w:val="bottom"/>
          </w:tcPr>
          <w:p>
            <w:pPr>
              <w:jc w:val="center"/>
              <w:ind w:right="1838"/>
              <w:spacing w:after="0"/>
              <w:rPr>
                <w:sz w:val="20"/>
                <w:szCs w:val="20"/>
                <w:color w:val="auto"/>
              </w:rPr>
            </w:pPr>
            <w:r>
              <w:rPr>
                <w:rFonts w:ascii="Arial" w:cs="Arial" w:eastAsia="Arial" w:hAnsi="Arial"/>
                <w:sz w:val="18"/>
                <w:szCs w:val="18"/>
                <w:b w:val="1"/>
                <w:bCs w:val="1"/>
                <w:color w:val="auto"/>
                <w:w w:val="91"/>
              </w:rPr>
              <w:t>One Kendall Square</w:t>
            </w:r>
          </w:p>
        </w:tc>
        <w:tc>
          <w:tcPr>
            <w:tcW w:w="3040" w:type="dxa"/>
            <w:vAlign w:val="bottom"/>
          </w:tcPr>
          <w:p>
            <w:pPr>
              <w:spacing w:after="0"/>
              <w:rPr>
                <w:sz w:val="24"/>
                <w:szCs w:val="24"/>
                <w:color w:val="auto"/>
              </w:rPr>
            </w:pPr>
          </w:p>
        </w:tc>
      </w:tr>
      <w:tr>
        <w:trPr>
          <w:trHeight w:val="216"/>
        </w:trPr>
        <w:tc>
          <w:tcPr>
            <w:tcW w:w="4280" w:type="dxa"/>
            <w:vAlign w:val="bottom"/>
          </w:tcPr>
          <w:p>
            <w:pPr>
              <w:jc w:val="center"/>
              <w:ind w:right="1818"/>
              <w:spacing w:after="0"/>
              <w:rPr>
                <w:sz w:val="20"/>
                <w:szCs w:val="20"/>
                <w:color w:val="auto"/>
              </w:rPr>
            </w:pPr>
            <w:r>
              <w:rPr>
                <w:rFonts w:ascii="Arial" w:cs="Arial" w:eastAsia="Arial" w:hAnsi="Arial"/>
                <w:sz w:val="18"/>
                <w:szCs w:val="18"/>
                <w:b w:val="1"/>
                <w:bCs w:val="1"/>
                <w:color w:val="auto"/>
                <w:w w:val="90"/>
              </w:rPr>
              <w:t>Building 300, Suite 201</w:t>
            </w:r>
          </w:p>
        </w:tc>
        <w:tc>
          <w:tcPr>
            <w:tcW w:w="3040" w:type="dxa"/>
            <w:vAlign w:val="bottom"/>
          </w:tcPr>
          <w:p>
            <w:pPr>
              <w:spacing w:after="0"/>
              <w:rPr>
                <w:sz w:val="18"/>
                <w:szCs w:val="18"/>
                <w:color w:val="auto"/>
              </w:rPr>
            </w:pPr>
          </w:p>
        </w:tc>
      </w:tr>
      <w:tr>
        <w:trPr>
          <w:trHeight w:val="225"/>
        </w:trPr>
        <w:tc>
          <w:tcPr>
            <w:tcW w:w="4280" w:type="dxa"/>
            <w:vAlign w:val="bottom"/>
          </w:tcPr>
          <w:p>
            <w:pPr>
              <w:jc w:val="center"/>
              <w:ind w:right="1818"/>
              <w:spacing w:after="0"/>
              <w:rPr>
                <w:sz w:val="20"/>
                <w:szCs w:val="20"/>
                <w:color w:val="auto"/>
              </w:rPr>
            </w:pPr>
            <w:r>
              <w:rPr>
                <w:rFonts w:ascii="Arial" w:cs="Arial" w:eastAsia="Arial" w:hAnsi="Arial"/>
                <w:sz w:val="18"/>
                <w:szCs w:val="18"/>
                <w:b w:val="1"/>
                <w:bCs w:val="1"/>
                <w:color w:val="auto"/>
                <w:w w:val="95"/>
              </w:rPr>
              <w:t>Cambridge, MA</w:t>
            </w:r>
          </w:p>
        </w:tc>
        <w:tc>
          <w:tcPr>
            <w:tcW w:w="304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4280" w:type="dxa"/>
            <w:vAlign w:val="bottom"/>
          </w:tcPr>
          <w:p>
            <w:pPr>
              <w:jc w:val="center"/>
              <w:ind w:right="18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 (617) 914-8420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20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200" w:right="6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52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5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526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700" w:type="dxa"/>
            <w:vAlign w:val="bottom"/>
          </w:tcPr>
          <w:p>
            <w:pPr>
              <w:ind w:left="15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700" w:type="dxa"/>
            <w:vAlign w:val="bottom"/>
          </w:tcPr>
          <w:p>
            <w:pPr>
              <w:ind w:left="156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200" w:right="1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40"/>
        <w:spacing w:after="0" w:line="207" w:lineRule="exact"/>
        <w:tabs>
          <w:tab w:leader="none" w:pos="8980" w:val="left"/>
          <w:tab w:leader="none" w:pos="96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As of July 31, 2018, the registrant had 23,936,838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81"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802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80" w:type="dxa"/>
            <w:vAlign w:val="bottom"/>
            <w:gridSpan w:val="2"/>
            <w:vMerge w:val="continue"/>
          </w:tcPr>
          <w:p>
            <w:pPr>
              <w:spacing w:after="0"/>
              <w:rPr>
                <w:sz w:val="13"/>
                <w:szCs w:val="13"/>
                <w:color w:val="auto"/>
              </w:rPr>
            </w:pPr>
          </w:p>
        </w:tc>
        <w:tc>
          <w:tcPr>
            <w:tcW w:w="8020" w:type="dxa"/>
            <w:vAlign w:val="bottom"/>
            <w:gridSpan w:val="16"/>
            <w:vMerge w:val="continue"/>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802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5080" w:type="dxa"/>
            <w:vAlign w:val="bottom"/>
            <w:gridSpan w:val="7"/>
          </w:tcPr>
          <w:p>
            <w:pPr>
              <w:spacing w:after="0"/>
              <w:rPr>
                <w:sz w:val="17"/>
                <w:szCs w:val="17"/>
                <w:color w:val="auto"/>
              </w:rPr>
            </w:pPr>
          </w:p>
        </w:tc>
        <w:tc>
          <w:tcPr>
            <w:tcW w:w="1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2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Loss</w:t>
              </w:r>
            </w:hyperlink>
          </w:p>
        </w:tc>
        <w:tc>
          <w:tcPr>
            <w:tcW w:w="1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1800" w:type="dxa"/>
            <w:vAlign w:val="bottom"/>
            <w:tcBorders>
              <w:top w:val="single" w:sz="8" w:color="0000EE"/>
            </w:tcBorders>
            <w:gridSpan w:val="4"/>
          </w:tcPr>
          <w:p>
            <w:pPr>
              <w:spacing w:after="0"/>
              <w:rPr>
                <w:sz w:val="17"/>
                <w:szCs w:val="17"/>
                <w:color w:val="auto"/>
              </w:rPr>
            </w:pPr>
          </w:p>
        </w:tc>
        <w:tc>
          <w:tcPr>
            <w:tcW w:w="2500" w:type="dxa"/>
            <w:vAlign w:val="bottom"/>
            <w:gridSpan w:val="2"/>
          </w:tcPr>
          <w:p>
            <w:pPr>
              <w:spacing w:after="0"/>
              <w:rPr>
                <w:sz w:val="17"/>
                <w:szCs w:val="17"/>
                <w:color w:val="auto"/>
              </w:rPr>
            </w:pPr>
          </w:p>
        </w:tc>
        <w:tc>
          <w:tcPr>
            <w:tcW w:w="1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3220" w:type="dxa"/>
            <w:vAlign w:val="bottom"/>
            <w:gridSpan w:val="3"/>
          </w:tcPr>
          <w:p>
            <w:pPr>
              <w:spacing w:after="0"/>
              <w:rPr>
                <w:sz w:val="17"/>
                <w:szCs w:val="17"/>
                <w:color w:val="auto"/>
              </w:rPr>
            </w:pPr>
          </w:p>
        </w:tc>
        <w:tc>
          <w:tcPr>
            <w:tcW w:w="1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020" w:type="dxa"/>
            <w:vAlign w:val="bottom"/>
            <w:gridSpan w:val="1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1560" w:type="dxa"/>
            <w:vAlign w:val="bottom"/>
          </w:tcPr>
          <w:p>
            <w:pPr>
              <w:spacing w:after="0"/>
              <w:rPr>
                <w:sz w:val="17"/>
                <w:szCs w:val="17"/>
                <w:color w:val="auto"/>
              </w:rPr>
            </w:pPr>
          </w:p>
        </w:tc>
        <w:tc>
          <w:tcPr>
            <w:tcW w:w="1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Controls and Procedures</w:t>
              </w:r>
            </w:hyperlink>
          </w:p>
        </w:tc>
        <w:tc>
          <w:tcPr>
            <w:tcW w:w="6220" w:type="dxa"/>
            <w:vAlign w:val="bottom"/>
            <w:gridSpan w:val="10"/>
          </w:tcPr>
          <w:p>
            <w:pPr>
              <w:spacing w:after="0"/>
              <w:rPr>
                <w:sz w:val="17"/>
                <w:szCs w:val="17"/>
                <w:color w:val="auto"/>
              </w:rPr>
            </w:pPr>
          </w:p>
        </w:tc>
        <w:tc>
          <w:tcPr>
            <w:tcW w:w="1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8020" w:type="dxa"/>
            <w:vAlign w:val="bottom"/>
            <w:gridSpan w:val="16"/>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OTHER INFORMATION</w:t>
              </w:r>
            </w:hyperlink>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7"/>
                <w:szCs w:val="17"/>
                <w:color w:val="auto"/>
              </w:rPr>
            </w:pPr>
          </w:p>
        </w:tc>
        <w:tc>
          <w:tcPr>
            <w:tcW w:w="6000" w:type="dxa"/>
            <w:vAlign w:val="bottom"/>
            <w:gridSpan w:val="9"/>
          </w:tcPr>
          <w:p>
            <w:pPr>
              <w:spacing w:after="0"/>
              <w:rPr>
                <w:sz w:val="17"/>
                <w:szCs w:val="17"/>
                <w:color w:val="auto"/>
              </w:rPr>
            </w:pPr>
          </w:p>
        </w:tc>
        <w:tc>
          <w:tcPr>
            <w:tcW w:w="1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020" w:type="dxa"/>
            <w:vAlign w:val="bottom"/>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1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Unregistered Sales of Equity Securities and Use of Proceeds</w:t>
              </w:r>
            </w:hyperlink>
          </w:p>
        </w:tc>
        <w:tc>
          <w:tcPr>
            <w:tcW w:w="3660" w:type="dxa"/>
            <w:vAlign w:val="bottom"/>
            <w:gridSpan w:val="5"/>
          </w:tcPr>
          <w:p>
            <w:pPr>
              <w:spacing w:after="0"/>
              <w:rPr>
                <w:sz w:val="17"/>
                <w:szCs w:val="17"/>
                <w:color w:val="auto"/>
              </w:rPr>
            </w:pPr>
          </w:p>
        </w:tc>
        <w:tc>
          <w:tcPr>
            <w:tcW w:w="1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8020" w:type="dxa"/>
            <w:vAlign w:val="bottom"/>
            <w:gridSpan w:val="1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Defaults Upon Senior Securities</w:t>
              </w:r>
            </w:hyperlink>
          </w:p>
        </w:tc>
        <w:tc>
          <w:tcPr>
            <w:tcW w:w="1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Mine Safety Disclosures</w:t>
              </w:r>
            </w:hyperlink>
          </w:p>
        </w:tc>
        <w:tc>
          <w:tcPr>
            <w:tcW w:w="600" w:type="dxa"/>
            <w:vAlign w:val="bottom"/>
            <w:tcBorders>
              <w:top w:val="single" w:sz="8" w:color="0000EE"/>
            </w:tcBorders>
            <w:gridSpan w:val="3"/>
          </w:tcPr>
          <w:p>
            <w:pPr>
              <w:spacing w:after="0"/>
              <w:rPr>
                <w:sz w:val="17"/>
                <w:szCs w:val="17"/>
                <w:color w:val="auto"/>
              </w:rPr>
            </w:pPr>
          </w:p>
        </w:tc>
        <w:tc>
          <w:tcPr>
            <w:tcW w:w="5640" w:type="dxa"/>
            <w:vAlign w:val="bottom"/>
            <w:gridSpan w:val="8"/>
          </w:tcPr>
          <w:p>
            <w:pPr>
              <w:spacing w:after="0"/>
              <w:rPr>
                <w:sz w:val="17"/>
                <w:szCs w:val="17"/>
                <w:color w:val="auto"/>
              </w:rPr>
            </w:pPr>
          </w:p>
        </w:tc>
        <w:tc>
          <w:tcPr>
            <w:tcW w:w="1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Other Information</w:t>
              </w:r>
            </w:hyperlink>
          </w:p>
        </w:tc>
        <w:tc>
          <w:tcPr>
            <w:tcW w:w="6700" w:type="dxa"/>
            <w:vAlign w:val="bottom"/>
            <w:gridSpan w:val="13"/>
          </w:tcPr>
          <w:p>
            <w:pPr>
              <w:spacing w:after="0"/>
              <w:rPr>
                <w:sz w:val="17"/>
                <w:szCs w:val="17"/>
                <w:color w:val="auto"/>
              </w:rPr>
            </w:pPr>
          </w:p>
        </w:tc>
        <w:tc>
          <w:tcPr>
            <w:tcW w:w="1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8020" w:type="dxa"/>
            <w:vAlign w:val="bottom"/>
            <w:gridSpan w:val="1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Exhibits</w:t>
              </w:r>
            </w:hyperlink>
          </w:p>
        </w:tc>
        <w:tc>
          <w:tcPr>
            <w:tcW w:w="1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8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7720" w:type="dxa"/>
            <w:vAlign w:val="bottom"/>
          </w:tcPr>
          <w:p>
            <w:pPr>
              <w:jc w:val="center"/>
              <w:ind w:left="910"/>
              <w:spacing w:after="0"/>
              <w:rPr>
                <w:sz w:val="20"/>
                <w:szCs w:val="20"/>
                <w:color w:val="auto"/>
              </w:rPr>
            </w:pPr>
            <w:r>
              <w:rPr>
                <w:rFonts w:ascii="Arial" w:cs="Arial" w:eastAsia="Arial" w:hAnsi="Arial"/>
                <w:sz w:val="18"/>
                <w:szCs w:val="18"/>
                <w:b w:val="1"/>
                <w:bCs w:val="1"/>
                <w:color w:val="auto"/>
              </w:rPr>
              <w:t>PART I—FINANCIAL INFORMATION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740" w:type="dxa"/>
            <w:vAlign w:val="bottom"/>
            <w:gridSpan w:val="2"/>
          </w:tcPr>
          <w:p>
            <w:pPr>
              <w:ind w:left="200"/>
              <w:spacing w:after="0"/>
              <w:rPr>
                <w:sz w:val="20"/>
                <w:szCs w:val="20"/>
                <w:color w:val="auto"/>
              </w:rPr>
            </w:pPr>
            <w:r>
              <w:rPr>
                <w:rFonts w:ascii="Arial" w:cs="Arial" w:eastAsia="Arial" w:hAnsi="Arial"/>
                <w:sz w:val="18"/>
                <w:szCs w:val="18"/>
                <w:b w:val="1"/>
                <w:bCs w:val="1"/>
                <w:color w:val="auto"/>
                <w:w w:val="91"/>
              </w:rPr>
              <w:t>Item 1.</w:t>
            </w:r>
          </w:p>
        </w:tc>
        <w:tc>
          <w:tcPr>
            <w:tcW w:w="8340" w:type="dxa"/>
            <w:vAlign w:val="bottom"/>
            <w:gridSpan w:val="2"/>
          </w:tcPr>
          <w:p>
            <w:pPr>
              <w:ind w:left="34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2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AVROBIO, INC.</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72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72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720" w:type="dxa"/>
            <w:vAlign w:val="bottom"/>
          </w:tcPr>
          <w:p>
            <w:pPr>
              <w:jc w:val="center"/>
              <w:ind w:left="890"/>
              <w:spacing w:after="0"/>
              <w:rPr>
                <w:sz w:val="20"/>
                <w:szCs w:val="20"/>
                <w:color w:val="auto"/>
              </w:rPr>
            </w:pPr>
            <w:r>
              <w:rPr>
                <w:rFonts w:ascii="Arial" w:cs="Arial" w:eastAsia="Arial" w:hAnsi="Arial"/>
                <w:sz w:val="18"/>
                <w:szCs w:val="18"/>
                <w:b w:val="1"/>
                <w:bCs w:val="1"/>
                <w:color w:val="auto"/>
                <w:w w:val="88"/>
              </w:rPr>
              <w:t>(amounts in thousands, except share and per share data)</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June 30,</w:t>
            </w:r>
          </w:p>
        </w:tc>
        <w:tc>
          <w:tcPr>
            <w:tcW w:w="118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7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r>
      <w:tr>
        <w:trPr>
          <w:trHeight w:val="196"/>
        </w:trPr>
        <w:tc>
          <w:tcPr>
            <w:tcW w:w="220" w:type="dxa"/>
            <w:vAlign w:val="bottom"/>
          </w:tcPr>
          <w:p>
            <w:pPr>
              <w:spacing w:after="0"/>
              <w:rPr>
                <w:sz w:val="17"/>
                <w:szCs w:val="17"/>
                <w:color w:val="auto"/>
              </w:rPr>
            </w:pPr>
          </w:p>
        </w:tc>
        <w:tc>
          <w:tcPr>
            <w:tcW w:w="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4"/>
              </w:rPr>
              <w:t>Assets</w:t>
            </w:r>
          </w:p>
        </w:tc>
        <w:tc>
          <w:tcPr>
            <w:tcW w:w="620" w:type="dxa"/>
            <w:vAlign w:val="bottom"/>
            <w:shd w:val="clear" w:color="auto" w:fill="CCEEFF"/>
          </w:tcPr>
          <w:p>
            <w:pPr>
              <w:spacing w:after="0"/>
              <w:rPr>
                <w:sz w:val="17"/>
                <w:szCs w:val="17"/>
                <w:color w:val="auto"/>
              </w:rPr>
            </w:pPr>
          </w:p>
        </w:tc>
        <w:tc>
          <w:tcPr>
            <w:tcW w:w="7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155,015</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8860" w:type="dxa"/>
            <w:vAlign w:val="bottom"/>
            <w:gridSpan w:val="3"/>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156,147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2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34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158,730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8860" w:type="dxa"/>
            <w:vAlign w:val="bottom"/>
            <w:gridSpan w:val="3"/>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tcPr>
          <w:p>
            <w:pPr>
              <w:ind w:left="340"/>
              <w:spacing w:after="0"/>
              <w:rPr>
                <w:sz w:val="20"/>
                <w:szCs w:val="20"/>
                <w:color w:val="auto"/>
              </w:rPr>
            </w:pPr>
            <w:r>
              <w:rPr>
                <w:rFonts w:ascii="Arial" w:cs="Arial" w:eastAsia="Arial" w:hAnsi="Arial"/>
                <w:sz w:val="18"/>
                <w:szCs w:val="18"/>
                <w:color w:val="auto"/>
              </w:rPr>
              <w:t>Deferred rent, net of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long-term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r>
      <w:tr>
        <w:trPr>
          <w:trHeight w:val="230"/>
        </w:trPr>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4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120" w:type="dxa"/>
            <w:vAlign w:val="bottom"/>
          </w:tcPr>
          <w:p>
            <w:pPr>
              <w:spacing w:after="0"/>
              <w:rPr>
                <w:sz w:val="20"/>
                <w:szCs w:val="20"/>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rPr>
              <w:t>Redeemable convertible preferred stock (Note 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26,500</w:t>
            </w:r>
          </w:p>
        </w:tc>
        <w:tc>
          <w:tcPr>
            <w:tcW w:w="1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20" w:type="dxa"/>
            <w:vAlign w:val="bottom"/>
          </w:tcPr>
          <w:p>
            <w:pPr>
              <w:spacing w:after="0"/>
              <w:rPr>
                <w:sz w:val="17"/>
                <w:szCs w:val="17"/>
                <w:color w:val="auto"/>
              </w:rPr>
            </w:pPr>
          </w:p>
        </w:tc>
        <w:tc>
          <w:tcPr>
            <w:tcW w:w="886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8"/>
              </w:rPr>
              <w:t>Common stock, $0.0001 par value; 150,000,000 and 51,000,000 shares authorized as of June 30, 2018 and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December 31, 2017, respectively; 23,936,838 and 2,581,474 shares issued as of June 30, 2018 and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w w:val="99"/>
              </w:rPr>
              <w:t>December 31, 2017, respectively; 23,722,049 and 2,305,173 shares outstanding as of June 30, 2018 and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December 31, 2017, 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20" w:type="dxa"/>
            <w:vAlign w:val="bottom"/>
          </w:tcPr>
          <w:p>
            <w:pPr>
              <w:spacing w:after="0"/>
              <w:rPr>
                <w:sz w:val="18"/>
                <w:szCs w:val="18"/>
                <w:color w:val="auto"/>
              </w:rPr>
            </w:pPr>
          </w:p>
        </w:tc>
        <w:tc>
          <w:tcPr>
            <w:tcW w:w="8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192,443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(44,127)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(23,474)</w:t>
            </w:r>
          </w:p>
        </w:tc>
      </w:tr>
      <w:tr>
        <w:trPr>
          <w:trHeight w:val="27"/>
        </w:trPr>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148,318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(23,135)</w:t>
            </w:r>
          </w:p>
        </w:tc>
      </w:tr>
      <w:tr>
        <w:trPr>
          <w:trHeight w:val="223"/>
        </w:trPr>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340" w:type="dxa"/>
            <w:vAlign w:val="bottom"/>
            <w:gridSpan w:val="2"/>
          </w:tcPr>
          <w:p>
            <w:pPr>
              <w:ind w:left="18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158,730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46"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7,407</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1,881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13,054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(18,749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4"/>
              </w:rPr>
              <w:t>Net loss per share attributable to common stockholders — basic and diluted (Note</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2"/>
              </w:rPr>
              <w:t>Weighted-average number of common shares used in computing net loss per share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common stockholders—basic and diluted</w:t>
            </w: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3,529,269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2,202,735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2,930,358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2,192,283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6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(18,749)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(4,611)</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Impairment loss of property and equipment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offering costs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Deferred rent expense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84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(545)</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(14,229)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(4,458)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30"/>
        </w:trPr>
        <w:tc>
          <w:tcPr>
            <w:tcW w:w="20" w:type="dxa"/>
            <w:vAlign w:val="bottom"/>
          </w:tcPr>
          <w:p>
            <w:pPr>
              <w:spacing w:after="0"/>
              <w:rPr>
                <w:sz w:val="20"/>
                <w:szCs w:val="20"/>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Payments of issuance costs on debt facility</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Proceeds from issuance of common shares upon completion of initial public offering, net of offering costs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105,423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163,681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20" w:type="dxa"/>
            <w:vAlign w:val="bottom"/>
            <w:shd w:val="clear" w:color="auto" w:fill="CCEEFF"/>
          </w:tcPr>
          <w:p>
            <w:pPr>
              <w:spacing w:after="0"/>
              <w:rPr>
                <w:sz w:val="18"/>
                <w:szCs w:val="18"/>
                <w:color w:val="auto"/>
              </w:rPr>
            </w:pPr>
          </w:p>
        </w:tc>
      </w:tr>
      <w:tr>
        <w:trPr>
          <w:trHeight w:val="223"/>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149,052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0"/>
              </w:rPr>
              <w:t>(1,084)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120" w:type="dxa"/>
            <w:vAlign w:val="bottom"/>
            <w:shd w:val="clear" w:color="auto" w:fill="CCEEFF"/>
          </w:tcPr>
          <w:p>
            <w:pPr>
              <w:spacing w:after="0"/>
              <w:rPr>
                <w:sz w:val="18"/>
                <w:szCs w:val="18"/>
                <w:color w:val="auto"/>
              </w:rPr>
            </w:pPr>
          </w:p>
        </w:tc>
      </w:tr>
      <w:tr>
        <w:trPr>
          <w:trHeight w:val="223"/>
        </w:trPr>
        <w:tc>
          <w:tcPr>
            <w:tcW w:w="84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155,015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paid for by landlord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1,241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Accretion of issuance costs related to redeemable convertible preferred stock</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Issuance of warrants associated with debt facility</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held for sale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and Six Months Ended June 30, 2018 and 2017</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 xml:space="preserve">AVROBIO, Inc. (the “Company” or “AVROBIO”) is a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w:t>
      </w:r>
    </w:p>
    <w:p>
      <w:pPr>
        <w:spacing w:after="0" w:line="170"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unaudited condensed consolidated interim financial statements have been prepared on the same basis as the audited annual consolidated financial statements as of and for the year ended December 31, 2017, and, in the opinion of management, reflect all adjustments, consisting of normal recurring adjustments, necessary for the fair presentation of the Company’s financial position as of June 30, 2018, and the results of its operations and its cash flows for the three and six months ended June 30, 2018 and 2017.</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results for the six months ended June 30, 2018 are not necessarily indicative of the results to be expected for the year ending December 31, 2018, any other interim periods, or any future year or period. These interim financial statements should be read in conjunction with the audited financial statements as of and for the year ended December 31, 2017, and the notes thereto, which are included elsewhere in the Company’s final prospectus for its initial public offering (“IPO”), filed with the Securities and Exchange Commission (“SEC”) pursuant to Rule 424(b)(4) under the Securities Act of 1933, as amended, on June 21, 2018 (the “Prospectus”).</w:t>
      </w:r>
    </w:p>
    <w:p>
      <w:pPr>
        <w:spacing w:after="0" w:line="188" w:lineRule="exact"/>
        <w:rPr>
          <w:sz w:val="20"/>
          <w:szCs w:val="20"/>
          <w:color w:val="auto"/>
        </w:rPr>
      </w:pPr>
    </w:p>
    <w:p>
      <w:pPr>
        <w:jc w:val="both"/>
        <w:ind w:left="200" w:right="580" w:firstLine="441"/>
        <w:spacing w:after="0" w:line="264" w:lineRule="auto"/>
        <w:rPr>
          <w:sz w:val="20"/>
          <w:szCs w:val="20"/>
          <w:color w:val="auto"/>
        </w:rPr>
      </w:pPr>
      <w:r>
        <w:rPr>
          <w:rFonts w:ascii="Arial" w:cs="Arial" w:eastAsia="Arial" w:hAnsi="Arial"/>
          <w:sz w:val="18"/>
          <w:szCs w:val="18"/>
          <w:color w:val="auto"/>
        </w:rPr>
        <w:t>The accompanying condensed financial statements reflect the application of certain significant accounting policies as described below and elsewhere in these notes to the financial statements. As of June 30, 2018, the Company’s significant accounting policies and estimates, which are detailed in the Company’s Prospectus, have not changed.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On June 1, 2018, the Board approved a 1-for-4.312 reverse stock split of the Company’s common stock. The reverse stock split was approved by the stockholders on June 7, 2018 and became effective on June 7, 2018. Stockholders entitled to fractional shares as a result of the reverse stock split will receive a cash payment in lieu of receiving fractional shares. All share and per share data shown in the accompanying unaudited condensed consolidated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and the respective conversion prices were proportionately increased.</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 and Basis of Presentation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On June 20, 2018, the Company’s registration statement on Form S-1 relating to its IPO was declared effective by the SEC. The IPO closed on June 25, 2018 and the Company issued and sold 5,247,958 common shares at a public offering price of $19.00 per share for net proceeds of $90,271 after deducting underwriting discounts and commissions of $6,980 and other offering expenses of approximately $2,459. Simultaneously, on June 25, 2018, the Company issued and sold 787,193 additional common shares, pursuant to the full exercise of the underwriters’ option to purchase additional shares, for net proceeds of $13,910 after deducting underwriting discounts and commissions of $1,047. Thus, the aggregate net proceeds to the Company from the IPO, after deducting underwriting discounts and commissions and other offering costs, were $104,182. Upon the closing of the IPO, series Seed redeemable convertible preferred stock (the “Series Seed Preferred Stock”), series A redeemable convertible preferred stock (the “Series A Preferred Stock”) and series B redeemable convertible preferred stock (the “Series B Preferred Stock”), (the Series Seed Preferred Stock, the Series A Preferred Stock and the Series B Preferred Stock are collectively referred to as the “Preferred Stock”) then outstanding converted into an aggregate of 15,320,213 shares of common stock.</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15.</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the accrual for research and development expenses, stock-based compensation expense, the valuation of equity and derivative instruments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interest-bearing money market accounts. Cash equivalents are carried at cost, which approximates their fair market value.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 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Certain assets and liabilities of the Company are carried at fair value under GAAP (see Note 3).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4" w:lineRule="exact"/>
        <w:rPr>
          <w:sz w:val="20"/>
          <w:szCs w:val="20"/>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30" w:lineRule="exact"/>
        <w:rPr>
          <w:rFonts w:ascii="Arial" w:cs="Arial" w:eastAsia="Arial" w:hAnsi="Arial"/>
          <w:sz w:val="18"/>
          <w:szCs w:val="18"/>
          <w:color w:val="auto"/>
        </w:rPr>
      </w:pPr>
    </w:p>
    <w:p>
      <w:pPr>
        <w:ind w:left="1060" w:right="500" w:hanging="424"/>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6"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78"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The Company has entered into various research and development related contracts with parties both inside and outside of the United States. The payments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3"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Stock-based awards issued to non-employees are recorded at their fair values, and are periodically revalued as the awards vest and are recognized as expense over the related service period. For stock-based awards granted to non-employees subject to graded vesting that only contain service conditions, the Company has elected to recognize stock-based compensation expense using the straight-line recognition method.</w:t>
      </w:r>
    </w:p>
    <w:p>
      <w:pPr>
        <w:spacing w:after="0" w:line="166"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 xml:space="preserve">Given the absence of an active market for the Company’s common stock prior to the IPO, the Company and the Board, the members of which the Company believes have extensive business, finance, and venture capital experience, were required to estimate the fair value of the Company’s common stock at the time of each grant of a stock-based award. The Company and the Board determined the estimated fair value of the Company’s equity instruments based on a number of factors, including external market conditions affecting the biotechnology industry sector. The Company and the Board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Each valuation methodology includes estimates and assumptions that require the Company’s judgment. These estimates and assumptions include a number of objective and subjective factors in determining the value of the Company’s common stock at each grant date, including: (1) prices paid for the Company’s redeemable convertible preferred stock, which the Company had sold to outside investors in arm’s-length transactions, and the rights, preferences, and privileges of the Company’s redeemable convertible preferred stock and common stock; (2) valuations performed by an independent valuation specialist; (3) the Company’s stage of development; (4) the fact that the grants of stock-based awards involved illiquid securities in a private company; and (5) the likelihood of achieving a liquidity event for the common stock underlying the stock-based awards, such as an IPO or sale of the Company, given prevailing market conditions.</w:t>
      </w:r>
    </w:p>
    <w:p>
      <w:pPr>
        <w:spacing w:after="0" w:line="188"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June 30, 2018,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67" w:lineRule="exact"/>
        <w:rPr>
          <w:sz w:val="20"/>
          <w:szCs w:val="20"/>
          <w:color w:val="auto"/>
        </w:rPr>
      </w:pPr>
    </w:p>
    <w:p>
      <w:pPr>
        <w:ind w:left="200" w:right="620" w:firstLine="441"/>
        <w:spacing w:after="0" w:line="342" w:lineRule="auto"/>
        <w:rPr>
          <w:sz w:val="20"/>
          <w:szCs w:val="20"/>
          <w:color w:val="auto"/>
        </w:rPr>
      </w:pPr>
      <w:r>
        <w:rPr>
          <w:rFonts w:ascii="Arial" w:cs="Arial" w:eastAsia="Arial" w:hAnsi="Arial"/>
          <w:sz w:val="16"/>
          <w:szCs w:val="16"/>
          <w:color w:val="auto"/>
        </w:rPr>
        <w:t>See Note 10 for the assumptions used by the Company in determining the grant date fair value of stock-based awards granted, as well as a summary of the stock-based award activity under the Company’s stock-based compensation plan for the six months ended June 30, 2018.</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Warrant to Purchase Preferred Stock</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Prior to the IPO, the Company classified the warrant for the purchase of shares of its redeemable convertible preferred stock (see Note 7) as a liability on its consolidated balance sheets as the warrant is a free-standing financial instrument that may require the Company to transfer assets upon exercise. The preferred stock warrant liability was initially recorded at fair value upon the date of issuance and is subsequently remeasured to fair value at each reporting date. Changes in the fair value of the warrant to purchase preferred stock are recognized as a component of other income (expense), net in the consolidated statements of operations and comprehensive loss. Changes in the fair value of the warrant to purchase preferred stock will continue to be recognized until the warrant is exercised, expires or qualifies for equity classification.</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utilizes the Black-Scholes option-pricing model, which incorporates assumptions and estimates, to value the warrant. The Company assesses these assumptions and estimates on a quarterly basis as additional information impacting the assumptions is obtained. Estimates and assumptions impacting the fair value measurement include the fair value per share of the underlying redeemable convertible preferred stock issuable upon exercise of the warrant, the remaining contractual term of the warrant, the risk-free interest rate, the expected dividend yield and the expected volatility of the price of the underlying redeemable convertible preferred stock.</w:t>
      </w:r>
    </w:p>
    <w:p>
      <w:pPr>
        <w:spacing w:after="0" w:line="18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Upon the IPO, the warrant to purchase preferred stock was converted to a warrant to purchase common stock. The carrying amount of warrant to purchase preferred stock as of the date of IPO was transferred to the account of additional paid in capital.</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Comprehensive income (loss) is defined as the change in stockholders’ equity of a business enterprise during a period from transactions and other events and circumstances from non-owner sources. Comprehensive income (loss) includes net income (loss) as well as other changes in stockholders’ (deficit) equity which includes certain changes in equity that are excluded from net income (loss). Comprehensive loss has been disclosed in the accompanying statements of operations and comprehensive loss and equals the Company’s net loss for all periods presented.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 Company categorizes leases at their inception as either operating or capital leases. On certain lease arrangements, the Company may receive rent holidays or other incentives. The Company recognizes lease costs on a straight-line basis once control of the space is achieved, without regard to deferred payment terms, such as rent holidays, that defer the commencement date of required payments or escalating payment amounts. The difference between required lease payments and rent expense has been recorded as deferred rent and other accrued expenses and other current liabilities in the accompanying consolidated balance sheets. Additionally, incentives received are treated as a reduction of costs over the term of the agreement, as they are considered an inseparable part of the lease agreement.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Net income (loss) per share attributable to common stockholders is determined using the two-class method, which includes the weighted-average number of shares of common stock outstanding during the period and other securities that participate in dividends (a participating security). In periods of income, the redeemable convertible preferred stock would be considered participating securities because the shares include rights to participate in dividends with the common stock; however, the redeemable convertible preferred stock is not considered a participating security in periods of loss as they do not have an obligation to share in the Company’s net losses.</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Under the two-class method, basic net income (loss) per share attributable to common stockholders is computed by dividing the net income (loss) attributable to common stockholders by the weighted-average number of shares of common stock outstanding during the period. Diluted net income (loss) per share attributable to common stockholders is computed using the more dilutive of (1) the two-class method or (2) the if-converted method. The Company allocates net income first to the holders of Preferred Stock based on dividend rights under the Company’s certificate of incorporation and then to preferred and common stockholders based on ownership interests.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 xml:space="preserve">“Compensation—Stock Compensation (Topic 718): Improvements to Nonemployee Share-Based Payment Accounting” </w:t>
      </w:r>
      <w:r>
        <w:rPr>
          <w:rFonts w:ascii="Arial" w:cs="Arial" w:eastAsia="Arial" w:hAnsi="Arial"/>
          <w:sz w:val="16"/>
          <w:szCs w:val="16"/>
          <w:color w:val="auto"/>
        </w:rPr>
        <w:t>which addresses accounting for issuance of all share-based payments on the same accounting model.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share-based payments to employees was covered by ASC Topic 718 while accounting for such payments to non-employees was covered by ASC Subtopic 505-50. As it considered recently issued updates to ASC 718, the FASB, as part of its simplification initiatives, decided to replace ASC Subtopic 505-50 with Topic 718 as the guidance for non-employee share-based awards. Under this new guidance, both sets of awards, for employees and non-employees, will essentially follow the same model, with small variations related to determining the term assumption when valuing a non-employee award as well as a different expense attribution model for non-employee awards as opposed to employee awards. The ASU is effective for public business entities beginning in 2019 calendar years and one year later for non-public business entities. The Company is currently evaluating the impact that the adoption of ASU 2018-07 will have on its consolidated financial statements.</w:t>
      </w:r>
    </w:p>
    <w:p>
      <w:pPr>
        <w:spacing w:after="0" w:line="16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Part I applies to entities that issue financial instruments such as warrants, convertible debt or convertible preferred stock that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ASU 2017-11 will have on its consolidated financial statements.</w:t>
      </w:r>
    </w:p>
    <w:p>
      <w:pPr>
        <w:spacing w:after="0" w:line="18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is currently evaluating the impact that the adoption of ASU 2017-09 will have on its consolidated financial statements.</w:t>
      </w:r>
    </w:p>
    <w:p>
      <w:pPr>
        <w:spacing w:after="0" w:line="16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which requires restricted cash to be presented with cash and cash equivalents on the statement of cash flows and disclosure of how the statement of cash flows reconciles to the balance sheet if restricted cash is shown separately from cash and cash equivalents on the balance sheet. For public entities, the standard is effective for annual periods beginning after December 15, 2017, including interim periods within those fiscal years. For all other entities, the standard is effective for annual periods beginning after December 15, 2018, including interim periods within fiscal years beginning after December 15, 2019. Early adoption is permitted. The Company is currently evaluating the impact that the adoption of ASU 2016-18 will have on its consolidated financial statements.</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640" w:right="6300" w:hanging="436"/>
        <w:spacing w:after="0" w:line="510" w:lineRule="auto"/>
        <w:tabs>
          <w:tab w:leader="none" w:pos="379"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(continued) </w:t>
      </w:r>
      <w:r>
        <w:rPr>
          <w:rFonts w:ascii="Arial" w:cs="Arial" w:eastAsia="Arial" w:hAnsi="Arial"/>
          <w:sz w:val="15"/>
          <w:szCs w:val="15"/>
          <w:b w:val="1"/>
          <w:bCs w:val="1"/>
          <w:i w:val="1"/>
          <w:iCs w:val="1"/>
          <w:color w:val="auto"/>
        </w:rPr>
        <w:t>Recently Issued Accounting Pronouncements (continued)</w:t>
      </w:r>
    </w:p>
    <w:p>
      <w:pPr>
        <w:ind w:left="200" w:right="180" w:firstLine="441"/>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is currently evaluating the impact that the adoption of ASU 2016-15 will have on its consolidated financial statements.</w:t>
      </w:r>
    </w:p>
    <w:p>
      <w:pPr>
        <w:spacing w:after="0" w:line="19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ASU 2016-02 supersedes the previous leases standard,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 For public entities,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w:t>
      </w:r>
    </w:p>
    <w:p>
      <w:pPr>
        <w:spacing w:after="0" w:line="16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 xml:space="preserve">In September 2017, the FASB issued ASU No. 2017-13, </w:t>
      </w:r>
      <w:r>
        <w:rPr>
          <w:rFonts w:ascii="Arial" w:cs="Arial" w:eastAsia="Arial" w:hAnsi="Arial"/>
          <w:sz w:val="18"/>
          <w:szCs w:val="18"/>
          <w:i w:val="1"/>
          <w:iCs w:val="1"/>
          <w:color w:val="auto"/>
        </w:rPr>
        <w:t>Revenue Recognition (Topic 605), 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Leases (Topic 840), and Leases (Topic 842) </w:t>
      </w:r>
      <w:r>
        <w:rPr>
          <w:rFonts w:ascii="Arial" w:cs="Arial" w:eastAsia="Arial" w:hAnsi="Arial"/>
          <w:sz w:val="18"/>
          <w:szCs w:val="18"/>
          <w:color w:val="auto"/>
        </w:rPr>
        <w:t>, which provides additional clarification and implementation guidance related to ASU 2016-02 and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effective date and transition requirements as ASU 2016-02. The Company is currently evaluating the impact that the adoption of ASU 2016-02 will have on its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The following table presents information about the Company’s financial assets and liabilities measured at fair value on a recurring basis and indicates the level of the fair value hierarchy utilized to determine such fair values as of June 30, 2018 and December 31, 2017, respectively:</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June 30, 2018 Using:</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2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154,549</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154,549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December 31, 2017 Using:</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2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5,684</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5,684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$ 371</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$ 406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six months ended June 30, 2018 and 2017, there were no transfers between Level 1, Level 2 and Level 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the Warrant to Purchase Preferred Stock</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warrant to purchase preferred stock liability in the table above is composed of the fair value of a warrant to purchase shares of Series A Preferred Stock that was issued to a lender in connection with a loan and security agreement in 2017. The fair value of the warrant to purchase preferred stock was determined based on significant inputs not observable in the market, which represents a Level 3 measurement within the fair value hierarchy.</w:t>
      </w:r>
    </w:p>
    <w:p>
      <w:pPr>
        <w:spacing w:after="0" w:line="147"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In order to determine the fair value of the warrant to purchase preferred stock, the Company utilized available facts and circumstances to estimate the number of shares of Series A Preferred Stock for which the warrant will ultimately be exercisable. The Company then used the Black-Scholes option-pricing model, which incorporates assumptions and estimates, to value the warrant to purchase preferred stock. Estimates and assumptions impacting the fair value measurement include the fair value of the underlying shares of Series A Preferred Stock, the remaining contractual term of the warrant, risk-free interest rate, expected dividend yield and expected volatility of the price of the underlying preferred stock. The Company determined the fair value of the underlying preferred stock based on various valuation methodologies. The Company lacks company-specific historical and implied volatility information of its stock. Therefore, it estimates its expected stock volatility based on the historical volatility of publicly traded guideline companies for a term equal to the remaining contractual term of the warrant. The risk-free interest rate is determined by reference to the U.S. Treasury yield curve for time periods approximately equal to the remaining contractual term of the warrant. The Company estimated no expected dividend yield based on the fact that the Company has never paid or declared dividends and does not intend to do so in the foreseeable future. Upon the IPO, the warrant to purchase preferred stock was converted to a warrant to purchase common stock. The carrying amount of warrant to purchase preferred stock as of the date of IPO was transferred to the account of additional paid in capital.</w:t>
      </w:r>
    </w:p>
    <w:p>
      <w:pPr>
        <w:spacing w:after="0" w:line="16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sets forth a summary of changes in the fair value of the Company’s preferred stock warrant liability for which fair value was determined by Level 3 inputs:</w:t>
      </w:r>
    </w:p>
    <w:p>
      <w:pPr>
        <w:spacing w:after="0" w:line="17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Warrant</w:t>
            </w:r>
          </w:p>
        </w:tc>
      </w:tr>
      <w:tr>
        <w:trPr>
          <w:trHeight w:val="171"/>
        </w:trPr>
        <w:tc>
          <w:tcPr>
            <w:tcW w:w="5900" w:type="dxa"/>
            <w:vAlign w:val="bottom"/>
          </w:tcPr>
          <w:p>
            <w:pPr>
              <w:spacing w:after="0"/>
              <w:rPr>
                <w:sz w:val="14"/>
                <w:szCs w:val="14"/>
                <w:color w:val="auto"/>
              </w:rPr>
            </w:pPr>
          </w:p>
        </w:tc>
        <w:tc>
          <w:tcPr>
            <w:tcW w:w="1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Change in fair value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Conversion of preferred stock warrant to common stock warrant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(197)</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Balance as of June 30, 2018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Derivative</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In January 2016, in connection with a license agreement entered into with University Health Network (“UHN”), and as part of the initial consideration for the license, the Company issued 1,161,665 shares of common stock to UHN pursuant to a stock purchase agreement (the “Stock Purchase Agreement”). The Stock Purchase Agreement contains a provision requiring the Company to make a cash payment to UHN of up to $2,000 if UHN’s fully diluted ownership is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of $49 was recorded as research and development expense in January 2016.</w:t>
      </w:r>
    </w:p>
    <w:p>
      <w:pPr>
        <w:spacing w:after="0" w:line="18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On June 30, 2017, the Company remeasured the fair value of the derivative, using current assumptions, resulting in an increase in fair value of $3 and $35, which was recorded in other expense in the accompanying condensed consolidated statements of operations and comprehensive loss for the three months and six months ended June 30, 2017, respectively.</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June 21, 2018, in connection with the Company’s IPO, the Company remeasured the fair value of the derivative to $2,000 as the Company was required to pay the dilution payment as mentioned above, which the Company paid in July 2018. An increase in fair value of $1,042 and $1,629 was recorded in other expense in the accompanying condensed consolidated statements of operations and comprehensive loss for the three and six months ended June 30, 2018, respectively.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a summary of changes in the fair value of the Company’s derivative liability for which fair value is determined by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Level 3 inputs: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7"/>
          </w:tcPr>
          <w:p>
            <w:pPr>
              <w:jc w:val="center"/>
              <w:ind w:left="88"/>
              <w:spacing w:after="0"/>
              <w:rPr>
                <w:sz w:val="20"/>
                <w:szCs w:val="20"/>
                <w:color w:val="auto"/>
              </w:rPr>
            </w:pPr>
            <w:r>
              <w:rPr>
                <w:rFonts w:ascii="Arial" w:cs="Arial" w:eastAsia="Arial" w:hAnsi="Arial"/>
                <w:sz w:val="14"/>
                <w:szCs w:val="14"/>
                <w:b w:val="1"/>
                <w:bCs w:val="1"/>
                <w:color w:val="auto"/>
                <w:w w:val="95"/>
              </w:rPr>
              <w:t>Derivative</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8"/>
              </w:rPr>
              <w:t>Liability</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tcPr>
          <w:p>
            <w:pPr>
              <w:ind w:left="36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Transferred to 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4"/>
              </w:rPr>
              <w:t>(2,000)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6200" w:type="dxa"/>
            <w:vAlign w:val="bottom"/>
            <w:gridSpan w:val="2"/>
          </w:tcPr>
          <w:p>
            <w:pPr>
              <w:ind w:left="440"/>
              <w:spacing w:after="0"/>
              <w:rPr>
                <w:sz w:val="20"/>
                <w:szCs w:val="20"/>
                <w:color w:val="auto"/>
              </w:rPr>
            </w:pPr>
            <w:r>
              <w:rPr>
                <w:rFonts w:ascii="Arial" w:cs="Arial" w:eastAsia="Arial" w:hAnsi="Arial"/>
                <w:sz w:val="18"/>
                <w:szCs w:val="18"/>
                <w:color w:val="auto"/>
              </w:rPr>
              <w:t>Balance as of June 30, 2018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gridSpan w:val="3"/>
          </w:tcPr>
          <w:p>
            <w:pPr>
              <w:ind w:left="440"/>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4"/>
          </w:tcPr>
          <w:p>
            <w:pPr>
              <w:ind w:left="80"/>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7"/>
          </w:tcPr>
          <w:p>
            <w:pPr>
              <w:ind w:left="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6"/>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6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development costs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Prepaid 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1,132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345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gridSpan w:val="3"/>
          </w:tcPr>
          <w:p>
            <w:pPr>
              <w:ind w:left="440"/>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620" w:type="dxa"/>
            <w:vAlign w:val="bottom"/>
            <w:gridSpan w:val="5"/>
          </w:tcPr>
          <w:p>
            <w:pPr>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520" w:type="dxa"/>
            <w:vAlign w:val="bottom"/>
            <w:gridSpan w:val="4"/>
          </w:tcPr>
          <w:p>
            <w:pPr>
              <w:ind w:left="1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6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Laboratory and office equipment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926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126</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240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Depreciation and amortization expense for the three months ended June 30, 2018 and 2017 was $45 and $13, respectively. Depreciation and amortization expense for the six months ended June 30, 2018 and 2017 was $66 and $15, respectively.</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payment (Note 3)</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$2,000</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Compensation and benefit costs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846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w w:val="86"/>
              </w:rPr>
              <w:t>794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Short-term deferred rent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w w:val="86"/>
              </w:rPr>
              <w:t>831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IPO issuance cost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6"/>
              </w:rPr>
              <w:t>464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5,438</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w:t>
      </w:r>
    </w:p>
    <w:p>
      <w:pPr>
        <w:spacing w:after="0" w:line="12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On June 23, 2017, the Company entered into the Loan Agreement with a lender, which provided for the issuance of term loans of up to $10,000, subject to the achievement of various development and corporate milestones. Any outstanding principal amounts under the Loan Agreement will accrue interest at a floating per annum rate equal to the greater of 1% and the “prime rate,” as defined in the Loan Agreement, minus 3%.</w:t>
      </w:r>
    </w:p>
    <w:p>
      <w:pPr>
        <w:spacing w:after="0" w:line="14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 As of June 30, 2018, the Company had not drawn down from the facility and $10,000 was available to the Company.</w:t>
      </w:r>
    </w:p>
    <w:p>
      <w:pPr>
        <w:spacing w:after="0" w:line="17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Loan Agreement contains customary indemnification obligations and customary events of default. In the event of default by the Company under the Loan Agreement, the lender would be entitled to exercise their remedies thereunder, including the right to accelerate the debt, upon which the Company may be required to repay all amounts then outstanding under the Loan Agreement or the lender may take possession of the collateral securing the Loan Agreement. No events of default had occurred through June 30, 2018.</w:t>
      </w:r>
    </w:p>
    <w:p>
      <w:pPr>
        <w:spacing w:after="0" w:line="18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The Loan Agreement also includes certain restrictions on, among other things, the Company’s ability to incur additional indebtedness, change the name or location of its business, merge with or acquire other entities, pay dividends or make other distributions to holders of the Company’s capital stock, make certain investments, engage in transactions with affiliates, create liens, open new deposit accounts, sell assets or pay subordinated debt.</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connection with the Loan Agreement, the Company agreed to issue a warrant to the lender for the purchase of up to 188,702 shares of the Company’s Series A Preferred Stock with an exercise price of $0.7949 per share. The warrant expires on June 22, 2027. The warrant is initially exercisable for the purchase of up to 28,305 shares of Series A Preferred Stock and can become exercisable for up to an additional 160,397 shares of Series A Preferred Stock based on the amounts drawn under the Loan Agreement. On the issuance date of the warrant, the Company recorded a deferred financing cost and a liability for the warrant to purchase preferred stock in the Company’s consolidated balance sheet equal to the issuance-date fair value of the warrant. Upon closing of the IPO, the carrying amount of the warrant to purchase preferred stock as of the date of IPO was transferred to the account of additional paid in capital (Note 3).</w:t>
      </w:r>
    </w:p>
    <w:p>
      <w:pPr>
        <w:spacing w:after="0" w:line="18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Company recognized a loss of $150 and $162 in the condensed consolidated statements of operations and comprehensive loss for the three and six months ended June 30, 2018, respectively, related to the change in fair value of the warrant.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Prior to the IPO, the authorized capital stock of the Company included 63,491,857 shares of $0.0001 par value preferred stock, of</w:t>
      </w:r>
    </w:p>
    <w:p>
      <w:pPr>
        <w:spacing w:after="0" w:line="23" w:lineRule="exact"/>
        <w:rPr>
          <w:sz w:val="20"/>
          <w:szCs w:val="20"/>
          <w:color w:val="auto"/>
        </w:rPr>
      </w:pPr>
    </w:p>
    <w:p>
      <w:pPr>
        <w:ind w:left="200" w:right="200"/>
        <w:spacing w:after="0" w:line="261" w:lineRule="auto"/>
        <w:rPr>
          <w:sz w:val="20"/>
          <w:szCs w:val="20"/>
          <w:color w:val="auto"/>
        </w:rPr>
      </w:pPr>
      <w:r>
        <w:rPr>
          <w:rFonts w:ascii="Arial" w:cs="Arial" w:eastAsia="Arial" w:hAnsi="Arial"/>
          <w:sz w:val="18"/>
          <w:szCs w:val="18"/>
          <w:color w:val="auto"/>
        </w:rPr>
        <w:t>which 3,333,333 shares have been designated as Series Seed Preferred Stock, 31,639,202 shares have been designated as Series A Preferred Stock and 28,519,322 shares have been designated as Series B Preferred Stock.</w:t>
      </w:r>
    </w:p>
    <w:p>
      <w:pPr>
        <w:spacing w:after="0" w:line="18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January 2018, the Company issued and sold 28,519,322 shares of Series B Preferred Stock, at a price of $2.1389 per share, for total proceeds of $58,757, net of issuance costs of $2,243.</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the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3"/>
              </w:rPr>
              <w:t>December 31, 2017</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2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gridSpan w:val="3"/>
            <w:vMerge w:val="restart"/>
          </w:tcPr>
          <w:p>
            <w:pPr>
              <w:jc w:val="center"/>
              <w:ind w:left="119"/>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Liquidation</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Preference</w:t>
            </w:r>
          </w:p>
        </w:tc>
        <w:tc>
          <w:tcPr>
            <w:tcW w:w="2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1,500,000</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1,500,000</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31,639,202</w:t>
            </w: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31,450,499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25,000,000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25,000,000</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7,611,438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34,972,535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34,783,832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26,500,000</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26,500,000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8,418,149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Upon closing of the IPO, the Preferred Stock as of December 31, 2017, together with Series B Preferred Stock issued in January 2018, were converted to 15,320,213 shares of common stock. The holders of the Company’s Preferred Stock had certain voting, dividend, and redemption rights, as well as liquidation preferences and conversion privileges. All rights, preferences, and privileges associated with the preferred stock were terminated at the time of the Company’s IPO in conjunction with the conversion of all outstanding shares of Preferred Stock into shares of common stock.</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June 30, 2018, the authorized capital stock of the Company included 150,000,000 shares of common stock, $0.0001 par value, respectively.</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June 30, 2018 and December 31, 2017, the Company has reserved the following shares of common stock for future issuance:</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3"/>
          </w:tcPr>
          <w:p>
            <w:pPr>
              <w:ind w:left="3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2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Shares reserved for Series Seed Preferred Stock outstanding</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Shares reserved for Series A Preferred Stock outstanding</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7,611,438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87"/>
              </w:rPr>
              <w:t>Shares reserved for issuance under the 2018</w:t>
            </w: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and Incentive Plan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533,911</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87"/>
              </w:rPr>
              <w:t>Shares reserved for issuance under the 2018</w:t>
            </w:r>
          </w:p>
        </w:tc>
        <w:tc>
          <w:tcPr>
            <w:tcW w:w="31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780" w:type="dxa"/>
            <w:vAlign w:val="bottom"/>
          </w:tcPr>
          <w:p>
            <w:pPr>
              <w:jc w:val="right"/>
              <w:spacing w:after="0"/>
              <w:rPr>
                <w:sz w:val="20"/>
                <w:szCs w:val="20"/>
                <w:color w:val="auto"/>
              </w:rPr>
            </w:pPr>
            <w:r>
              <w:rPr>
                <w:rFonts w:ascii="Arial" w:cs="Arial" w:eastAsia="Arial" w:hAnsi="Arial"/>
                <w:sz w:val="18"/>
                <w:szCs w:val="18"/>
                <w:color w:val="auto"/>
              </w:rPr>
              <w:t>223,200</w:t>
            </w:r>
          </w:p>
        </w:tc>
        <w:tc>
          <w:tcPr>
            <w:tcW w:w="38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214,789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276,301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1,871,139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1,034,961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87"/>
              </w:rPr>
              <w:t>Shares reserved for issuance under the 2015</w:t>
            </w: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and Grant Plan</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3"/>
          </w:tcPr>
          <w:p>
            <w:pPr>
              <w:spacing w:after="0"/>
              <w:rPr>
                <w:sz w:val="20"/>
                <w:szCs w:val="20"/>
                <w:color w:val="auto"/>
              </w:rPr>
            </w:pPr>
            <w:r>
              <w:rPr>
                <w:rFonts w:ascii="Arial" w:cs="Arial" w:eastAsia="Arial" w:hAnsi="Arial"/>
                <w:sz w:val="18"/>
                <w:szCs w:val="18"/>
                <w:color w:val="auto"/>
              </w:rPr>
              <w:t>Total shares of authorized common stock reserved for future issuance</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2,843,039</w:t>
            </w: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9,873,128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140" w:type="dxa"/>
            <w:vAlign w:val="bottom"/>
            <w:vMerge w:val="restart"/>
          </w:tcPr>
          <w:p>
            <w:pPr>
              <w:jc w:val="right"/>
              <w:ind w:right="1970"/>
              <w:spacing w:after="0"/>
              <w:rPr>
                <w:sz w:val="20"/>
                <w:szCs w:val="20"/>
                <w:color w:val="auto"/>
              </w:rPr>
            </w:pPr>
            <w:r>
              <w:rPr>
                <w:rFonts w:ascii="Arial" w:cs="Arial" w:eastAsia="Arial" w:hAnsi="Arial"/>
                <w:sz w:val="18"/>
                <w:szCs w:val="18"/>
                <w:color w:val="auto"/>
              </w:rPr>
              <w:t>14</w:t>
            </w: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4" w:lineRule="exact"/>
        <w:rPr>
          <w:sz w:val="20"/>
          <w:szCs w:val="20"/>
          <w:color w:val="auto"/>
        </w:rPr>
      </w:pPr>
    </w:p>
    <w:p>
      <w:pPr>
        <w:jc w:val="both"/>
        <w:ind w:left="200" w:right="24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2015 Plan was 2,008,564 shares. Following the IPO, no further grants will be made under 2015 plan.</w:t>
      </w:r>
    </w:p>
    <w:p>
      <w:pPr>
        <w:spacing w:after="0" w:line="170"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Shares that expire, are terminated, surrendered or canceled under the 2015 Plan without having been fully exercised will be available for future awards under the 2018 Plan (as defined below). In addition, shares of common stock that are tendered to the Company by a participant to exercise an award are added to the number of shares of common stock available for future awards.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2015 Plan is administered by the Board. Equity awards granted to employees and members of the Board typically vest over four years.</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Stock Option and Incentive Plan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Company’s 2018 Stock Option and Incentive Plan (the “2018 Plan”) was adopted by the Board June 1, 2018 and approved by stockholders on June 7, 2018 and became effective upon the effectiveness of the Company’s Registration Statement on Form S-1. The 2018 Plan replaced the 2015 Plan as the Board determined not to make additional awards under the 2015 Plan following the pricing of the Company’s IPO. The 2018 Plan allows the compensation committee to make equity-based and cash-based incentive awards to its officers, employees, directors and other key persons (including consultants).</w:t>
      </w:r>
    </w:p>
    <w:p>
      <w:pPr>
        <w:spacing w:after="0" w:line="18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Company initially reserved 616,300 shares of its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its compensation committee. This number is subject to adjustment in the event of a stock split, stock dividend or other change in its capitalization.</w:t>
      </w:r>
    </w:p>
    <w:p>
      <w:pPr>
        <w:spacing w:after="0" w:line="188"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2018 Plan was 616,300 shares as of June 30, 2018, of which 533,911 shares remained available for future grant.</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During the six months ended June 30, 2018 and 2017, the Company granted options to purchase 836,178 and 196,872 shares of common stock to employees and members of the Board,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The Company’s 2018 Employee Stock Purchase Plan (the “ESPP”) was adopted by the Board June 1, 2018 and approved by stockholders on June 7, 2018 and became effective upon the effectiveness of the Company’s Registration Statement on Form S-1.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 (i) 1% of the outstanding number of shares of our common stock on the immediately preceding December 31; (ii) 1,115,700 shares or (iii) such number of shares as determined by the ESPP administrator. The number shares reserved under the ESPP is subject in the event of a stock split, stock dividend or other change in our capitalization.</w:t>
      </w:r>
    </w:p>
    <w:p>
      <w:pPr>
        <w:spacing w:after="0" w:line="179"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ESPP was 223,200 shares as of June 30, 2018, of which 223,200 shares remained available for future grant.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June 30, 2018, the initial purchase period under the ESPP has not yet commenced.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189"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Six Months</w:t>
      </w:r>
    </w:p>
    <w:p>
      <w:pPr>
        <w:jc w:val="center"/>
        <w:ind w:left="6560"/>
        <w:spacing w:after="0" w:line="236" w:lineRule="auto"/>
        <w:rPr>
          <w:sz w:val="20"/>
          <w:szCs w:val="20"/>
          <w:color w:val="auto"/>
        </w:rPr>
      </w:pPr>
      <w:r>
        <w:rPr>
          <w:rFonts w:ascii="Arial" w:cs="Arial" w:eastAsia="Arial" w:hAnsi="Arial"/>
          <w:sz w:val="14"/>
          <w:szCs w:val="14"/>
          <w:b w:val="1"/>
          <w:bCs w:val="1"/>
          <w:color w:val="auto"/>
        </w:rPr>
        <w:t>Ended June 30,</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2.73%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83.86%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85.50%</w:t>
            </w:r>
          </w:p>
        </w:tc>
      </w:tr>
      <w:tr>
        <w:trPr>
          <w:trHeight w:val="230"/>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summarizes the Company’s stock option activity for the six months ended June 30, 2018:</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100" w:type="dxa"/>
            <w:vAlign w:val="bottom"/>
            <w:gridSpan w:val="4"/>
            <w:vMerge w:val="restart"/>
          </w:tcPr>
          <w:p>
            <w:pPr>
              <w:jc w:val="center"/>
              <w:ind w:left="27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4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42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3"/>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1,034,961</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836,178</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9.74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Cancelled or forfeited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2018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1,871,139</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47,228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June 30, 2018</w:t>
            </w:r>
          </w:p>
        </w:tc>
        <w:tc>
          <w:tcPr>
            <w:tcW w:w="780" w:type="dxa"/>
            <w:vAlign w:val="bottom"/>
            <w:tcBorders>
              <w:bottom w:val="single" w:sz="8" w:color="auto"/>
            </w:tcBorders>
          </w:tcPr>
          <w:p>
            <w:pPr>
              <w:spacing w:after="0" w:line="20" w:lineRule="exact"/>
              <w:rPr>
                <w:sz w:val="1"/>
                <w:szCs w:val="1"/>
                <w:color w:val="auto"/>
              </w:rPr>
            </w:pPr>
          </w:p>
        </w:tc>
        <w:tc>
          <w:tcPr>
            <w:tcW w:w="540" w:type="dxa"/>
            <w:vAlign w:val="bottom"/>
            <w:gridSpan w:val="2"/>
            <w:vMerge w:val="restart"/>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0.72</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8.13</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8,619</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309,594</w:t>
            </w:r>
          </w:p>
        </w:tc>
        <w:tc>
          <w:tcPr>
            <w:tcW w:w="5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June 30,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1,559,125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38,609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at June 30, 2018.</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six months ended June 30, 2018 and 2017 was $7.63 and $0.66,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restricted common stock activity for the six months ended June 30, 2018:</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w:t>
            </w:r>
          </w:p>
        </w:tc>
        <w:tc>
          <w:tcPr>
            <w:tcW w:w="14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and unvested as of December 31, 2017</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276,301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Vested</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(61,512)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Forfeited, canceled or expired</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Issued an unvested as of June 30, 2018</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214,789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500" w:right="380"/>
        <w:spacing w:after="0" w:line="449" w:lineRule="auto"/>
        <w:rPr>
          <w:sz w:val="20"/>
          <w:szCs w:val="20"/>
          <w:color w:val="auto"/>
        </w:rPr>
      </w:pPr>
      <w:r>
        <w:rPr>
          <w:rFonts w:ascii="Arial" w:cs="Arial" w:eastAsia="Arial" w:hAnsi="Arial"/>
          <w:sz w:val="18"/>
          <w:szCs w:val="18"/>
          <w:color w:val="auto"/>
        </w:rPr>
        <w:t>The total fair value of restricted common stock vested during the six months ended June 30, 2018 and 2017 was $26 and $17, respectively. 16</w:t>
      </w:r>
    </w:p>
    <w:p>
      <w:pPr>
        <w:sectPr>
          <w:pgSz w:w="11900" w:h="16838" w:orient="portrait"/>
          <w:cols w:equalWidth="0" w:num="1">
            <w:col w:w="11020"/>
          </w:cols>
          <w:pgMar w:left="24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4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Six Months Ended</w:t>
      </w:r>
    </w:p>
    <w:p>
      <w:pPr>
        <w:jc w:val="center"/>
        <w:ind w:left="68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920" w:type="dxa"/>
            <w:vAlign w:val="bottom"/>
            <w:tcBorders>
              <w:top w:val="single" w:sz="8" w:color="auto"/>
            </w:tcBorders>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As of June 30, 2018, total unrecognized compensation cost related to the unvested stock-based awards was $6,776, which is expected to be recognized over a weighted-average period of 3.61 years.</w:t>
      </w:r>
    </w:p>
    <w:p>
      <w:pPr>
        <w:spacing w:after="0" w:line="275" w:lineRule="exact"/>
        <w:rPr>
          <w:sz w:val="20"/>
          <w:szCs w:val="20"/>
          <w:color w:val="auto"/>
        </w:rPr>
      </w:pPr>
    </w:p>
    <w:p>
      <w:pPr>
        <w:ind w:left="640" w:right="8840" w:hanging="436"/>
        <w:spacing w:after="0" w:line="425" w:lineRule="auto"/>
        <w:tabs>
          <w:tab w:leader="none" w:pos="4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License Agreements </w:t>
      </w:r>
      <w:r>
        <w:rPr>
          <w:rFonts w:ascii="Arial" w:cs="Arial" w:eastAsia="Arial" w:hAnsi="Arial"/>
          <w:sz w:val="16"/>
          <w:szCs w:val="16"/>
          <w:b w:val="1"/>
          <w:bCs w:val="1"/>
          <w:i w:val="1"/>
          <w:iCs w:val="1"/>
          <w:color w:val="auto"/>
        </w:rPr>
        <w:t>Agreements with UHN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 digit percentage of annual net sales of licensed products and a lower single-digit royalty percentage in certain circumstances. Additionally, the Company has agreed to pay a low double-digit royalty percentage of all sublicensing revenue. The agreement requires the Company to meet certain performance milestones within specified timeframes.</w:t>
      </w:r>
    </w:p>
    <w:p>
      <w:pPr>
        <w:spacing w:after="0" w:line="16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For the six months ended June 30, 2018 and 2017, no upfront fee and maintenance fees were incurred related to Fabry license agreement. 17</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640" w:right="7980" w:hanging="436"/>
        <w:spacing w:after="0" w:line="478" w:lineRule="auto"/>
        <w:tabs>
          <w:tab w:leader="none" w:pos="4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License Agreements (continued) </w:t>
      </w:r>
      <w:r>
        <w:rPr>
          <w:rFonts w:ascii="Arial" w:cs="Arial" w:eastAsia="Arial" w:hAnsi="Arial"/>
          <w:sz w:val="16"/>
          <w:szCs w:val="16"/>
          <w:b w:val="1"/>
          <w:bCs w:val="1"/>
          <w:i w:val="1"/>
          <w:iCs w:val="1"/>
          <w:color w:val="auto"/>
        </w:rPr>
        <w:t>Agreements with UHN (continued)</w:t>
      </w:r>
    </w:p>
    <w:p>
      <w:pPr>
        <w:ind w:left="640"/>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is considered a derivative instrument and was initially recorded at fair value of $49.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 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73"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agreement requires the Company to meet certain due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58"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For the six months ended June 30, 2018 and 2017, the Company recorded research and development expense related to this agreement with UHN of $41 and $151 (nil for the three months ended June 30, 2018 and 2017), respectively, which consists of upfront fees and license maintenance fees and development milestone payments.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upfront fees related to the license were recorded for the six months ended June 30, 2018.</w:t>
      </w:r>
    </w:p>
    <w:p>
      <w:pPr>
        <w:spacing w:after="0" w:line="166"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 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No upfront fees related to the license were recorded for the six months ended June 30, 2018.</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left="200" w:right="100" w:firstLine="441"/>
        <w:spacing w:after="0" w:line="284" w:lineRule="auto"/>
        <w:rPr>
          <w:sz w:val="20"/>
          <w:szCs w:val="20"/>
          <w:color w:val="auto"/>
        </w:rPr>
      </w:pPr>
      <w:r>
        <w:rPr>
          <w:rFonts w:ascii="Arial" w:cs="Arial" w:eastAsia="Arial" w:hAnsi="Arial"/>
          <w:sz w:val="16"/>
          <w:szCs w:val="16"/>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w:t>
      </w:r>
    </w:p>
    <w:p>
      <w:pPr>
        <w:spacing w:after="0" w:line="5" w:lineRule="exact"/>
        <w:rPr>
          <w:sz w:val="20"/>
          <w:szCs w:val="20"/>
          <w:color w:val="auto"/>
        </w:rPr>
      </w:pPr>
    </w:p>
    <w:p>
      <w:pPr>
        <w:ind w:left="200" w:right="80" w:firstLine="4"/>
        <w:spacing w:after="0" w:line="253" w:lineRule="auto"/>
        <w:tabs>
          <w:tab w:leader="none" w:pos="5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upfront fees related to the license were recorded for the six months ended June 30, 2018 and 2017.</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Net Loss per Share</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For purposes of the diluted net loss per share calculation, stock options, unvested restricted stock, the warrant to purchase shares of Series A Preferred Stock and Preferred Stock were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7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 because including them would have had an anti-dilutive effect:</w:t>
      </w:r>
    </w:p>
    <w:p>
      <w:pPr>
        <w:spacing w:after="0" w:line="200"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Six Months Ended</w:t>
      </w:r>
    </w:p>
    <w:p>
      <w:pPr>
        <w:jc w:val="center"/>
        <w:ind w:left="64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1,871,139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800" w:type="dxa"/>
            <w:vAlign w:val="bottom"/>
          </w:tcPr>
          <w:p>
            <w:pPr>
              <w:jc w:val="right"/>
              <w:spacing w:after="0"/>
              <w:rPr>
                <w:sz w:val="20"/>
                <w:szCs w:val="20"/>
                <w:color w:val="auto"/>
              </w:rPr>
            </w:pPr>
            <w:r>
              <w:rPr>
                <w:rFonts w:ascii="Arial" w:cs="Arial" w:eastAsia="Arial" w:hAnsi="Arial"/>
                <w:sz w:val="18"/>
                <w:szCs w:val="18"/>
                <w:color w:val="auto"/>
              </w:rPr>
              <w:t>214,789</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368,062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4,155,742</w:t>
            </w:r>
          </w:p>
        </w:tc>
        <w:tc>
          <w:tcPr>
            <w:tcW w:w="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440" w:type="dxa"/>
            <w:vAlign w:val="bottom"/>
          </w:tcPr>
          <w:p>
            <w:pPr>
              <w:spacing w:after="0" w:line="201" w:lineRule="exact"/>
              <w:rPr>
                <w:sz w:val="20"/>
                <w:szCs w:val="20"/>
                <w:color w:val="auto"/>
              </w:rPr>
            </w:pPr>
            <w:r>
              <w:rPr>
                <w:rFonts w:ascii="Arial" w:cs="Arial" w:eastAsia="Arial" w:hAnsi="Arial"/>
                <w:sz w:val="18"/>
                <w:szCs w:val="18"/>
                <w:color w:val="auto"/>
              </w:rPr>
              <w:t>Warrants to purchase redeemable convertible preferred stock (as converted to</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6,850</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365"/>
        </w:trPr>
        <w:tc>
          <w:tcPr>
            <w:tcW w:w="6460" w:type="dxa"/>
            <w:vAlign w:val="bottom"/>
            <w:gridSpan w:val="2"/>
          </w:tcPr>
          <w:p>
            <w:pPr>
              <w:jc w:val="right"/>
              <w:ind w:right="2090"/>
              <w:spacing w:after="0"/>
              <w:rPr>
                <w:sz w:val="20"/>
                <w:szCs w:val="20"/>
                <w:color w:val="auto"/>
              </w:rPr>
            </w:pPr>
            <w:r>
              <w:rPr>
                <w:rFonts w:ascii="Arial" w:cs="Arial" w:eastAsia="Arial" w:hAnsi="Arial"/>
                <w:sz w:val="18"/>
                <w:szCs w:val="18"/>
                <w:color w:val="auto"/>
              </w:rPr>
              <w:t>19</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On January 12, 2018, the Company entered into a lease agreement for office space located in Cambridge, Massachusetts. The lease agreement expires in January 2023, with a landlord who is an affiliate of the landlord of the Company’s prior lease facility. The annual lease payments are subject to a 3% increase each year. The Company recognizes rent expense on a straight-line basis over the lease period and has recorded deferred rent for rent expense incurred but not yet paid. The Company received a tenant incentive allowance of $842 in 2018. Such incentive allowance is being amortized as a reduction of rent expense on a straight-line basis over the lease period. In accordance with the lease agreement, the Company is required to maintain a security deposit of $209, which was recorded in other assets. In contemplation of this agreement, the Company terminated its prior lease agreement.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six months ended June 30, 2018 and 2017, and, to the best of its knowledge, no material legal proceedings are currently pending or threatened.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Company is also party to various agreements, principally relating to licensed technology, that require future payments relating to milestones not met at June 30, 2018 and December 31, 2017, or royalties on future sales of specified products. No milestone or royalty payments under these agreements are expected to be payable in the immediate future.</w:t>
      </w:r>
    </w:p>
    <w:p>
      <w:pPr>
        <w:spacing w:after="0" w:line="18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69" w:lineRule="exact"/>
        <w:rPr>
          <w:sz w:val="20"/>
          <w:szCs w:val="20"/>
          <w:color w:val="auto"/>
        </w:rPr>
      </w:pPr>
    </w:p>
    <w:p>
      <w:pPr>
        <w:ind w:left="480" w:hanging="276"/>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In connection with the Company’s entry into a license agreement with UHN on January 27, 2016, the Company issued UHN 1,161,665 shares of its common stock. As a result of the issuance of common stock, UHN owned 4.64% and 9.65% of the Company’s fully diluted equity as of June 30, 2018 and December 31, 2017, respectively. Upon the closing of the IPO, as UHN’s fully-diluted percentage ownership of the Company was reduced within a range of specified percentages, the Company is obligated to pay UHN an amount up to $2,000, which was recorded in accrued expenses as of June 30, 2018. See Note 3 for further discussion on the accounting treatment for this provision.</w:t>
      </w:r>
    </w:p>
    <w:p>
      <w:pPr>
        <w:spacing w:after="0" w:line="173"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During the six months ended June 30, 2018 and 2017, the Company recognized $41 and $151 (nil for three months ended June 30, 2018 and 2017), respectively, of research and development expense related to the license agreements with UHN.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For the six months ended June 30, 2018 and 2017 the Company recorded expenses of $40 and $48 ($2 and $24 for the three months ended</w:t>
      </w:r>
    </w:p>
    <w:p>
      <w:pPr>
        <w:spacing w:after="0" w:line="3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June 30, 2018 and 2017), respectively, related to consulting services provided by an entity affiliated with an officer of the Company and a member of the Board. The entity is also a shareholder of the Company and owned 0.48% and 1.56% of the Company’s fully diluted equity as of June 30, 2018 and 2017, respectively.</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For the three and six months ended June 30, 2017, the Company recorded expenses of $15 and $15, respectively, related to services provided by an entity affiliated with a member of the Board and the use of office space. The lease was terminated in February 2017 and the services were no longer being provided as of June 30, 2017.</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On July 13, 2018, the lender of the Loan Agreement exercised its common stock warrants to purchase 6,850 shares of common stock on a net basis, resulting in the issuance of 6,091 shares of common stock.</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24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footnotes for the year ended December 31, 2017 included in the final prospectus for our initial public offering dated June 20, 2018.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Item 1A of Part II of this report, as supplemented by our subsequent filings with the SEC.</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 xml:space="preserve">We are a Phase 2 clinical stage gene therapy company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has the potential to provide curative benefit in an outpatient setting for a range of diseases. Our initial focus is on a group of rare genetic diseases referred to as lysosomal storage diseases, which today are primarily managed with enzyme replacement therapies, or ERTs.</w:t>
      </w:r>
    </w:p>
    <w:p>
      <w:pPr>
        <w:spacing w:after="0" w:line="1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initially targeting rare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seek to develop promising gene therapy programs by applying our expertise in gene and cellular therapies and clinical and regulatory strategy and execution to efficiently bring these potentially curative therapies to patients. In our initial programs, we leverage years of extensive preclinical and early clinical research by leading researchers, as well as our internal research efforts, to advance potential therapies. We plan to identify and develop future product candidates through our own internal research efforts as well as through collaborations with leading academics.</w:t>
      </w:r>
    </w:p>
    <w:p>
      <w:pPr>
        <w:spacing w:after="0" w:line="154"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We do not have any products approved for sale and have not generated any revenue from product sales. To date, we have funded our operations with proceeds from the sales of preferred stock and our initial public offering of common stock, or our initial public offering (the “IPO”). Through June 30, 2018, we had received gross proceeds of $87.5 million from the sales of our preferred stock and $114.7 million from the sales of common stock through our IPO. 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$18.7 million and $4.6 million for the six months ended June 30, 2018 and 2017, respectively. As of June 30, 2018 we had an accumulated deficit of $44.1 million. 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incur additional costs associated with operating as a public company, including significant legal, accounting, investor relations and other expenses that we did not incur as a private company.</w:t>
      </w:r>
    </w:p>
    <w:p>
      <w:pPr>
        <w:spacing w:after="0" w:line="17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IPO. We also plan to pursue additional funding from outside sources, including our expansion of, or our entry into, new borrowing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8"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jc w:val="both"/>
        <w:ind w:left="200" w:right="260" w:firstLine="441"/>
        <w:spacing w:after="0" w:line="279" w:lineRule="auto"/>
        <w:rPr>
          <w:sz w:val="20"/>
          <w:szCs w:val="20"/>
          <w:color w:val="auto"/>
        </w:rPr>
      </w:pPr>
      <w:r>
        <w:rPr>
          <w:rFonts w:ascii="Arial" w:cs="Arial" w:eastAsia="Arial" w:hAnsi="Arial"/>
          <w:sz w:val="17"/>
          <w:szCs w:val="17"/>
          <w:color w:val="auto"/>
        </w:rPr>
        <w:t>As of June 30, 2018, we had cash and cash equivalents of $155.0 million. We believe that our existing cash and cash equivalents as of June 30, 2018 will enable us to fund our operating expenses and capital expenditure requirements into 2020.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spacing w:after="0" w:line="17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recently dosed the first patient in our ongoing Phase 2 clinical trial of AVR-RD-01 for Fabry disease. We recently held a pre-IND meeting with the FDA to discuss the requirements to commence clinical trials in the United States. We expect to open a U.S. site for our ongoing Phase 2 clinical trial of AVR-RD-01 in 2019. In addition, on July 11, 2018, a third patient was dosed in the ongoing investigator-sponsored Phase 1 clinical trial of AVR-RD-01 for Fabry disease.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in the near future. If development efforts for our product candidates are successful and result in regulatory approval or additional license agreements with third parties, we may generate revenue in the future from product sales.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include:</w:t>
      </w:r>
    </w:p>
    <w:p>
      <w:pPr>
        <w:spacing w:after="0" w:line="76" w:lineRule="exact"/>
        <w:rPr>
          <w:sz w:val="20"/>
          <w:szCs w:val="20"/>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30" w:lineRule="exact"/>
        <w:rPr>
          <w:rFonts w:ascii="Arial" w:cs="Arial" w:eastAsia="Arial" w:hAnsi="Arial"/>
          <w:sz w:val="18"/>
          <w:szCs w:val="18"/>
          <w:color w:val="auto"/>
        </w:rPr>
      </w:pPr>
    </w:p>
    <w:p>
      <w:pPr>
        <w:ind w:left="1060" w:right="20" w:hanging="424"/>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29" w:lineRule="exact"/>
        <w:rPr>
          <w:rFonts w:ascii="Arial" w:cs="Arial" w:eastAsia="Arial" w:hAnsi="Arial"/>
          <w:sz w:val="16"/>
          <w:szCs w:val="16"/>
          <w:color w:val="auto"/>
        </w:rPr>
      </w:pPr>
    </w:p>
    <w:p>
      <w:pPr>
        <w:ind w:left="1060" w:right="60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75"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ectPr>
          <w:pgSz w:w="11900" w:h="16838" w:orient="portrait"/>
          <w:cols w:equalWidth="0" w:num="1">
            <w:col w:w="11200"/>
          </w:cols>
          <w:pgMar w:left="240" w:top="459" w:right="459" w:bottom="1440" w:gutter="0" w:footer="0" w:header="0"/>
        </w:sectPr>
      </w:pP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00"/>
          </w:cols>
          <w:pgMar w:left="240" w:top="459" w:right="4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summarizes our research and development expenses incurred by program:</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Six Months</w:t>
            </w: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Ended June 30,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Ended June 30,</w:t>
            </w: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8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215"/>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Fabry</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864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Gaucher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1,579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w w:val="86"/>
              </w:rPr>
              <w:t>174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2,434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AML</w:t>
            </w: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Cystinosis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277</w:t>
            </w:r>
          </w:p>
        </w:tc>
        <w:tc>
          <w:tcPr>
            <w:tcW w:w="3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Pompe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17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6"/>
              </w:rPr>
              <w:t>843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5,506</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research and development expenses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1,881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3,315</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7" w:lineRule="exact"/>
        <w:rPr>
          <w:sz w:val="20"/>
          <w:szCs w:val="20"/>
          <w:color w:val="auto"/>
        </w:rPr>
      </w:pPr>
    </w:p>
    <w:p>
      <w:pPr>
        <w:ind w:left="1060" w:right="72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progress, outcome and costs of our preclinical development activities, clinical trials and other research and development activities;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development and timely delivery of commercial-grade drug formulations that can be used in our clinical trials and for commercial launch;</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U.S. Food and Drug Administration, or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consists of interest earned on money market funds and other bank deposits.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 consists of foreign exchange gain or loss.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1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In connection with entering into our loan agreement, we agreed to issue a warrant to purchase shares of our preferred stock to the lender. Prior to the completion of the IPO, we classified the warrant as a liability on our consolidated balance sheet and we were required to remeasure to fair value at each reporting date. We recognized changes in the fair value of the warrant liability as a component of other income (expense), net in our consolidated statements of operations and comprehensive loss. Upon the IPO, the warrant to purchase preferred stock was converted to a warrant to purchase common stock. The carrying amount of the warrant to purchase preferred stock as of the date of IPO was transferred to additional paid in capital. No further revaluation needed for the warrant to purchase common stock.</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ind w:left="200" w:right="240" w:firstLine="441"/>
        <w:spacing w:after="0" w:line="293" w:lineRule="auto"/>
        <w:rPr>
          <w:sz w:val="20"/>
          <w:szCs w:val="20"/>
          <w:color w:val="auto"/>
        </w:rPr>
      </w:pPr>
      <w:r>
        <w:rPr>
          <w:rFonts w:ascii="Arial" w:cs="Arial" w:eastAsia="Arial" w:hAnsi="Arial"/>
          <w:sz w:val="16"/>
          <w:szCs w:val="16"/>
          <w:color w:val="auto"/>
        </w:rPr>
        <w:t>Our stock purchase agreement with University Health Network, or UHN, provides for a payment to UHN upon completion of an initial public offering, which included our June 2018 IPO, if UHN’s fully-diluted percentage ownership of our company is reduced within a range of specified percentages. We classify the IPO dilution payment obligation as a liability on our consolidated balance sheet and we are required to remeasure to fair value at each reporting date. We recognize changes in the fair value of the derivative liability as a component of other income (expense), net in our consolidated statements of operations and comprehensive loss. On June 21, 2018, in connection with our IPO, we remeasured the fair value of the derivative liability to $2.0 million as we were required to pay the dilution payment as mentioned above, which was paid in July 2018.</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the Three Months Ended June 30, 2018 and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results of operations for the three months ended June 30, 2018 and 2017:</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8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Three Months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8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Ended June 30,</w:t>
            </w:r>
          </w:p>
        </w:tc>
        <w:tc>
          <w:tcPr>
            <w:tcW w:w="40" w:type="dxa"/>
            <w:vAlign w:val="bottom"/>
          </w:tcPr>
          <w:p>
            <w:pPr>
              <w:spacing w:after="0"/>
              <w:rPr>
                <w:sz w:val="14"/>
                <w:szCs w:val="14"/>
                <w:color w:val="auto"/>
              </w:rPr>
            </w:pPr>
          </w:p>
        </w:tc>
        <w:tc>
          <w:tcPr>
            <w:tcW w:w="6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0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6"/>
          </w:tcPr>
          <w:p>
            <w:pPr>
              <w:jc w:val="right"/>
              <w:ind w:right="30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3"/>
          </w:tcPr>
          <w:p>
            <w:pPr>
              <w:jc w:val="right"/>
              <w:ind w:right="202"/>
              <w:spacing w:after="0"/>
              <w:rPr>
                <w:sz w:val="20"/>
                <w:szCs w:val="20"/>
                <w:color w:val="auto"/>
              </w:rPr>
            </w:pPr>
            <w:r>
              <w:rPr>
                <w:rFonts w:ascii="Arial" w:cs="Arial" w:eastAsia="Arial" w:hAnsi="Arial"/>
                <w:sz w:val="18"/>
                <w:szCs w:val="18"/>
                <w:color w:val="auto"/>
                <w:w w:val="98"/>
              </w:rPr>
              <w:t>$  7,407</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$ 1,881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9"/>
              </w:rPr>
              <w:t>$ 5,526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940" w:type="dxa"/>
            <w:vAlign w:val="bottom"/>
            <w:gridSpan w:val="3"/>
            <w:shd w:val="clear" w:color="auto" w:fill="CCEEFF"/>
          </w:tcPr>
          <w:p>
            <w:pPr>
              <w:jc w:val="right"/>
              <w:ind w:right="202"/>
              <w:spacing w:after="0"/>
              <w:rPr>
                <w:sz w:val="20"/>
                <w:szCs w:val="20"/>
                <w:color w:val="auto"/>
              </w:rPr>
            </w:pPr>
            <w:r>
              <w:rPr>
                <w:rFonts w:ascii="Arial" w:cs="Arial" w:eastAsia="Arial" w:hAnsi="Arial"/>
                <w:sz w:val="18"/>
                <w:szCs w:val="18"/>
                <w:color w:val="auto"/>
              </w:rPr>
              <w:t>2,140</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661</w:t>
            </w: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4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9,547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2,542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(9,547)</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(2,542)</w:t>
            </w: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940" w:type="dxa"/>
            <w:vAlign w:val="bottom"/>
            <w:gridSpan w:val="3"/>
            <w:shd w:val="clear" w:color="auto" w:fill="CCEEFF"/>
          </w:tcPr>
          <w:p>
            <w:pPr>
              <w:jc w:val="right"/>
              <w:ind w:right="202"/>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Change in fair value of preferred stock warrant liability</w:t>
            </w:r>
          </w:p>
        </w:tc>
        <w:tc>
          <w:tcPr>
            <w:tcW w:w="940" w:type="dxa"/>
            <w:vAlign w:val="bottom"/>
            <w:gridSpan w:val="3"/>
          </w:tcPr>
          <w:p>
            <w:pPr>
              <w:jc w:val="right"/>
              <w:ind w:right="142"/>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derivative liability</w:t>
            </w:r>
          </w:p>
        </w:tc>
        <w:tc>
          <w:tcPr>
            <w:tcW w:w="94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(1,042)</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940" w:type="dxa"/>
            <w:vAlign w:val="bottom"/>
            <w:gridSpan w:val="3"/>
          </w:tcPr>
          <w:p>
            <w:pPr>
              <w:jc w:val="right"/>
              <w:ind w:right="142"/>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94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3"/>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Net loss</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(10,507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(2,534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(7,973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Three Months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7"/>
          </w:tcPr>
          <w:p>
            <w:pPr>
              <w:ind w:left="220"/>
              <w:spacing w:after="0"/>
              <w:rPr>
                <w:sz w:val="20"/>
                <w:szCs w:val="20"/>
                <w:color w:val="auto"/>
              </w:rPr>
            </w:pPr>
            <w:r>
              <w:rPr>
                <w:rFonts w:ascii="Arial" w:cs="Arial" w:eastAsia="Arial" w:hAnsi="Arial"/>
                <w:sz w:val="14"/>
                <w:szCs w:val="14"/>
                <w:b w:val="1"/>
                <w:bCs w:val="1"/>
                <w:color w:val="auto"/>
              </w:rPr>
              <w:t>Ended June 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Fabry</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$2,519</w:t>
            </w:r>
          </w:p>
        </w:tc>
        <w:tc>
          <w:tcPr>
            <w:tcW w:w="180" w:type="dxa"/>
            <w:vAlign w:val="bottom"/>
          </w:tcPr>
          <w:p>
            <w:pPr>
              <w:spacing w:after="0"/>
              <w:rPr>
                <w:sz w:val="18"/>
                <w:szCs w:val="18"/>
                <w:color w:val="auto"/>
              </w:rPr>
            </w:pPr>
          </w:p>
        </w:tc>
        <w:tc>
          <w:tcPr>
            <w:tcW w:w="960" w:type="dxa"/>
            <w:vAlign w:val="bottom"/>
            <w:gridSpan w:val="4"/>
          </w:tcPr>
          <w:p>
            <w:pPr>
              <w:jc w:val="right"/>
              <w:ind w:right="240"/>
              <w:spacing w:after="0"/>
              <w:rPr>
                <w:sz w:val="20"/>
                <w:szCs w:val="20"/>
                <w:color w:val="auto"/>
              </w:rPr>
            </w:pPr>
            <w:r>
              <w:rPr>
                <w:rFonts w:ascii="Arial" w:cs="Arial" w:eastAsia="Arial" w:hAnsi="Arial"/>
                <w:sz w:val="18"/>
                <w:szCs w:val="18"/>
                <w:color w:val="auto"/>
              </w:rPr>
              <w:t>$  864</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Gaucher</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Cystinosis</w:t>
            </w:r>
          </w:p>
        </w:tc>
        <w:tc>
          <w:tcPr>
            <w:tcW w:w="1120" w:type="dxa"/>
            <w:vAlign w:val="bottom"/>
            <w:gridSpan w:val="4"/>
          </w:tcPr>
          <w:p>
            <w:pPr>
              <w:jc w:val="right"/>
              <w:ind w:right="18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Pompe</w:t>
            </w:r>
          </w:p>
        </w:tc>
        <w:tc>
          <w:tcPr>
            <w:tcW w:w="11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Personnel related (including stock-based compensation)</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646</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197</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6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research and development expenses</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7,407</w:t>
            </w: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1,881</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5,526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Research and development expenses were $7.4 million for the three months ended June 30, 2018, compared to $1.9 million for the three months ended June 30, 2017. The increase of $5.5 million was primarily due to increases of $1.7 million in direct costs for our Fabry program, $1.4 million in direct costs connected with our Gaucher program, $0.1 million in direct costs related to our Cystinosis program, $0.2 million in direct costs connected with our Pompe program and $2.1 million in research and discovery and unallocated costs, which primarily consisted of personnel-related costs due to the increase in research and development employee headcount.</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increase in direct costs for our Fabry program was primarily due to CMO fees of $0.7 million, CRO fees of $0.3 million, as well as process development costs and consulting fees of $0.6 million.</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increase in direct costs for our Gaucher program was primarily due to CMO fees of $0.8 million, as well as CRO fees and consulting fees of $0.3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Cystinosis program was primarily due to consulting fees of $0.1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Pompe program was primarily due to process development costs of $0.2 million.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240" w:top="459" w:right="5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increase in research and discovery and unallocated costs was primarily due to an increase of $1.5 million in personnel-related costs, including stock-based compensation, as a result of hiring additional personnel in our research and development department, an increase of $0.4 million in unallocated research and development costs and an increase of $0.3 million in unallocated facility costs and rent expense. Personnel-related costs for the three months ended June 30, 2018 and 2017 included stock-based compensation expense of $0.2 million and less than $0.1 million, respectively.</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General and administrative expenses were $2.1 million for the three months ended June 30, 2018, compared to $0.7 million for the three months ended June 30, 2017. The increase of $1.5 million was primarily due to increases of $0.9 million in personnel-related costs, including stock-based compensation, $0.3 million in consulting expense, $0.2 million in professional fees and $0.1 million in facility expense. The increase in personnel-related costs was due to the hiring of additional personnel in our general and administrative functions, including the hiring of our Chief Financial Officer (“CFO”) in late 2017. Professional fees increased due to costs associated with the preparation of our financial statements, preparing to become a publicly traded company, as well as ongoing business operations. The increase in facility expense was primarily due to the addition of increased office space as a result of the continued growth of the employee headcount.</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Other income (expense), net was an expense of $1.0 million for the three months ended June 30, 2018, compared to an income less than</w:t>
      </w:r>
    </w:p>
    <w:p>
      <w:pPr>
        <w:spacing w:after="0" w:line="3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$0.1 million for the three months ended June 30, 2017. The increase in other expense of $1.0 million was primarily due to increase of $1.0 million in the change in fair value of derivative liability and an increase of $0.2 million in the change in fair value of preferred stock warrant liability, partially offset by a $0.2 million increase in interest income.</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results of operations for the six months ended June 30, 2018 and 2017:</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4"/>
                <w:szCs w:val="14"/>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8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Research and development</w:t>
            </w:r>
          </w:p>
        </w:tc>
        <w:tc>
          <w:tcPr>
            <w:tcW w:w="2740" w:type="dxa"/>
            <w:vAlign w:val="bottom"/>
            <w:gridSpan w:val="3"/>
          </w:tcPr>
          <w:p>
            <w:pPr>
              <w:jc w:val="right"/>
              <w:ind w:right="80"/>
              <w:spacing w:after="0"/>
              <w:rPr>
                <w:sz w:val="20"/>
                <w:szCs w:val="20"/>
                <w:color w:val="auto"/>
              </w:rPr>
            </w:pPr>
            <w:r>
              <w:rPr>
                <w:rFonts w:ascii="Arial" w:cs="Arial" w:eastAsia="Arial" w:hAnsi="Arial"/>
                <w:sz w:val="18"/>
                <w:szCs w:val="18"/>
                <w:color w:val="auto"/>
              </w:rPr>
              <w:t>$ 13,054</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$ 3,315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w:t>
            </w:r>
          </w:p>
        </w:tc>
        <w:tc>
          <w:tcPr>
            <w:tcW w:w="2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4,281</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19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4,586</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(17,335)</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(4,586)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income (expense):</w:t>
            </w:r>
          </w:p>
        </w:tc>
        <w:tc>
          <w:tcPr>
            <w:tcW w:w="1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w w:val="95"/>
              </w:rPr>
              <w:t>Change in fair value of preferred stock warrant liability</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2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(1,629)</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Other expenses</w:t>
            </w:r>
          </w:p>
        </w:tc>
        <w:tc>
          <w:tcPr>
            <w:tcW w:w="19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1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(1,414)</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9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(18,749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(4,611</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(14,138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900" w:type="dxa"/>
            <w:vAlign w:val="bottom"/>
            <w:vMerge w:val="restart"/>
          </w:tcPr>
          <w:p>
            <w:pPr>
              <w:jc w:val="right"/>
              <w:ind w:right="1550"/>
              <w:spacing w:after="0"/>
              <w:rPr>
                <w:sz w:val="20"/>
                <w:szCs w:val="20"/>
                <w:color w:val="auto"/>
              </w:rPr>
            </w:pPr>
            <w:r>
              <w:rPr>
                <w:rFonts w:ascii="Arial" w:cs="Arial" w:eastAsia="Arial" w:hAnsi="Arial"/>
                <w:sz w:val="18"/>
                <w:szCs w:val="18"/>
                <w:color w:val="auto"/>
              </w:rPr>
              <w:t>27</w:t>
            </w: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Ended June 30,</w:t>
            </w:r>
          </w:p>
        </w:tc>
        <w:tc>
          <w:tcPr>
            <w:tcW w:w="140" w:type="dxa"/>
            <w:vAlign w:val="bottom"/>
          </w:tcPr>
          <w:p>
            <w:pPr>
              <w:spacing w:after="0"/>
              <w:rPr>
                <w:sz w:val="14"/>
                <w:szCs w:val="14"/>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Fabry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4,407</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$1,251</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Gaucher</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2,434</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AML</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166</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Cystinosis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Pompe</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3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Personnel related (including stock-based compensation)</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3,743</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1,281</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1,763</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352</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23"/>
        </w:trPr>
        <w:tc>
          <w:tcPr>
            <w:tcW w:w="6740" w:type="dxa"/>
            <w:vAlign w:val="bottom"/>
          </w:tcPr>
          <w:p>
            <w:pPr>
              <w:ind w:left="720"/>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13,054</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3,315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Research and development expenses were $13.1 million for the six months ended June 30, 2018, compared to $3.3 million for the six months ended June 30, 2017. The increase of $9.7 million was primarily due to increases of $3.2 million in direct costs for our Fabry program, $2.2 million in direct costs connected with our Gaucher program, $0.3 million in direct costs related to our Cystinosis program, $0.4 million in direct costs related to our Pompe program and $3.9 million in research and discovery and unallocated costs, all partially offset by a decrease of $0.1 million in direct costs for our AML program as we shifted our focus onto developing our other programs.</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increase in direct costs for our Fabry program was primarily due to pre-clinical, clinical and process development costs of $1.4 million, CMO fees of $0.7 million, as well as CRO and consulting fees of $1.0 million.</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increase in direct costs for our Gaucher program was primarily due to CMO fees of $0.8 million, process development costs of $0.9 million, as well as CRO and consulting fees of $0.3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Cystinosis program was primarily due to consulting fees of $0.3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Pompe program was primarily due to development costs of $0.3 million.</w:t>
      </w:r>
    </w:p>
    <w:p>
      <w:pPr>
        <w:spacing w:after="0" w:line="225"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increase in research and discovery and unallocated costs was primarily due to an increase of $2.5 million in personnel-related costs, including stock-based compensation, as a result of hiring additional personnel in our research and development department, an increase of $0.5 million in unallocated research and development costs, and an increase of $0.8 million in unallocated facility costs and rent expense. Personnel-related costs for the six months ended June 30, 2018 and 2017 included stock-based compensation expense of $0.2 million and less than $0.1 million, respectively.</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General and administrative expenses were $4.3 million for the six months ended June 30, 2018, compared to $1.3 million for the six months ended June 30, 2017. The increase of $3.0 million was primarily due to increases of $1.4 million in personnel-related costs, including stock-based compensation, $1.0 million in consulting expense, $0.4 million in professional fees and $0.1 million in legal expense. The increase in personnel-related costs was due to the hiring of additional personnel in our general and administrative functions, including the hiring of our CFO in late 2017. Professional fees increased due to costs associated with the preparation of our consolidated financial statements, preparing to become a publicly traded company, as well as ongoing business operations.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Other income (expense), net was an expense of $1.4 million for the six months ended June 30, 2018, compared to an expense less than</w:t>
      </w:r>
    </w:p>
    <w:p>
      <w:pPr>
        <w:spacing w:after="0" w:line="35" w:lineRule="exact"/>
        <w:rPr>
          <w:sz w:val="20"/>
          <w:szCs w:val="20"/>
          <w:color w:val="auto"/>
        </w:rPr>
      </w:pPr>
    </w:p>
    <w:p>
      <w:pPr>
        <w:ind w:left="200" w:right="220"/>
        <w:spacing w:after="0" w:line="255" w:lineRule="auto"/>
        <w:rPr>
          <w:sz w:val="20"/>
          <w:szCs w:val="20"/>
          <w:color w:val="auto"/>
        </w:rPr>
      </w:pPr>
      <w:r>
        <w:rPr>
          <w:rFonts w:ascii="Arial" w:cs="Arial" w:eastAsia="Arial" w:hAnsi="Arial"/>
          <w:sz w:val="18"/>
          <w:szCs w:val="18"/>
          <w:color w:val="auto"/>
        </w:rPr>
        <w:t>$0.1 million for the six months ended June 30, 2017. The increase in other expense of $1.4 million was primarily due to an increase of $1.6 million in the change in fair value of derivative liability and an increase of $0.2 million in the change in fair value of preferred stock warrant liability, partially offset by a $0.4 million increase in interest income.</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Through June 30, 2018, we had received gross cash proceeds of $87.5 and $114.7 million from sales of our preferred stock and IPO, respectively.</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in excess of immediate requirements is invested primarily with a view to liquidity and capital preservation.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141"/>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58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(14,229)</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$(4,458)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(400)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163,681</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149,052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(1,084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During the six months ended June 30, 2018, operating activities used $14.2 million of cash and cash equivalents, resulting from our net loss of $18.7 million, partially offset by non-cash charges of $2.7 million and net cash provided by changes in our operating assets and liabilities of</w:t>
      </w:r>
    </w:p>
    <w:p>
      <w:pPr>
        <w:ind w:left="200"/>
        <w:spacing w:after="0" w:line="273" w:lineRule="auto"/>
        <w:rPr>
          <w:sz w:val="20"/>
          <w:szCs w:val="20"/>
          <w:color w:val="auto"/>
        </w:rPr>
      </w:pPr>
      <w:r>
        <w:rPr>
          <w:rFonts w:ascii="Arial" w:cs="Arial" w:eastAsia="Arial" w:hAnsi="Arial"/>
          <w:sz w:val="17"/>
          <w:szCs w:val="17"/>
          <w:color w:val="auto"/>
        </w:rPr>
        <w:t>$1.9 million. The non-cash charges primarily included $0.6 million of stock-based compensation, $1.6 million of change in fair value of derivative liability and $0.2 million of change in fair value of preferred stock warrant liability. The net changes in our operating assets and liabilities was primarily due to increases in liabilities of $3.0 million due to ongoing research, development, and clinical trial efforts and partially offset by increases in assets of $1.2 million, including an increase due to a $0.2 million security deposit for a new lease that was executed in 2018.</w:t>
      </w:r>
    </w:p>
    <w:p>
      <w:pPr>
        <w:spacing w:after="0" w:line="17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During the six months ended June 30, 2017, operating activities used $4.5 million of cash and cash equivalents, resulting from our net loss of $4.6 million and net cash used by changes in our operating assets and liabilities of $0.1 million, primarily offset by non-cash charges of $0.3 million.</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During the six months ended June 30, 2018, we used $0.4 million of cash and cash equivalents in investing activities consisting of purchases of property and equipment. During the six months ended June 30, 2017, we used less than $0.1 million of cash and cash equivalents in purchases of property and equipment.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During the six months ended June 30, 2018, net cash provided by financing activities was $163.7 million, primarily consisting of net cash proceeds of $105.4 million from our IPO in June 2018 and net cash proceed of $58.3 million from our issuance of Series B preferred stock in January 2018.</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During the six months ended June 30, 2017, net cash provided by financing activities was $3.4 million, consisting of net cash proceeds from our issuance of Series A preferred stock in March 2017.</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June 2017, we entered into a Loan and Security Agreement, which we refer to as the Loan Agreement, with Silicon Valley Bank, or SVB, providing a senior secured non-revolving loan facility of up to an aggregate principal amount of $10.0 million, available for us to draw down in three tranches until October 31, 2018, subject to the satisfaction of certain milestones for each tranche. As of June 30, 2018, we had not drawn down from the facility and the $3.5 million first tranche was available.</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24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first tranche of $3.5 million was made available upon entry into the Loan Agreement as we satisfied the borrowing conditions at such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time. The second tranche of $3.5 million will be made available after the funding of the first tranche amounts and upon confirmation by SVB that either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have met certain clinical and developmental milestones, or we have subsequently obtained at least $7.5 million in cash proceeds from the sale of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equity securities from investors reasonably acceptable to SVB. The third tranche of $3.0 million will be made available after the funding of the first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second tranche amounts and upon confirmation by SVB that we have subsequently obtained at least an additional $6.5 million in cash proceeds from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sale of our equity securities to investors reasonably acceptable to SVB, and we have received a signed and enforceable term sheet from investors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acceptable to SVB committing to provide financing on or before March 31, 2018 in an amount equal to at least 12 months of operating expenses.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January 2018, we received gross cash proceeds of $60.5 million from the sale of our Series B preferred stock.</w:t>
      </w:r>
    </w:p>
    <w:p>
      <w:pPr>
        <w:spacing w:after="0" w:line="21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Any outstanding principal amounts under the Loan Agreement will accrue interest at a floating per annum rate equal to the greater of 1% and the “prime rate,” as published in the Wall Street Journal, minus 3%. 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w:t>
      </w:r>
    </w:p>
    <w:p>
      <w:pPr>
        <w:spacing w:after="0" w:line="188"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Pursuant to the Loan Agreement, we provided a first priority security interest in all existing and after-acquired assets, excluding intellectual property and certain other assets owned by us. The Loan Agreement contains a negative pledge on our intellectual property.</w:t>
      </w:r>
    </w:p>
    <w:p>
      <w:pPr>
        <w:spacing w:after="0" w:line="147"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In connection with the Loan Agreement, we issued a warrant to SVB to purchase shares of our Series A preferred stock at an exercise price of $0.7949 per share. This warrant was initially exercisable for 28,305 shares of Series A preferred stock. Up to an additional 160,397 shares of Series A preferred stock may become subject to this warrant, with the proportion of such additional shares equal to the percentage of the full $10.0 million aggregate principal amount under the Loan Agreement that we draw down thereunder. Following the completion of our IPO, this warrant is initially exercisable for 6,850 shares of common stock, and up to an additional 38,818 shares of common stock may become subject to this warrant.</w:t>
      </w:r>
    </w:p>
    <w:p>
      <w:pPr>
        <w:spacing w:after="0" w:line="15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Loan Agreement allows us to voluntarily prepay all but not less than all the outstanding amounts thereunder. A scaling prepayment fee of 1% or 0.5% would be assessed if we prepay the amounts within the first anniversary of funding, or between the first and second anniversary of funding, respectively. No prepayment fee would be assessed if we prepay the amounts after the second anniversary of funding. A final payment fee of 6.75% multiplied by the original principal amount of each tranche drawn is due upon the earliest to occur of the maturity date of the Loan Agreement, the termination of the Loan Agreement, the acceleration of the Loan Agreement or repayment or prepayment of such borrowings.</w:t>
      </w:r>
    </w:p>
    <w:p>
      <w:pPr>
        <w:spacing w:after="0" w:line="1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Loan Agreement contains customary indemnification obligations and customary events of default, including, among other things, our failure to fulfill certain of our obligations under the Loan Agreement and the occurrence of a material adverse change in our business, operations or condition, a material impairment of the prospect of repayment of any portion of the loan, or a material impairment in the perfection or priority of the SVB’s lien in the collateral or in the value of such collateral. In the event of default by us under the Loan Agreement, SVB would be entitled to exercise its remedies thereunder, including the right to accelerate the debt, upon which we may be required to repay all amounts then outstanding under the Loan Agreement or SVB may take possession of the collateral securing the Loan Agreement.</w:t>
      </w:r>
    </w:p>
    <w:p>
      <w:pPr>
        <w:spacing w:after="0" w:line="178"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Loan Agreement includes certain restrictions on, among other things, our ability to incur additional indebtedness, change the name or location of our business, merge with or acquire other entities, pay dividends or make other distributions to holders of our capital stock, make certain investments, engage in transactions with affiliates, create liens, open new deposit accounts, sell assets or pay subordinated debt.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we expect to incur additional costs associated with operating as a public company that we had not incurred as a private company. Our expenses will also increase as we:</w:t>
      </w:r>
    </w:p>
    <w:p>
      <w:pPr>
        <w:spacing w:after="0" w:line="87" w:lineRule="exact"/>
        <w:rPr>
          <w:sz w:val="20"/>
          <w:szCs w:val="20"/>
          <w:color w:val="auto"/>
        </w:rPr>
      </w:pPr>
    </w:p>
    <w:p>
      <w:pPr>
        <w:ind w:left="1060" w:right="48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recently initiated Phase 2 clinical trial for AVR-RD-01;</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30" w:lineRule="exact"/>
        <w:rPr>
          <w:rFonts w:ascii="Arial" w:cs="Arial" w:eastAsia="Arial" w:hAnsi="Arial"/>
          <w:sz w:val="18"/>
          <w:szCs w:val="18"/>
          <w:color w:val="auto"/>
        </w:rPr>
      </w:pPr>
    </w:p>
    <w:p>
      <w:pPr>
        <w:jc w:val="center"/>
        <w:ind w:left="5620" w:right="480" w:hanging="4876"/>
        <w:spacing w:after="0" w:line="449" w:lineRule="auto"/>
        <w:tabs>
          <w:tab w:leader="none" w:pos="10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seek to industrialize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approach into a robust, scalable and, if approved, commercially viable process; 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transition our organization to operating as a public company.</w:t>
      </w:r>
    </w:p>
    <w:p>
      <w:pPr>
        <w:spacing w:after="0" w:line="22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believe our cash and cash equivalents as of June 30, 2018 will enable us to fund our operating expenses and capital expenditure requirements into 2020. We have based these estimates on assumptions that may prove to be wrong, and we could utilize our available capital resources sooner than we expect. If we receive regulatory approval for AVR-RD-01 or our other product candidates, we expect to incur significant commercialization expenses related to product manufacturing, sales, marketing and distribution, depending on where we choose to commercialize.</w:t>
      </w:r>
    </w:p>
    <w:p>
      <w:pPr>
        <w:spacing w:after="0" w:line="154" w:lineRule="exact"/>
        <w:rPr>
          <w:sz w:val="20"/>
          <w:szCs w:val="20"/>
          <w:color w:val="auto"/>
        </w:rPr>
      </w:pPr>
    </w:p>
    <w:p>
      <w:pPr>
        <w:ind w:left="200" w:right="180" w:firstLine="441"/>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The disclosure of our contractual obligations and commitments is set forth under the heading “Management’s Discussion and Analysis of Financial Condition and Results of Operations—Contractual Obligations and Commitments” in our final prospectus filed with the SEC on June 21, 2018. There have been no significant changes to the table except for the new lease signed on January 12, 2018. The lease agreement expires in January 2023, with a landlord who is an affiliate of the landlord of our prior lease facility. The annual lease payments are subject to a 3% increase each year. In accordance with the lease agreement, we received a tenant incentive allowance of $842 thousand and maintained a security deposit of $209 thousand during the six months ended June 30, 2018. In contemplation of this agreement, we terminated our prior lease agreement.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six months ended June 30, 2018,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final prospectus dated June 20, 2018 for the IPO, which was filed with the SEC on June 21, 2018 and the notes to the consolidated financial statements included in Item 1, “Condensed Consolidated Unaudited Financial Statements,” of this Quarterly Report</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Form 10-Q.</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left="200" w:right="580" w:firstLine="441"/>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w:t>
      </w:r>
    </w:p>
    <w:p>
      <w:pPr>
        <w:spacing w:after="0" w:line="2" w:lineRule="exact"/>
        <w:rPr>
          <w:sz w:val="20"/>
          <w:szCs w:val="20"/>
          <w:color w:val="auto"/>
        </w:rPr>
      </w:pPr>
    </w:p>
    <w:p>
      <w:pPr>
        <w:ind w:left="200" w:right="260"/>
        <w:spacing w:after="0" w:line="255" w:lineRule="auto"/>
        <w:rPr>
          <w:sz w:val="20"/>
          <w:szCs w:val="20"/>
          <w:color w:val="auto"/>
        </w:rPr>
      </w:pPr>
      <w:r>
        <w:rPr>
          <w:rFonts w:ascii="Arial" w:cs="Arial" w:eastAsia="Arial" w:hAnsi="Arial"/>
          <w:sz w:val="18"/>
          <w:szCs w:val="18"/>
          <w:color w:val="auto"/>
        </w:rPr>
        <w:t>$1.07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620" w:firstLine="441"/>
        <w:spacing w:after="0" w:line="342"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disclosed in Note 2 to our consolidated financial statements appearing at the beginning of this Quarterly Report on Form 10-Q.</w:t>
      </w:r>
    </w:p>
    <w:p>
      <w:pPr>
        <w:spacing w:after="0" w:line="268"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left="200" w:right="300" w:firstLine="441"/>
        <w:spacing w:after="0" w:line="286" w:lineRule="auto"/>
        <w:rPr>
          <w:sz w:val="20"/>
          <w:szCs w:val="20"/>
          <w:color w:val="auto"/>
        </w:rPr>
      </w:pPr>
      <w:r>
        <w:rPr>
          <w:rFonts w:ascii="Arial" w:cs="Arial" w:eastAsia="Arial" w:hAnsi="Arial"/>
          <w:sz w:val="17"/>
          <w:szCs w:val="17"/>
          <w:color w:val="auto"/>
        </w:rPr>
        <w:t>As of June 30, 2018, we had cash and cash equivalents of $155.0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financial position or results of operations.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six months ended June 30, 2018 and 2017, we recognized foreign currency transaction losses of $15 thousand and $5 thousand,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and Canadian dollar would not have a material impact on our financial position or results of operations.</w:t>
      </w:r>
    </w:p>
    <w:p>
      <w:pPr>
        <w:spacing w:after="0" w:line="166"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32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(our principal executive officer and principal financial officer, respectively), evaluated the effectiveness of our disclosure controls and procedures as of June 30, 2018.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only reasonable assurance of achieving their objectives and management necessarily applies its judgment in evaluating the cost-benefit relationship of possible controls and procedures. Based on the evaluation of our disclosure controls and procedures as of June 30, 2018, our Chief Executive Officer and Chief Financial Officer concluded that, as a result of the material weaknesses in our internal control over financial reporting as previously disclosed in our final prospectus for our initial public offering, dated June 20, 2018, filed with the SEC and as described in Part II, Item 1A. of this report, our disclosure controls and procedures were not effective as of June 30, 2018. Notwithstanding the material weaknesses, our management has concluded that the financial statements included elsewhere in this report present fairly, in all material respects, our financial position, results of operations and cash flows in conformity with GAAP.</w:t>
      </w:r>
    </w:p>
    <w:p>
      <w:pPr>
        <w:spacing w:after="0" w:line="189"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We are implementing measures, including those described in Part II, Item 1A. of this report, designed to improve our internal control over financial reporting to remediate these material weaknesses. The measures we are implementing are subject to continued management review supported by confirmation and testing, as well as audit committee oversight. We will continue to implement measures to remedy our internal control deficiencies, though there can be no assurance that our efforts will be successful or avoid potential future material weaknesses. In addition, until the above remediation steps have been completed and are operated for a sufficient period of time, and subsequent evaluation of their effectiveness is completed, the material weaknesses previously disclosed, and as described above, will continue to exist.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Other than the changes intended to remediate the material weaknesses noted above, no change in our internal control over financial reporting (as defined in Rules 13a-15(f) and 15d-15(f) under the Exchange Act) occurred during the three months ended June 30, 2018 that has materially affected, or is reasonably likely to materially affect, our internal control over financial reporting.</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June 30, 2018,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333"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risks and uncertainties, together with all other information in this report, including our consolidated financial statements and related notes and “Management’s Discussion and Analysis of Financial Condition and Results of Operations,”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Since inception, we have incurred net losses. We incurred net losses of $4.7 million and $18.6 million for the years ended December 31, 2016 and 2017, and $10.5 million and $18.7 million for the three months and six months ended June 30, 2018, respectively. We historically have financed our operations primarily through private placements of our preferred stock.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84" w:lineRule="exact"/>
        <w:rPr>
          <w:sz w:val="20"/>
          <w:szCs w:val="20"/>
          <w:color w:val="auto"/>
        </w:rPr>
      </w:pPr>
    </w:p>
    <w:p>
      <w:pPr>
        <w:ind w:left="1060" w:right="46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recently initiated Phase 2 clinical trial for AVR-RD-01;</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transition our organization to operating as public company.</w:t>
      </w:r>
    </w:p>
    <w:p>
      <w:pPr>
        <w:spacing w:after="0" w:line="225"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92" w:lineRule="exact"/>
        <w:rPr>
          <w:sz w:val="20"/>
          <w:szCs w:val="20"/>
          <w:color w:val="auto"/>
        </w:rPr>
      </w:pPr>
    </w:p>
    <w:p>
      <w:pPr>
        <w:ind w:left="1060" w:right="22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30" w:lineRule="exact"/>
        <w:rPr>
          <w:rFonts w:ascii="Arial" w:cs="Arial" w:eastAsia="Arial" w:hAnsi="Arial"/>
          <w:sz w:val="18"/>
          <w:szCs w:val="18"/>
          <w:color w:val="auto"/>
        </w:rPr>
      </w:pPr>
    </w:p>
    <w:p>
      <w:pPr>
        <w:ind w:left="1060" w:right="160" w:hanging="424"/>
        <w:spacing w:after="0" w:line="34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2" w:lineRule="exact"/>
        <w:rPr>
          <w:sz w:val="20"/>
          <w:szCs w:val="20"/>
          <w:color w:val="auto"/>
        </w:rPr>
      </w:pPr>
    </w:p>
    <w:p>
      <w:pPr>
        <w:ind w:left="640" w:right="480"/>
        <w:spacing w:after="0" w:line="308" w:lineRule="auto"/>
        <w:rPr>
          <w:sz w:val="20"/>
          <w:szCs w:val="20"/>
          <w:color w:val="auto"/>
        </w:rPr>
      </w:pPr>
      <w:r>
        <w:rPr>
          <w:rFonts w:ascii="Arial" w:cs="Arial" w:eastAsia="Arial" w:hAnsi="Arial"/>
          <w:sz w:val="17"/>
          <w:szCs w:val="17"/>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3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In addition, if we obtain marketing approval for any of our product candidates, we expect to incur significant expenses related to product sales, medical affairs, marketing, manufacturing and distribution. Furthermore, we expect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060" w:right="18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other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42" w:lineRule="exact"/>
        <w:rPr>
          <w:rFonts w:ascii="Arial" w:cs="Arial" w:eastAsia="Arial" w:hAnsi="Arial"/>
          <w:sz w:val="17"/>
          <w:szCs w:val="17"/>
          <w:color w:val="auto"/>
        </w:rPr>
      </w:pPr>
    </w:p>
    <w:p>
      <w:pPr>
        <w:ind w:left="1060" w:right="20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ectPr>
          <w:pgSz w:w="11900" w:h="16838" w:orient="portrait"/>
          <w:cols w:equalWidth="0" w:num="1">
            <w:col w:w="11200"/>
          </w:cols>
          <w:pgMar w:left="240" w:top="459" w:right="459" w:bottom="1440" w:gutter="0" w:footer="0" w:header="0"/>
        </w:sectPr>
      </w:pP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00"/>
          </w:cols>
          <w:pgMar w:left="240" w:top="459" w:right="4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24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you to evaluate the success of our business to date and to assess our future viability.</w:t>
      </w:r>
    </w:p>
    <w:p>
      <w:pPr>
        <w:spacing w:after="0" w:line="26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are a development-stage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our product candidates and establishing research and development and manufacturing capabilities. Although we recently initiated our Phase 2 clinical trial for AVR-RD-01,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170"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the transition to LV2 or of our cell processing to an industrialized, automated closed system using all disposable supplies may not be successful or may experience unforeseen delays, which may cause shortages or delays in the supply of our products available for clinical trials and future commercial sales, if any. In addition, there is no assurance that products using our proprietary LV2 or manufactured using this automated system will achieve the same favorable preliminary results observed to date in the Phase 1 clinical trial of AVR-RD-01.</w:t>
      </w:r>
    </w:p>
    <w:p>
      <w:pPr>
        <w:spacing w:after="0" w:line="16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either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potentially subject to review by the NIH Office of Science Policy’s Recombinant DNA Advisory Committee, or the RAC, in limited circumstances. Although the FDA decides whether individual gene therapy protocols may proceed, the RAC public review process, if undertaken, can delay the initiation of a clinical trial, even if the FDA has reviewed the trial design and details and authorized its initiation. Conversely, the FDA can put an investigational new drug application, or IND, on clinical hold even if the RAC has provided a favorable review or an exemption from in-depth, public review. If we were to engage an NIH-funded institution, to conduct a clinical trial, that institution’s institutional biosafety committee, or IBC, as well as its institutional review board, or IRB, would need to review the proposed clinical trial to assess the safety of the trial and may determine that RAC review is needed.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85"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8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79" w:lineRule="exact"/>
        <w:rPr>
          <w:sz w:val="20"/>
          <w:szCs w:val="20"/>
          <w:color w:val="auto"/>
        </w:rPr>
      </w:pPr>
    </w:p>
    <w:p>
      <w:pPr>
        <w:ind w:left="200" w:right="520" w:firstLine="441"/>
        <w:spacing w:after="0" w:line="259" w:lineRule="auto"/>
        <w:rPr>
          <w:sz w:val="20"/>
          <w:szCs w:val="20"/>
          <w:color w:val="auto"/>
        </w:rPr>
      </w:pPr>
      <w:r>
        <w:rPr>
          <w:rFonts w:ascii="Arial" w:cs="Arial" w:eastAsia="Arial" w:hAnsi="Arial"/>
          <w:sz w:val="18"/>
          <w:szCs w:val="18"/>
          <w:color w:val="auto"/>
        </w:rPr>
        <w:t>The FDA recently released a series of draft guidances, which amongst other topics, regarded various aspects of gene therapy product development, review, and approval, including aspects relating to clinical and manufacturing issues related to gene therapy products. We cannot be certain whether such guidance will be relevant to or have an impact on our gene therapy candidates or the duration or expense of any applicable regulatory development and review processes</w:t>
      </w:r>
    </w:p>
    <w:p>
      <w:pPr>
        <w:spacing w:after="0" w:line="187"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8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It is possible that as we test AVR-RD-01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If additional clinical experience indicates that AVR-RD-01 or any other product candidate has side effects or causes serious or life-threatening side effects, the development of the product candidate may fail or be delayed, or, if the product candidate has received regulatory approval, such approval may be revoked or limited.</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There have been several significant adverse side effects in gene therapy treatments in the past, including reported cases of leukemia and death seen in other clinical trials.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lentiviral gene therapy approach is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designed to avoid immunogenicity after administration, there can be no assurance that patients would not create antibodies that may impair treatment. If any of our gene therapy product candidates demonstrates adverse side effects at unacceptable rates or degrees of severity, we may decide or be required to halt or delay clinical development of such product candidates.</w:t>
      </w:r>
    </w:p>
    <w:p>
      <w:pPr>
        <w:spacing w:after="0" w:line="18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addition to side effects caused by our product candidates, the conditioning, administration process or related procedures also can cause adverse side effects. A gene therapy patient is generally administered cytotoxic drugs to remove stem cells from the bone marrow to create sufficient space in the bone marrow for the modified stem cells to engraft and produce their progeny. This procedure compromises the patient’s immune system. While certain of our product candidates are designed to utilize outpatient, milder conditioning regimens that are intended to require only limited removal of a patient’s bone marrow cells, our conditioning regimens may not be successful or may nevertheless result in adverse side effects. For example, in the ongoing investigator-sponsored Phase 1 clinical trial and our ongoing company-sponsored Phase 2 clinical trial of AVR-RD-01, several adverse events, including suppression of white blood cell and platelet counts, nausea and/or vomiting following the conditioning process, were observed. If in the future any such adverse events caused by the conditioning process or related procedures continue at unacceptable rates or degrees of severity, the FDA or other foreign regulatory authorities could order us to cease development of, or deny approval of, AVR-RD-01 or our other product candidates for any or all targeted indications. Even if we are able to demonstrate that adverse events are not product-related, such occurrences could affect patient recruitment or the ability of enrolled patients to complete the clinical trial.</w:t>
      </w:r>
    </w:p>
    <w:p>
      <w:pPr>
        <w:spacing w:after="0" w:line="183"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AVR-RD-01 or our other product candidates, several potentially significant negative consequences could result, including:</w:t>
      </w:r>
    </w:p>
    <w:p>
      <w:pPr>
        <w:spacing w:after="0" w:line="94"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 required to change the way a product candidate is distributed, dispensed, or administered or conduct additional clinical trials;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62" w:lineRule="exact"/>
        <w:rPr>
          <w:sz w:val="20"/>
          <w:szCs w:val="20"/>
          <w:color w:val="auto"/>
        </w:rPr>
      </w:pPr>
    </w:p>
    <w:p>
      <w:pPr>
        <w:ind w:left="640" w:right="220"/>
        <w:spacing w:after="0" w:line="312" w:lineRule="auto"/>
        <w:rPr>
          <w:sz w:val="20"/>
          <w:szCs w:val="20"/>
          <w:color w:val="auto"/>
        </w:rPr>
      </w:pPr>
      <w:r>
        <w:rPr>
          <w:rFonts w:ascii="Arial" w:cs="Arial" w:eastAsia="Arial" w:hAnsi="Arial"/>
          <w:sz w:val="16"/>
          <w:szCs w:val="16"/>
          <w:b w:val="1"/>
          <w:bCs w:val="1"/>
          <w:i w:val="1"/>
          <w:iCs w:val="1"/>
          <w:color w:val="auto"/>
        </w:rPr>
        <w:t>AVR-RD-01 is being investigated in an ongoing investigator-sponsored Phase 1 clinical trial and an ongoing company-sponsored Phase 2 clinical trial, and we have not commenced clinical trials for any of our other product candidates. We have never completed a pivotal clinical trial, and may be unable to do so for any product candidates we may develop, including AVR-RD-01.</w:t>
      </w:r>
    </w:p>
    <w:p>
      <w:pPr>
        <w:spacing w:after="0" w:line="14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are at a very early stage of development for all of our product candidates including AVR-RD-01. As of August 1, 2018, our product candidate AVR-RD-01 has been administered to only three patients in an ongoing Phase 1 clinical trial and to one patient in our ongoing Phase 2 clinical trial. The ongoing Phase 1 and Phase 2 clinical trials for AVR-RD-01 must be completed, as well as potentially additional pivotal clinical trials in order to obtain FDA approval to market AVR-RD-01. Carrying out later-stage clinical trials is a complicated process. We only recently dosed the first patient in our company-sponsored Phase 2 clinical trial in the second quarter of 2018. We have limited experience in preparing, submitting and prosecuting regulatory filings, and have not previously submitted a biologics license application, or BLA, for any product candidate.</w:t>
      </w:r>
    </w:p>
    <w:p>
      <w:pPr>
        <w:spacing w:after="0" w:line="17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addition, we have not yet conducted clinical trials of any our product candidates in the United States, our interactions with the FDA have been and are expected to be limited for the near future, and we cannot be certain how many additional clinical trials of AVR-RD-01 or any of our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We recently held a pre-IND meeting with the FDA to discuss the requirements to commence clinical trials in the United States, and we expect to open a U.S. site for our ongoing Phase 2 clinical trial of AVR-RD-01 in 2019. However, there can be no assurance that we will commence clinical trials in the United States on our expected timeframe or at all.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AVR-RD-01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AVR-RD-01.</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In addition, the planned Phase 1/2 clinical trial of AVR-RD-04 will be conducted by our collaborators at the University of California, San Diego.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225"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Results from preclinical studies or early clinical trials are not necessarily predictive of future clinical trial results and are not necessarily indicative of final results.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To date, we have not received definitive guidance from the FDA or other foreign regulatory bodies regarding the necessary endpoints for approval of any of our product candidates, including AVR-RD-01.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 product candidate development. Our AVR-RD-02, AVR-RD-03 and AVR-RD-04 product candidates have not yet been tested in humans. Any of our other product candidates may fail to show the desired safety and efficacy in clinical development despite positive results in preclinical studies. Any such failure would cause us to abandon the product candidate.</w:t>
      </w:r>
    </w:p>
    <w:p>
      <w:pPr>
        <w:spacing w:after="0" w:line="172"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17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Patient enrollment and trial completion is affected by factors including the:</w:t>
      </w:r>
    </w:p>
    <w:p>
      <w:pPr>
        <w:spacing w:after="0" w:line="92"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30" w:lineRule="exact"/>
        <w:rPr>
          <w:rFonts w:ascii="Arial" w:cs="Arial" w:eastAsia="Arial" w:hAnsi="Arial"/>
          <w:sz w:val="18"/>
          <w:szCs w:val="18"/>
          <w:color w:val="auto"/>
        </w:rPr>
      </w:pPr>
    </w:p>
    <w:p>
      <w:pPr>
        <w:jc w:val="right"/>
        <w:ind w:left="5620" w:right="5420" w:hanging="4984"/>
        <w:spacing w:after="0" w:line="536" w:lineRule="auto"/>
        <w:tabs>
          <w:tab w:leader="none" w:pos="1064"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perceived risks and benefits of the product candidate under study; 39</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6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w:t>
      </w:r>
    </w:p>
    <w:p>
      <w:pPr>
        <w:spacing w:after="0" w:line="225"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including our recently initiated Phase 2 clinical trial for AVR-RD-01 for which enrollment is ongoing,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78"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24"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17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77" w:lineRule="exact"/>
        <w:rPr>
          <w:sz w:val="20"/>
          <w:szCs w:val="20"/>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while we are currently utilizing the LV1 version of the lentiviral vector in the ongoing Phase 1 and Phase 2 clinical trials of AVR-RD-01, we plan to transition our AVR-RD-01 lentiviral vectors to an LV2 version. While LV2 is intended to confer improvements in safety and efficiency in viral production, there is no guarantee that we can realize these intended benefits. In addition, the transition from LV1 to LV2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w:t>
      </w:r>
    </w:p>
    <w:p>
      <w:pPr>
        <w:spacing w:after="0" w:line="116"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have regulatory authorities withdraw their approval of the product or impose restrictions on its distribution in the form of a REMS;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170" w:lineRule="exact"/>
        <w:rPr>
          <w:sz w:val="20"/>
          <w:szCs w:val="20"/>
          <w:color w:val="auto"/>
        </w:rPr>
      </w:pPr>
    </w:p>
    <w:p>
      <w:pPr>
        <w:ind w:left="640" w:right="76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82"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171"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54"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For example, 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8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78"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w:t>
      </w:r>
    </w:p>
    <w:p>
      <w:pPr>
        <w:spacing w:after="0" w:line="5" w:lineRule="exact"/>
        <w:rPr>
          <w:sz w:val="20"/>
          <w:szCs w:val="20"/>
          <w:color w:val="auto"/>
        </w:rPr>
      </w:pPr>
    </w:p>
    <w:p>
      <w:pPr>
        <w:ind w:left="200" w:firstLine="4"/>
        <w:spacing w:after="0" w:line="268" w:lineRule="auto"/>
        <w:tabs>
          <w:tab w:leader="none" w:pos="4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18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recently initiated Phase 2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2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7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we request orphan drug designation (or the foreign equivalent) for AVR-RD-01 or any of our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94" w:lineRule="exact"/>
        <w:rPr>
          <w:sz w:val="20"/>
          <w:szCs w:val="20"/>
          <w:color w:val="auto"/>
        </w:rPr>
      </w:pPr>
    </w:p>
    <w:p>
      <w:pPr>
        <w:ind w:left="1060" w:right="40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75" w:lineRule="exact"/>
        <w:rPr>
          <w:rFonts w:ascii="Arial" w:cs="Arial" w:eastAsia="Arial" w:hAnsi="Arial"/>
          <w:sz w:val="18"/>
          <w:szCs w:val="18"/>
          <w:color w:val="auto"/>
        </w:rPr>
      </w:pPr>
    </w:p>
    <w:p>
      <w:pPr>
        <w:ind w:left="1060" w:right="76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225"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we fail to comply with applicable regulatory requirements following approval of any of our product candidates, a regulatory authority may:</w:t>
      </w:r>
    </w:p>
    <w:p>
      <w:pPr>
        <w:spacing w:after="0" w:line="142"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1"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178" w:lineRule="exact"/>
        <w:rPr>
          <w:sz w:val="20"/>
          <w:szCs w:val="20"/>
          <w:color w:val="auto"/>
        </w:rPr>
      </w:pPr>
    </w:p>
    <w:p>
      <w:pPr>
        <w:ind w:left="640" w:right="280"/>
        <w:spacing w:after="0" w:line="340" w:lineRule="auto"/>
        <w:rPr>
          <w:sz w:val="20"/>
          <w:szCs w:val="20"/>
          <w:color w:val="auto"/>
        </w:rPr>
      </w:pPr>
      <w:r>
        <w:rPr>
          <w:rFonts w:ascii="Arial" w:cs="Arial" w:eastAsia="Arial" w:hAnsi="Arial"/>
          <w:sz w:val="15"/>
          <w:szCs w:val="15"/>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13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anticipate competing with the largest pharmaceutical companies in the world. For example, Sanofi and Shire market the enzyme replacement therapies, or ERTs, that represent the standard of care for Fabry patients. Recently, Amicus secured regulatory approval in Europe for its oral therapy for Fabry disease. For Gaucher disease, we expect to compete with existing enzyme replacement therapies marketed by Sanofi, Shire, Protalix and Pfizer, as well as oral therapies marketed by Actelion and Sanofi. Sanofi also markets an enzyme replacement therapy for Pompe disease. Cystinosis is currently treated by therapies marketed by Horizon Orphan, Mylan and Sigma Tau Pharmaceuticals. In addition, we may compete with other gene therapy companies in our industry such as bluebird bio and Spark Therapeutics.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66"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154" w:lineRule="exact"/>
        <w:rPr>
          <w:sz w:val="20"/>
          <w:szCs w:val="20"/>
          <w:color w:val="auto"/>
        </w:rPr>
      </w:pPr>
    </w:p>
    <w:p>
      <w:pPr>
        <w:ind w:left="640" w:right="48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part of our growth strategy, we intend to identify, develop and market additional product candidates beyond our existing product candidates for Fabry disease, Gaucher disease, Pompe disease and cystinosis.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AVR-RD-01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1"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For example, although we have evaluated AVR-RD-02, AVR-RD-03 and AVR-RD-04 in preclinical studies and have evaluated AVR-RD-01 in an early-stage clinical trial, we have not yet advanced AVR-RD-02, AVR-RD-03 and AVR-RD-04 into clinical trials or AVR-RD-01 into Phase 2 clinical development, nor have we obtained regulatory approval to sell any product based on our therapeutic approaches. Accordingly, our focus on treating these diseases may not result in the discovery and development of commercially viable products.</w:t>
      </w:r>
    </w:p>
    <w:p>
      <w:pPr>
        <w:spacing w:after="0" w:line="17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640" w:right="46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are moving our cell processing to an automated, closed system with a single third party supplier.</w:t>
      </w:r>
    </w:p>
    <w:p>
      <w:pPr>
        <w:spacing w:after="0" w:line="18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ectPr>
          <w:pgSz w:w="11900" w:h="16838" w:orient="portrait"/>
          <w:cols w:equalWidth="0" w:num="1">
            <w:col w:w="11200"/>
          </w:cols>
          <w:pgMar w:left="240" w:top="459" w:right="459" w:bottom="1440" w:gutter="0" w:footer="0" w:header="0"/>
        </w:sectPr>
      </w:pP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00"/>
          </w:cols>
          <w:pgMar w:left="240" w:top="459" w:right="4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firstLine="441"/>
        <w:spacing w:after="0" w:line="297" w:lineRule="auto"/>
        <w:rPr>
          <w:sz w:val="20"/>
          <w:szCs w:val="20"/>
          <w:color w:val="auto"/>
        </w:rPr>
      </w:pPr>
      <w:r>
        <w:rPr>
          <w:rFonts w:ascii="Arial" w:cs="Arial" w:eastAsia="Arial" w:hAnsi="Arial"/>
          <w:sz w:val="16"/>
          <w:szCs w:val="16"/>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w:t>
      </w:r>
    </w:p>
    <w:p>
      <w:pPr>
        <w:spacing w:after="0" w:line="158"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the product candidates ourselves, including:</w:t>
      </w:r>
    </w:p>
    <w:p>
      <w:pPr>
        <w:spacing w:after="0" w:line="76"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42" w:lineRule="exact"/>
        <w:rPr>
          <w:rFonts w:ascii="Arial" w:cs="Arial" w:eastAsia="Arial" w:hAnsi="Arial"/>
          <w:sz w:val="17"/>
          <w:szCs w:val="17"/>
          <w:color w:val="auto"/>
        </w:rPr>
      </w:pPr>
    </w:p>
    <w:p>
      <w:pPr>
        <w:ind w:left="1060" w:right="42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70"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81" w:lineRule="exact"/>
        <w:rPr>
          <w:sz w:val="20"/>
          <w:szCs w:val="20"/>
          <w:color w:val="auto"/>
        </w:rPr>
      </w:pPr>
    </w:p>
    <w:p>
      <w:pPr>
        <w:ind w:left="640" w:right="420"/>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147"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66"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good manufacturing practices, or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8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are dependent on a limited number of suppliers for some of our components and materials used in our product candidates.</w:t>
      </w:r>
    </w:p>
    <w:p>
      <w:pPr>
        <w:spacing w:after="0" w:line="23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6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If we are required to switch to a replacement supplier, the manufacture and delivery of our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could require additional supplemental data and clinical trial data if we rely upon a new supplier.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6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76" w:lineRule="exact"/>
        <w:rPr>
          <w:sz w:val="20"/>
          <w:szCs w:val="20"/>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production delays related to the evaluation and testing of products from alternative suppliers, and corresponding regulatory qualifications;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 based upon defects in components produced by our suppliers;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7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AVR-RD-01 and our other product candidates, we will be unable to generate any product revenue.</w:t>
      </w:r>
    </w:p>
    <w:p>
      <w:pPr>
        <w:spacing w:after="0" w:line="17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173"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170"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We focus our research and product development on treatments for serious lysosomal storage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178"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by physicians, patients, third-party payors and others in the medical community. The degree of market acceptance of these product candidates, if approved for commercial sale, will depend on a number of factors, including:</w:t>
      </w:r>
    </w:p>
    <w:p>
      <w:pPr>
        <w:spacing w:after="0" w:line="76"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including any limitations or warnings contained in a product’s approved labeling;</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prevalence and severity of any side effects resulting from the conditioning regimen for the administration of our product candidates;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25"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173"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currently plan to conduct clinical trials for our product candidates outside of the United States, including in Canada, Australia, Japan, Europe and Israel.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92"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240" w:top="459"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spacing w:after="0" w:line="18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such as stem cell transplants.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67"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the CMS decides whether and to what extent a new medicine will be covered and reimbursed under Medicare. Private payors tend to follow the CMS to a substantial degree. It is difficult to predict what the CMS will decide with respect to reimbursement for fundamentally novel products such as ours, as there is no body of established practices and precedents for these new products.</w:t>
      </w:r>
    </w:p>
    <w:p>
      <w:pPr>
        <w:spacing w:after="0" w:line="193"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92"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Moreover,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78"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173" w:lineRule="exact"/>
        <w:rPr>
          <w:sz w:val="20"/>
          <w:szCs w:val="20"/>
          <w:color w:val="auto"/>
        </w:rPr>
      </w:pPr>
    </w:p>
    <w:p>
      <w:pPr>
        <w:ind w:left="640" w:right="66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165"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170"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Third-party payors, whether domestic or foreign, or governmental or private,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products profitably. In particular, in 2010, the Patient Protection and Affordable Care Act or ACA or PPACA, as amended by the Health Care and Education Reconciliation Act of 2010, or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Some of the provisions of the ACA have yet to be fully implemented, while certain provisions have been subject to judicial and Congressional challenges.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the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Congress may consider other legislation to replace elements of the ACA.</w:t>
      </w:r>
    </w:p>
    <w:p>
      <w:pPr>
        <w:spacing w:after="0" w:line="173" w:lineRule="exact"/>
        <w:rPr>
          <w:sz w:val="20"/>
          <w:szCs w:val="20"/>
          <w:color w:val="auto"/>
        </w:rPr>
      </w:pPr>
    </w:p>
    <w:p>
      <w:pPr>
        <w:ind w:left="200" w:right="20" w:firstLine="441"/>
        <w:spacing w:after="0" w:line="267" w:lineRule="auto"/>
        <w:rPr>
          <w:sz w:val="20"/>
          <w:szCs w:val="20"/>
          <w:color w:val="auto"/>
        </w:rPr>
      </w:pPr>
      <w:r>
        <w:rPr>
          <w:rFonts w:ascii="Arial" w:cs="Arial" w:eastAsia="Arial" w:hAnsi="Arial"/>
          <w:sz w:val="17"/>
          <w:szCs w:val="17"/>
          <w:color w:val="auto"/>
        </w:rPr>
        <w:t>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exercise tax on non-exempt medical devices. Further, the Bipartisan Budget Act of 2018, or the BBA, among other things, amends the ACA, effective January 1, 2019, to reduce the coverage gap in most Medicare drug plans, commonly referred to as the “donut hole.” Congress also could consider subsequent legislation to replace elements of the ACA that are repealed. Thus, the full impact of the ACA, any law replacing elements of it, and the political uncertainty surrounding any repeal or replacement legislation on our business remains unclear. 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2027 unless additional Congressional action is taken.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92" w:lineRule="exact"/>
        <w:rPr>
          <w:sz w:val="20"/>
          <w:szCs w:val="20"/>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170" w:lineRule="exact"/>
        <w:rPr>
          <w:sz w:val="20"/>
          <w:szCs w:val="20"/>
          <w:color w:val="auto"/>
        </w:rPr>
      </w:pPr>
    </w:p>
    <w:p>
      <w:pPr>
        <w:ind w:left="640" w:right="140"/>
        <w:spacing w:after="0" w:line="264" w:lineRule="auto"/>
        <w:rPr>
          <w:sz w:val="20"/>
          <w:szCs w:val="20"/>
          <w:color w:val="auto"/>
        </w:rPr>
      </w:pPr>
      <w:r>
        <w:rPr>
          <w:rFonts w:ascii="Arial" w:cs="Arial" w:eastAsia="Arial" w:hAnsi="Arial"/>
          <w:sz w:val="18"/>
          <w:szCs w:val="18"/>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8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640"/>
        <w:spacing w:after="0" w:line="340"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131"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and death seen in other trials using other vectors. Adverse events in our clinical studies,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173"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personnel.</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We are highly dependent on principal members of our executive team and key employees, including our Chief Executive Officer, Chief Financial Officer, Head of Operations, Chief Science Officer, Chief Business Officer, and Chief Medical Officer,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We will need to expand our operations and we may experience difficulties in managing this growth, which could disrupt our operations.</w:t>
      </w:r>
    </w:p>
    <w:p>
      <w:pPr>
        <w:spacing w:after="0" w:line="24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of June 30, 2018, we had 34 full-time employees. As we mature, we expect to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225"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192"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7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8" w:lineRule="exact"/>
        <w:rPr>
          <w:sz w:val="20"/>
          <w:szCs w:val="20"/>
          <w:color w:val="auto"/>
        </w:rPr>
      </w:pPr>
    </w:p>
    <w:p>
      <w:pPr>
        <w:ind w:left="640" w:right="6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70"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United States Foreign Corrupt Practices Act’s accounting provisions.</w:t>
      </w:r>
    </w:p>
    <w:p>
      <w:pPr>
        <w:spacing w:after="0" w:line="189"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18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99" w:lineRule="exact"/>
        <w:rPr>
          <w:sz w:val="20"/>
          <w:szCs w:val="20"/>
          <w:color w:val="auto"/>
        </w:rPr>
      </w:pPr>
    </w:p>
    <w:p>
      <w:pPr>
        <w:ind w:left="1060" w:right="20" w:hanging="424"/>
        <w:spacing w:after="0" w:line="291"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72"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w:t>
      </w:r>
    </w:p>
    <w:p>
      <w:pPr>
        <w:spacing w:after="0" w:line="98" w:lineRule="exact"/>
        <w:rPr>
          <w:rFonts w:ascii="Arial" w:cs="Arial" w:eastAsia="Arial" w:hAnsi="Arial"/>
          <w:sz w:val="18"/>
          <w:szCs w:val="18"/>
          <w:color w:val="auto"/>
        </w:rPr>
      </w:pPr>
    </w:p>
    <w:p>
      <w:pPr>
        <w:ind w:left="1060" w:right="160" w:hanging="424"/>
        <w:spacing w:after="0" w:line="25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92" w:lineRule="exact"/>
        <w:rPr>
          <w:rFonts w:ascii="Arial" w:cs="Arial" w:eastAsia="Arial" w:hAnsi="Arial"/>
          <w:sz w:val="18"/>
          <w:szCs w:val="18"/>
          <w:color w:val="auto"/>
        </w:rPr>
      </w:pPr>
    </w:p>
    <w:p>
      <w:pPr>
        <w:ind w:left="1060" w:hanging="424"/>
        <w:spacing w:after="0" w:line="291"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auto"/>
        </w:rPr>
      </w:pPr>
    </w:p>
    <w:p>
      <w:pPr>
        <w:ind w:left="1060" w:right="140" w:hanging="424"/>
        <w:spacing w:after="0" w:line="302"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payer. Many U.S. states 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58" w:lineRule="exact"/>
        <w:rPr>
          <w:sz w:val="20"/>
          <w:szCs w:val="20"/>
          <w:color w:val="auto"/>
        </w:rPr>
      </w:pPr>
    </w:p>
    <w:p>
      <w:pPr>
        <w:ind w:left="640" w:right="200"/>
        <w:spacing w:after="0" w:line="259" w:lineRule="auto"/>
        <w:rPr>
          <w:sz w:val="20"/>
          <w:szCs w:val="20"/>
          <w:color w:val="auto"/>
        </w:rPr>
      </w:pPr>
      <w:r>
        <w:rPr>
          <w:rFonts w:ascii="Arial" w:cs="Arial" w:eastAsia="Arial" w:hAnsi="Arial"/>
          <w:sz w:val="18"/>
          <w:szCs w:val="18"/>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94" w:lineRule="exact"/>
        <w:rPr>
          <w:sz w:val="20"/>
          <w:szCs w:val="20"/>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carry product liability insurance of $5.0 million per occurrence and $5.0 million in the aggregate.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6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w:t>
      </w:r>
    </w:p>
    <w:p>
      <w:pPr>
        <w:sectPr>
          <w:pgSz w:w="11900" w:h="16838" w:orient="portrait"/>
          <w:cols w:equalWidth="0" w:num="1">
            <w:col w:w="11220"/>
          </w:cols>
          <w:pgMar w:left="240" w:top="459" w:right="439" w:bottom="1440" w:gutter="0" w:footer="0" w:header="0"/>
        </w:sectPr>
      </w:pP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20"/>
          </w:cols>
          <w:pgMar w:left="240" w:top="459" w:right="4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54"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25"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78"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70"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192"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had a material adverse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225"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On December 22, 2017, President Trump signed into law the TCJA that significantly reforms the Internal Revenue Code of 1986, as amended, or the Code. The TCJA, among other things, contains significant changes to 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(including the reduction of the business tax credit for certain clinical testing expenses incurred in the testing of certain drugs for rare diseases or conditions generally referred to as “orphan drugs”). We continue to examine the impact this tax reform legislation may have on our business. However, the effect of the TCJA on our business, whether adverse or favorable, is uncertain, and may not become evident for some period of time. We urge investors to consult with their legal and tax advisers regarding the implications of the TCJA on an investment in our common stock.</w:t>
      </w:r>
    </w:p>
    <w:p>
      <w:pPr>
        <w:spacing w:after="0" w:line="182" w:lineRule="exact"/>
        <w:rPr>
          <w:sz w:val="20"/>
          <w:szCs w:val="20"/>
          <w:color w:val="auto"/>
        </w:rPr>
      </w:pPr>
    </w:p>
    <w:p>
      <w:pPr>
        <w:ind w:left="640" w:right="760"/>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17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As of December 31, 2017, we had federal and state net operating loss carryforwards of $19.0 million and $18.9 million, respectively, and state research and development tax credit carryforwards of approximately $119,000. If not utilized, the net operating loss carryforwards and research and development credits will generally expire at various dates through 2037. These net operating loss and tax credit carryforwards could expire unused and be unavailable to offset future income tax liabilities.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including our IPO,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The reduction of the corporate tax rate under the TCJA may cause a reduction in the economic benefit of our net operating loss carryforwards and other deferred tax assets available to us. Under the TCJA, net operating losses generated after December 31, 2017 will not be subject to expiration.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development and commercialization efforts.</w:t>
      </w:r>
    </w:p>
    <w:p>
      <w:pPr>
        <w:spacing w:after="0" w:line="23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reexamination proceedings before the U.S. Patent and Trademark Office, or U.S. 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8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0"/>
        <w:spacing w:after="0" w:line="312" w:lineRule="auto"/>
        <w:rPr>
          <w:sz w:val="20"/>
          <w:szCs w:val="20"/>
          <w:color w:val="auto"/>
        </w:rPr>
      </w:pPr>
      <w:r>
        <w:rPr>
          <w:rFonts w:ascii="Arial" w:cs="Arial" w:eastAsia="Arial" w:hAnsi="Arial"/>
          <w:sz w:val="16"/>
          <w:szCs w:val="16"/>
          <w:color w:val="auto"/>
        </w:rPr>
        <w:t>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9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167"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170"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program). In addition, we have in-licensed patents and patent applications from BioMarin Pharmaceutical Inc., or Biomarin (relevant to AVR-RD-03 and our Pompe program), and GenStem Therapeutics Inc., or GenStem (relevant to AVR-RD-04 and our cystinosis program), directed to compositions and methods related to the manufacture and use of AVR-RD-03 and AVR-RD-04, respectively. Any termination of these licenses could result in the loss of significant rights and could harm or prevent our ability to commercialize our product candidates.</w:t>
      </w:r>
    </w:p>
    <w:p>
      <w:pPr>
        <w:spacing w:after="0" w:line="179"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Gaucher disease, Pompe disease, or cystinosis,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9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78"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171" w:lineRule="exact"/>
        <w:rPr>
          <w:sz w:val="20"/>
          <w:szCs w:val="20"/>
          <w:color w:val="auto"/>
        </w:rPr>
      </w:pPr>
    </w:p>
    <w:p>
      <w:pPr>
        <w:ind w:left="640" w:right="2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18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9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We currently have no owned or in-licensed patents or patent applications covering AVR-RD-01 or AVR-RD-02, and the patent application that we in-licensed related to AVR-RD-04 is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United States Patent and Trademark Office, or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7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69" w:lineRule="exact"/>
        <w:rPr>
          <w:sz w:val="20"/>
          <w:szCs w:val="20"/>
          <w:color w:val="auto"/>
        </w:rPr>
      </w:pPr>
    </w:p>
    <w:p>
      <w:pPr>
        <w:ind w:left="640" w:right="240"/>
        <w:spacing w:after="0" w:line="342" w:lineRule="auto"/>
        <w:rPr>
          <w:sz w:val="20"/>
          <w:szCs w:val="20"/>
          <w:color w:val="auto"/>
        </w:rPr>
      </w:pPr>
      <w:r>
        <w:rPr>
          <w:rFonts w:ascii="Arial" w:cs="Arial" w:eastAsia="Arial" w:hAnsi="Arial"/>
          <w:sz w:val="16"/>
          <w:szCs w:val="16"/>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24"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the patents and other intellectual property that we own or license.</w:t>
      </w:r>
    </w:p>
    <w:p>
      <w:pPr>
        <w:spacing w:after="0" w:line="26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or our licensors may be subject to claims that former employees, collaborators or other third parties have an ownership interest in the patents and intellectual property that we own or license or that we may own or license in the future. While it is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189" w:lineRule="exact"/>
        <w:rPr>
          <w:sz w:val="20"/>
          <w:szCs w:val="20"/>
          <w:color w:val="auto"/>
        </w:rPr>
      </w:pPr>
    </w:p>
    <w:p>
      <w:pPr>
        <w:ind w:left="640" w:right="160"/>
        <w:spacing w:after="0" w:line="312" w:lineRule="auto"/>
        <w:rPr>
          <w:sz w:val="20"/>
          <w:szCs w:val="20"/>
          <w:color w:val="auto"/>
        </w:rPr>
      </w:pPr>
      <w:r>
        <w:rPr>
          <w:rFonts w:ascii="Arial" w:cs="Arial" w:eastAsia="Arial" w:hAnsi="Arial"/>
          <w:sz w:val="16"/>
          <w:szCs w:val="16"/>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147"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Some of the intellectual property rights we have licensed, including rights licensed to us by GenStem, may have been generated through the use of U.S. government and California state funding and may therefore be subject to certain federal and state laws and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384"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24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85"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5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237" w:lineRule="exact"/>
        <w:rPr>
          <w:sz w:val="20"/>
          <w:szCs w:val="20"/>
          <w:color w:val="auto"/>
        </w:rPr>
      </w:pPr>
    </w:p>
    <w:p>
      <w:pPr>
        <w:ind w:left="200" w:right="120" w:firstLine="441"/>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169"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We currently do not have trademarks or trademark applications with the USPTO for the mark “AVRO” and the AVROBIO logo. In the future, even if we apply for registration of these marks, there can be no assurance that such registration will be approved.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60" w:right="34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75"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153" w:lineRule="exact"/>
        <w:rPr>
          <w:rFonts w:ascii="Arial" w:cs="Arial" w:eastAsia="Arial" w:hAnsi="Arial"/>
          <w:sz w:val="16"/>
          <w:szCs w:val="16"/>
          <w:color w:val="auto"/>
        </w:rPr>
      </w:pPr>
    </w:p>
    <w:p>
      <w:pPr>
        <w:ind w:left="1060" w:right="24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30" w:lineRule="exact"/>
        <w:rPr>
          <w:rFonts w:ascii="Arial" w:cs="Arial" w:eastAsia="Arial" w:hAnsi="Arial"/>
          <w:sz w:val="18"/>
          <w:szCs w:val="18"/>
          <w:color w:val="auto"/>
        </w:rPr>
      </w:pPr>
    </w:p>
    <w:p>
      <w:pPr>
        <w:ind w:left="1060" w:right="660" w:hanging="424"/>
        <w:spacing w:after="0" w:line="308"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30" w:lineRule="exact"/>
        <w:rPr>
          <w:rFonts w:ascii="Arial" w:cs="Arial" w:eastAsia="Arial" w:hAnsi="Arial"/>
          <w:sz w:val="18"/>
          <w:szCs w:val="18"/>
          <w:color w:val="auto"/>
        </w:rPr>
      </w:pPr>
    </w:p>
    <w:p>
      <w:pPr>
        <w:ind w:left="1060" w:right="60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initial public offering price.</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92" w:lineRule="exact"/>
        <w:rPr>
          <w:sz w:val="20"/>
          <w:szCs w:val="20"/>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ectPr>
          <w:pgSz w:w="11900" w:h="16838" w:orient="portrait"/>
          <w:cols w:equalWidth="0" w:num="1">
            <w:col w:w="11220"/>
          </w:cols>
          <w:pgMar w:left="240" w:top="459" w:right="439" w:bottom="1440" w:gutter="0" w:footer="0" w:header="0"/>
        </w:sectPr>
      </w:pP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20"/>
          </w:cols>
          <w:pgMar w:left="240" w:top="459" w:right="4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w:t>
      </w:r>
    </w:p>
    <w:p>
      <w:pPr>
        <w:spacing w:after="0" w:line="225"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Prior to our initial public offering in June 2018, there had been no public market for our common stock. Although our common stock is listed on The Nasdaq Global Select Market, an active trading market for our shares may never develop or be sustained. If an active market for our common stock does not develop or is not sustained, it may be difficult for you to sell shares you purchase without depressing the market price for the shares, or at all.</w:t>
      </w:r>
    </w:p>
    <w:p>
      <w:pPr>
        <w:spacing w:after="0" w:line="14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170"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Based on shares outstanding as of June 30, 2018, our executive officers, directors, five percent stockholders and their affiliates beneficially owned approximately 62.22% of our outstanding voting stock. As a result, if these stockholders were to act together, they would be able to control all matters submitted to our stockholders for approval, as well as our management and affair.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182"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initial public offering in June 2018;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83" w:lineRule="exact"/>
        <w:rPr>
          <w:sz w:val="20"/>
          <w:szCs w:val="20"/>
          <w:color w:val="auto"/>
        </w:rPr>
      </w:pPr>
    </w:p>
    <w:p>
      <w:pPr>
        <w:ind w:left="1060" w:hanging="424"/>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or Section 404;</w:t>
      </w:r>
    </w:p>
    <w:p>
      <w:pPr>
        <w:spacing w:after="0" w:line="142" w:lineRule="exact"/>
        <w:rPr>
          <w:rFonts w:ascii="Arial" w:cs="Arial" w:eastAsia="Arial" w:hAnsi="Arial"/>
          <w:sz w:val="17"/>
          <w:szCs w:val="17"/>
          <w:color w:val="auto"/>
        </w:rPr>
      </w:pPr>
    </w:p>
    <w:p>
      <w:pPr>
        <w:ind w:left="1060" w:right="360" w:hanging="424"/>
        <w:spacing w:after="0" w:line="264"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1060" w:right="20" w:hanging="424"/>
        <w:spacing w:after="0" w:line="342" w:lineRule="auto"/>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report.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54"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71"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and maintain director and officer liability insurance.</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83" w:lineRule="exact"/>
        <w:rPr>
          <w:sz w:val="20"/>
          <w:szCs w:val="20"/>
          <w:color w:val="auto"/>
        </w:rPr>
      </w:pPr>
    </w:p>
    <w:p>
      <w:pPr>
        <w:jc w:val="both"/>
        <w:ind w:left="640" w:right="28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78"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We will be required to disclose changes made in our internal controls and procedures on a quarterly basis and our management will be required to assess the effectiveness of these controls annually. However, for as long as we are an EGC, our independent registered public accounting firm will not be required to attest to the effectiveness of our internal controls over financial reporting pursuant to Section 404. We could be an EGC for up to five years.</w:t>
      </w:r>
    </w:p>
    <w:p>
      <w:pPr>
        <w:ind w:left="200" w:right="280"/>
        <w:spacing w:after="0" w:line="255" w:lineRule="auto"/>
        <w:rPr>
          <w:sz w:val="20"/>
          <w:szCs w:val="20"/>
          <w:color w:val="auto"/>
        </w:rPr>
      </w:pPr>
      <w:r>
        <w:rPr>
          <w:rFonts w:ascii="Arial" w:cs="Arial" w:eastAsia="Arial" w:hAnsi="Arial"/>
          <w:sz w:val="18"/>
          <w:szCs w:val="18"/>
          <w:color w:val="auto"/>
        </w:rPr>
        <w:t>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w:t>
      </w:r>
    </w:p>
    <w:p>
      <w:pPr>
        <w:spacing w:after="0" w:line="190" w:lineRule="exact"/>
        <w:rPr>
          <w:sz w:val="20"/>
          <w:szCs w:val="20"/>
          <w:color w:val="auto"/>
        </w:rPr>
      </w:pPr>
    </w:p>
    <w:p>
      <w:pPr>
        <w:ind w:left="640" w:right="160"/>
        <w:spacing w:after="0" w:line="279" w:lineRule="auto"/>
        <w:rPr>
          <w:sz w:val="20"/>
          <w:szCs w:val="20"/>
          <w:color w:val="auto"/>
        </w:rPr>
      </w:pPr>
      <w:r>
        <w:rPr>
          <w:rFonts w:ascii="Arial" w:cs="Arial" w:eastAsia="Arial" w:hAnsi="Arial"/>
          <w:sz w:val="17"/>
          <w:szCs w:val="17"/>
          <w:b w:val="1"/>
          <w:bCs w:val="1"/>
          <w:i w:val="1"/>
          <w:iCs w:val="1"/>
          <w:color w:val="auto"/>
        </w:rPr>
        <w:t>We and our independent registered public accounting firm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71"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In connection with the audit of our consolidated financial statements for the years ended December 31, 2016 and 2017, we and our independent registered public accounting firm identified material weaknesses in our internal control over financial reporting related to deficiencies in our controls over the financial statement close and cash disbursement processes. Specifically, there was a lack of controls over the identification and review of complex accounting issues involving significant judgment or estimates as well as the cutoff and classification of certain expenses between general and administrative and research and development. In addition, our internal controls related to the cash disbursements process were not adequately designed to identify unauthorized payment requests. Specifically, in 2017 we were subject to a cyberattack by a third party. This deficiency in our controls resulted in the theft of a portion of our funds.</w:t>
      </w:r>
    </w:p>
    <w:p>
      <w:pPr>
        <w:spacing w:after="0" w:line="17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are implementing measures designed to improve our internal control over financial reporting to remediate these material weaknesses,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and planning to implement certain accounting systems to automate manual processes, such as tracking and accounting for stock-based awards.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We expect to incur additional costs to remediate these control deficiencies, though there can be no assurance that our efforts will be successful or avoid potential future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Securities and Exchange Commission, or SEC, or other regulatory authorities.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92"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b w:val="1"/>
          <w:bCs w:val="1"/>
          <w:i w:val="1"/>
          <w:iCs w:val="1"/>
          <w:color w:val="auto"/>
        </w:rPr>
        <w:t>Significant sales of our total outstanding shares sold into the market in the future could cause the market price of our common stock to drop significantly.</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As of June 30, 2018, holders of an aggregate of approximately 15.3 million shares of our common stock will have rights, subject to certain conditions, to require us to file registration statements covering their shares or to include their shares in registration statements that we may file for ourselves or other stockholders. In addition, 1,871,139 shares reserved for issuance upon the exercise of existing stock options outstanding as of June 30, 2018 under our equity incentive plans will become eligible for sale in the public market in the future, subject to certain legal and contractual limitations. We have registered all shares of common stock that we may issue under our equity compensation plans, which can be freely sold in the public market upon issuance, subject to volume limitations applicable to affiliates.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22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loan and security agreement with Silicon Valley Bank restricts our ability to pay any dividends or making any distributions on account of our capital stock. As a result, capital appreciation, if any, of our common stock will be your sole source of gain for the foreseeable future.</w:t>
      </w:r>
    </w:p>
    <w:p>
      <w:pPr>
        <w:spacing w:after="0" w:line="188" w:lineRule="exact"/>
        <w:rPr>
          <w:sz w:val="20"/>
          <w:szCs w:val="20"/>
          <w:color w:val="auto"/>
        </w:rPr>
      </w:pPr>
    </w:p>
    <w:p>
      <w:pPr>
        <w:ind w:left="640" w:right="260"/>
        <w:spacing w:after="0" w:line="264"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181"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87" w:lineRule="exact"/>
        <w:rPr>
          <w:sz w:val="20"/>
          <w:szCs w:val="20"/>
          <w:color w:val="auto"/>
        </w:rPr>
      </w:pPr>
    </w:p>
    <w:p>
      <w:pPr>
        <w:ind w:left="1060" w:right="36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30" w:lineRule="exact"/>
        <w:rPr>
          <w:rFonts w:ascii="Arial" w:cs="Arial" w:eastAsia="Arial" w:hAnsi="Arial"/>
          <w:sz w:val="18"/>
          <w:szCs w:val="18"/>
          <w:color w:val="auto"/>
        </w:rPr>
      </w:pPr>
    </w:p>
    <w:p>
      <w:pPr>
        <w:ind w:left="1060" w:right="44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24"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ind w:left="640" w:right="180"/>
        <w:spacing w:after="0" w:line="342" w:lineRule="auto"/>
        <w:rPr>
          <w:sz w:val="20"/>
          <w:szCs w:val="20"/>
          <w:color w:val="auto"/>
        </w:rPr>
      </w:pPr>
      <w:r>
        <w:rPr>
          <w:rFonts w:ascii="Arial" w:cs="Arial" w:eastAsia="Arial" w:hAnsi="Arial"/>
          <w:sz w:val="16"/>
          <w:szCs w:val="16"/>
          <w:b w:val="1"/>
          <w:bCs w:val="1"/>
          <w:i w:val="1"/>
          <w:iCs w:val="1"/>
          <w:color w:val="auto"/>
        </w:rPr>
        <w:t>Our amended and restated bylaws limit the exclusive forum for certain litigation that may be initiated by our stockholders, which could limit our stockholders’ ability to obtain a favorable judicial forum for disputes with us or our directors, officers or employees.</w:t>
      </w:r>
    </w:p>
    <w:p>
      <w:pPr>
        <w:spacing w:after="0" w:line="124"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Our amended and restated bylaws provide that the Court of Chancery of the State of Delaware is the exclusive forum for (i) any derivative action or proceeding brought on our behalf, (ii) any action asserting a claim of breach of or based on a fiduciary duty owed by any of our current or former directors, officers or other employee to us or our stockholders, (iii) any action asserting a claim against us or any of our current or former directors, officers, employees or stockholders arising pursuant to any provision of the Delaware General Corporation Law, our certificate of incorporation or bylaws or (iv) any action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an adverse effect on our business, financial condition or results of operations. In addition, our amended and restated bylaws contain a provision by virtue of which unless we consent in writing to the selection of an alternative forum, the United States District Court for the District of Massachusetts will be the exclusive forum for any complaint asserting a cause of action arising under the Securities Act. We have chosen the United States Court for the District of Massachusetts as the exclusive forum for such causes of action because our principal executive offices are located in Cambridge, Massachusetts. The U.S. District Court in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In addition, some companies that have adopted similar federal district court forum selection provisions are currently subject to a suit in the Court of Chancery of the State of Delaware brought by stockholders who assert that the federal district court forum selection provision is not enforceable. We recognize that the federal district court forum selection clause may impose additional litigation costs on stockholders who assert the provision is not enforceable and may impose more general additional litigation costs in pursuing any such claims, particularly if the stockholders do not reside in or near the Commonwealth of Massachusetts.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June 25, 2018, we completed our initial public offering of 6,035,151 shares of our common stock at a price of $19.00 per share for an aggregate offering price of approximately $114.7 million, including the full exercise of the underwriters’ option to purchase additional shares. Morgan Stanley &amp; Co. LLC, Cowen and Company, LLC, Wells Fargo Securities, LLC and Wedbush Securities Inc. served as the underwriters of the IPO. The offer and sale of all of the shares in the offering were registered under the Securities Act pursuant to a registration statement on Form S-1 (File Nos. 333-225213 and 333-225764), which became effective on June 20, 2018.</w:t>
      </w:r>
    </w:p>
    <w:p>
      <w:pPr>
        <w:spacing w:after="0" w:line="188"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We received aggregate net proceeds from the offering of approximately $104.2 million, after deducting underwriting discounts and commissions, as well as other offering expenses. There has been no material change in our planned use of the net proceeds from the offering as described in the final prospectus filed with the SEC pursuant to Rule 424(b) under the Securities Act.</w:t>
      </w:r>
    </w:p>
    <w:p>
      <w:pPr>
        <w:spacing w:after="0" w:line="32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0140" w:type="dxa"/>
            <w:vAlign w:val="bottom"/>
            <w:gridSpan w:val="22"/>
          </w:tcPr>
          <w:p>
            <w:pPr>
              <w:ind w:left="2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4"/>
                <w:szCs w:val="24"/>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w w:val="92"/>
              </w:rPr>
              <w:t>None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2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4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00" w:type="dxa"/>
            <w:vAlign w:val="bottom"/>
            <w:gridSpan w:val="15"/>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30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0" w:type="dxa"/>
            <w:vAlign w:val="bottom"/>
          </w:tcPr>
          <w:p>
            <w:pPr>
              <w:spacing w:after="0"/>
              <w:rPr>
                <w:sz w:val="24"/>
                <w:szCs w:val="24"/>
                <w:color w:val="auto"/>
              </w:rPr>
            </w:pPr>
          </w:p>
        </w:tc>
        <w:tc>
          <w:tcPr>
            <w:tcW w:w="520" w:type="dxa"/>
            <w:vAlign w:val="bottom"/>
          </w:tcPr>
          <w:p>
            <w:pPr>
              <w:jc w:val="right"/>
              <w:ind w:right="176"/>
              <w:spacing w:after="0"/>
              <w:rPr>
                <w:sz w:val="20"/>
                <w:szCs w:val="20"/>
                <w:color w:val="auto"/>
              </w:rPr>
            </w:pPr>
            <w:r>
              <w:rPr>
                <w:rFonts w:ascii="Arial" w:cs="Arial" w:eastAsia="Arial" w:hAnsi="Arial"/>
                <w:sz w:val="18"/>
                <w:szCs w:val="18"/>
                <w:color w:val="auto"/>
                <w:w w:val="95"/>
              </w:rPr>
              <w:t>3.1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80" w:type="dxa"/>
            <w:vAlign w:val="bottom"/>
            <w:tcBorders>
              <w:bottom w:val="single" w:sz="8" w:color="0000EE"/>
            </w:tcBorders>
            <w:gridSpan w:val="21"/>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Fourth Amended and Restated Certificate of Incorporation of the Registrant (filed as Exhibit 3.1 to our Current Report on Form 8-K filed</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2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87">
              <w:r>
                <w:rPr>
                  <w:rFonts w:ascii="Arial" w:cs="Arial" w:eastAsia="Arial" w:hAnsi="Arial"/>
                  <w:sz w:val="18"/>
                  <w:szCs w:val="18"/>
                  <w:color w:val="0000EE"/>
                  <w:w w:val="88"/>
                </w:rPr>
                <w:t>on June 25, 2018 and incorporated herein by reference).</w:t>
              </w:r>
            </w:hyperlink>
          </w:p>
        </w:tc>
        <w:tc>
          <w:tcPr>
            <w:tcW w:w="58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176"/>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80" w:type="dxa"/>
            <w:vAlign w:val="bottom"/>
            <w:tcBorders>
              <w:bottom w:val="single" w:sz="8" w:color="0000EE"/>
            </w:tcBorders>
            <w:gridSpan w:val="19"/>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Amended and Restated By-laws (filed as Exhibit 3.2 to our Current Report on Form 8-K filed on June 25, 2018 and incorporated herein</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88">
              <w:r>
                <w:rPr>
                  <w:rFonts w:ascii="Arial" w:cs="Arial" w:eastAsia="Arial" w:hAnsi="Arial"/>
                  <w:sz w:val="18"/>
                  <w:szCs w:val="18"/>
                  <w:color w:val="0000EE"/>
                  <w:w w:val="88"/>
                </w:rPr>
                <w:t>by reference).</w:t>
              </w:r>
            </w:hyperlink>
          </w:p>
        </w:tc>
        <w:tc>
          <w:tcPr>
            <w:tcW w:w="88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176"/>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180" w:type="dxa"/>
            <w:vAlign w:val="bottom"/>
            <w:tcBorders>
              <w:bottom w:val="single" w:sz="8" w:color="0000EE"/>
            </w:tcBorders>
            <w:gridSpan w:val="10"/>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Amended and Restated Employment Agreement by and between the Registrant and Geoff MacKay (filed as Exhibit 10.9 to our</w:t>
              </w:r>
            </w:hyperlink>
          </w:p>
        </w:tc>
        <w:tc>
          <w:tcPr>
            <w:tcW w:w="7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Registration Statement on Form S-1/A filed on June 11, 2018 and incorporated herein by reference).</w:t>
              </w:r>
            </w:hyperlink>
          </w:p>
        </w:tc>
        <w:tc>
          <w:tcPr>
            <w:tcW w:w="26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176"/>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40" w:type="dxa"/>
            <w:vAlign w:val="bottom"/>
            <w:tcBorders>
              <w:bottom w:val="single" w:sz="8" w:color="0000EE"/>
            </w:tcBorders>
            <w:gridSpan w:val="17"/>
          </w:tcPr>
          <w:p>
            <w:pPr>
              <w:spacing w:after="0"/>
              <w:rPr>
                <w:rFonts w:ascii="Arial" w:cs="Arial" w:eastAsia="Arial" w:hAnsi="Arial"/>
                <w:sz w:val="18"/>
                <w:szCs w:val="18"/>
                <w:color w:val="0000EE"/>
                <w:w w:val="90"/>
              </w:rPr>
            </w:pPr>
            <w:hyperlink r:id="rId90">
              <w:r>
                <w:rPr>
                  <w:rFonts w:ascii="Arial" w:cs="Arial" w:eastAsia="Arial" w:hAnsi="Arial"/>
                  <w:sz w:val="18"/>
                  <w:szCs w:val="18"/>
                  <w:color w:val="0000EE"/>
                  <w:w w:val="90"/>
                </w:rPr>
                <w:t>Amended and Restated Employment Agreement by and between the Registrant and Nerissa Kreher, M.D. (filed as Exhibit 10.10 to our</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Registration Statement on Form S-1/A filed on June 11, 2018 and incorporated herein by reference).</w:t>
              </w:r>
            </w:hyperlink>
          </w:p>
        </w:tc>
        <w:tc>
          <w:tcPr>
            <w:tcW w:w="26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176"/>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80" w:type="dxa"/>
            <w:vAlign w:val="bottom"/>
            <w:gridSpan w:val="21"/>
          </w:tcPr>
          <w:p>
            <w:pPr>
              <w:spacing w:after="0"/>
              <w:rPr>
                <w:rFonts w:ascii="Arial" w:cs="Arial" w:eastAsia="Arial" w:hAnsi="Arial"/>
                <w:sz w:val="18"/>
                <w:szCs w:val="18"/>
                <w:color w:val="0000EE"/>
                <w:w w:val="97"/>
              </w:rPr>
            </w:pPr>
            <w:hyperlink r:id="rId91">
              <w:r>
                <w:rPr>
                  <w:rFonts w:ascii="Arial" w:cs="Arial" w:eastAsia="Arial" w:hAnsi="Arial"/>
                  <w:sz w:val="18"/>
                  <w:szCs w:val="18"/>
                  <w:color w:val="0000EE"/>
                  <w:w w:val="97"/>
                </w:rPr>
                <w:t>Amended and Restated Employment Agreement by and between the Registrant and Katina Dorton (filed as Exhibit 10.11 to our</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Registration Statement on Form S-1/A filed on June 11, 2018 and incorporated herein by reference).</w:t>
              </w:r>
            </w:hyperlink>
          </w:p>
        </w:tc>
        <w:tc>
          <w:tcPr>
            <w:tcW w:w="1980" w:type="dxa"/>
            <w:vAlign w:val="bottom"/>
            <w:tcBorders>
              <w:top w:val="single" w:sz="8" w:color="0000EE"/>
            </w:tcBorders>
            <w:gridSpan w:val="2"/>
          </w:tcPr>
          <w:p>
            <w:pPr>
              <w:spacing w:after="0"/>
              <w:rPr>
                <w:sz w:val="17"/>
                <w:szCs w:val="17"/>
                <w:color w:val="auto"/>
              </w:rPr>
            </w:pPr>
          </w:p>
        </w:tc>
        <w:tc>
          <w:tcPr>
            <w:tcW w:w="6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176"/>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80" w:type="dxa"/>
            <w:vAlign w:val="bottom"/>
            <w:gridSpan w:val="21"/>
          </w:tcPr>
          <w:p>
            <w:pPr>
              <w:spacing w:after="0"/>
              <w:rPr>
                <w:rFonts w:ascii="Arial" w:cs="Arial" w:eastAsia="Arial" w:hAnsi="Arial"/>
                <w:sz w:val="18"/>
                <w:szCs w:val="18"/>
                <w:color w:val="0000EE"/>
                <w:w w:val="96"/>
              </w:rPr>
            </w:pPr>
            <w:hyperlink r:id="rId92">
              <w:r>
                <w:rPr>
                  <w:rFonts w:ascii="Arial" w:cs="Arial" w:eastAsia="Arial" w:hAnsi="Arial"/>
                  <w:sz w:val="18"/>
                  <w:szCs w:val="18"/>
                  <w:color w:val="0000EE"/>
                  <w:w w:val="96"/>
                </w:rPr>
                <w:t>Form of Indemnification Agreement (filed as Exhibit 10.4 to our Registration Statement on Form S-1/A filed on June 11, 2018 and</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92">
              <w:r>
                <w:rPr>
                  <w:rFonts w:ascii="Arial" w:cs="Arial" w:eastAsia="Arial" w:hAnsi="Arial"/>
                  <w:sz w:val="18"/>
                  <w:szCs w:val="18"/>
                  <w:color w:val="0000EE"/>
                  <w:w w:val="89"/>
                </w:rPr>
                <w:t>incorporated herein by reference).</w:t>
              </w:r>
            </w:hyperlink>
          </w:p>
        </w:tc>
        <w:tc>
          <w:tcPr>
            <w:tcW w:w="6980" w:type="dxa"/>
            <w:vAlign w:val="bottom"/>
            <w:tcBorders>
              <w:top w:val="single" w:sz="8" w:color="0000EE"/>
            </w:tcBorders>
            <w:gridSpan w:val="10"/>
          </w:tcPr>
          <w:p>
            <w:pPr>
              <w:spacing w:after="0"/>
              <w:rPr>
                <w:sz w:val="17"/>
                <w:szCs w:val="17"/>
                <w:color w:val="auto"/>
              </w:rPr>
            </w:pPr>
          </w:p>
        </w:tc>
        <w:tc>
          <w:tcPr>
            <w:tcW w:w="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176"/>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tcBorders>
              <w:bottom w:val="single" w:sz="8" w:color="0000EE"/>
            </w:tcBorders>
            <w:gridSpan w:val="20"/>
          </w:tcPr>
          <w:p>
            <w:pPr>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2018 Stock Option and Incentive Plan and forms of award agreements thereunder (filed as Exhibit 10.2 to our Registration Statement on</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3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Form S-1/A filed on June 11, 2018 and incorporated herein by reference).</w:t>
              </w:r>
            </w:hyperlink>
          </w:p>
        </w:tc>
        <w:tc>
          <w:tcPr>
            <w:tcW w:w="4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176"/>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20" w:type="dxa"/>
            <w:vAlign w:val="bottom"/>
            <w:tcBorders>
              <w:bottom w:val="single" w:sz="8" w:color="0000EE"/>
            </w:tcBorders>
            <w:gridSpan w:val="16"/>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Senior Executive Cash Incentive Bonus Plan (filed as Exhibit 10.3 to our Registration Statement on Form S-1/A filed on June 11, 2018</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21"/>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and incorporated herein by reference).</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gridSpan w:val="2"/>
          </w:tcPr>
          <w:p>
            <w:pPr>
              <w:jc w:val="right"/>
              <w:ind w:right="176"/>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40" w:type="dxa"/>
            <w:vAlign w:val="bottom"/>
            <w:tcBorders>
              <w:bottom w:val="single" w:sz="8" w:color="0000EE"/>
            </w:tcBorders>
            <w:gridSpan w:val="13"/>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2018 Employee Stock Purchase Plan (filed as Exhibit 10.14 to our Registration Statement on Form S-1/A filed on June 11, 2018 and</w:t>
              </w:r>
            </w:hyperlink>
          </w:p>
        </w:tc>
        <w:tc>
          <w:tcPr>
            <w:tcW w:w="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incorporated herein by reference).</w:t>
              </w:r>
            </w:hyperlink>
          </w:p>
        </w:tc>
        <w:tc>
          <w:tcPr>
            <w:tcW w:w="74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176"/>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80" w:type="dxa"/>
            <w:vAlign w:val="bottom"/>
            <w:gridSpan w:val="21"/>
          </w:tcPr>
          <w:p>
            <w:pPr>
              <w:spacing w:after="0"/>
              <w:rPr>
                <w:rFonts w:ascii="Arial" w:cs="Arial" w:eastAsia="Arial" w:hAnsi="Arial"/>
                <w:sz w:val="18"/>
                <w:szCs w:val="18"/>
                <w:color w:val="0000EE"/>
                <w:w w:val="93"/>
              </w:rPr>
            </w:pPr>
            <w:hyperlink w:anchor="page73">
              <w:r>
                <w:rPr>
                  <w:rFonts w:ascii="Arial" w:cs="Arial" w:eastAsia="Arial" w:hAnsi="Arial"/>
                  <w:sz w:val="18"/>
                  <w:szCs w:val="18"/>
                  <w:color w:val="0000EE"/>
                  <w:w w:val="93"/>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8"/>
          </w:tcPr>
          <w:p>
            <w:pPr>
              <w:spacing w:after="0"/>
              <w:rPr>
                <w:sz w:val="17"/>
                <w:szCs w:val="17"/>
                <w:color w:val="auto"/>
              </w:rPr>
            </w:pP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176"/>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Adopted Pursuant to Section 302 of the Sarbanes-Oxley Act of 2002.</w:t>
              </w:r>
            </w:hyperlink>
          </w:p>
        </w:tc>
        <w:tc>
          <w:tcPr>
            <w:tcW w:w="49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76"/>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80" w:type="dxa"/>
            <w:vAlign w:val="bottom"/>
            <w:gridSpan w:val="21"/>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Certification of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Section 906 of the Sarbanes-Oxley Act of 2002.</w:t>
              </w:r>
            </w:hyperlink>
          </w:p>
        </w:tc>
        <w:tc>
          <w:tcPr>
            <w:tcW w:w="6300" w:type="dxa"/>
            <w:vAlign w:val="bottom"/>
            <w:tcBorders>
              <w:top w:val="single" w:sz="8" w:color="0000EE"/>
            </w:tcBorders>
            <w:gridSpan w:val="14"/>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9880" w:type="dxa"/>
            <w:vAlign w:val="bottom"/>
            <w:gridSpan w:val="2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988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988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988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988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988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Indicates the exhibit is being furnished, not filed, with this report.</w:t>
      </w:r>
    </w:p>
    <w:p>
      <w:pPr>
        <w:sectPr>
          <w:pgSz w:w="11900" w:h="16838" w:orient="portrait"/>
          <w:cols w:equalWidth="0" w:num="1">
            <w:col w:w="11220"/>
          </w:cols>
          <w:pgMar w:left="240" w:top="459" w:right="439" w:bottom="15" w:gutter="0" w:footer="0" w:header="0"/>
        </w:sectPr>
      </w:pP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20"/>
          </w:cols>
          <w:pgMar w:left="240" w:top="459" w:right="439" w:bottom="15"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148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ind w:left="200"/>
        <w:spacing w:after="0"/>
        <w:tabs>
          <w:tab w:leader="none" w:pos="5860" w:val="left"/>
          <w:tab w:leader="none" w:pos="808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2"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7"/>
          <w:szCs w:val="17"/>
          <w:b w:val="1"/>
          <w:bCs w:val="1"/>
          <w:color w:val="auto"/>
        </w:rPr>
        <w:t>President, Chief Executive Officer, and Principal Executive</w:t>
      </w:r>
    </w:p>
    <w:p>
      <w:pPr>
        <w:spacing w:after="0" w:line="21"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Officer</w:t>
      </w:r>
    </w:p>
    <w:p>
      <w:pPr>
        <w:spacing w:after="0" w:line="211" w:lineRule="exact"/>
        <w:rPr>
          <w:sz w:val="20"/>
          <w:szCs w:val="20"/>
          <w:color w:val="auto"/>
        </w:rPr>
      </w:pPr>
    </w:p>
    <w:p>
      <w:pPr>
        <w:ind w:left="200"/>
        <w:spacing w:after="0"/>
        <w:tabs>
          <w:tab w:leader="none" w:pos="5860" w:val="left"/>
          <w:tab w:leader="none" w:pos="810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2"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Katina Dorton</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Chief Financial Officer and Principal Financial and Accounting</w:t>
      </w:r>
    </w:p>
    <w:p>
      <w:pPr>
        <w:spacing w:after="0" w:line="32"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Officer</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459" w:right="4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31" w:lineRule="exact"/>
        <w:rPr>
          <w:sz w:val="20"/>
          <w:szCs w:val="20"/>
          <w:color w:val="auto"/>
        </w:rPr>
      </w:pPr>
    </w:p>
    <w:p>
      <w:pPr>
        <w:ind w:left="440" w:hanging="436"/>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77"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jc w:val="both"/>
        <w:ind w:left="860" w:right="100" w:hanging="424"/>
        <w:spacing w:after="0" w:line="264" w:lineRule="auto"/>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860" w:right="660" w:hanging="424"/>
        <w:spacing w:after="0" w:line="342" w:lineRule="auto"/>
        <w:tabs>
          <w:tab w:leader="none" w:pos="8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360" w:val="left"/>
          <w:tab w:leader="none" w:pos="772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14605</wp:posOffset>
            </wp:positionV>
            <wp:extent cx="33445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020"/>
          </w:cols>
          <w:pgMar w:left="440" w:top="121" w:right="4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Katina Dorton, certify that:</w:t>
      </w:r>
    </w:p>
    <w:p>
      <w:pPr>
        <w:spacing w:after="0" w:line="131" w:lineRule="exact"/>
        <w:rPr>
          <w:sz w:val="20"/>
          <w:szCs w:val="20"/>
          <w:color w:val="auto"/>
        </w:rPr>
      </w:pPr>
    </w:p>
    <w:p>
      <w:pPr>
        <w:ind w:left="440" w:hanging="436"/>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77"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jc w:val="both"/>
        <w:ind w:left="860" w:right="100" w:hanging="424"/>
        <w:spacing w:after="0" w:line="264"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860" w:right="660" w:hanging="424"/>
        <w:spacing w:after="0" w:line="342" w:lineRule="auto"/>
        <w:tabs>
          <w:tab w:leader="none" w:pos="8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360" w:val="left"/>
          <w:tab w:leader="none" w:pos="774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14605</wp:posOffset>
            </wp:positionV>
            <wp:extent cx="33445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Katina Dorton</w:t>
      </w:r>
    </w:p>
    <w:p>
      <w:pPr>
        <w:spacing w:after="0" w:line="27"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020"/>
          </w:cols>
          <w:pgMar w:left="440" w:top="121" w:right="4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In connection with the Quarterly Report of AVROBIO, Inc. (the “Company”) on Form 10-Q for the period ending June 30, 2018 as filed with the Securities and Exchange Commission on the date hereof (the “Report”), each of the undersigned officers of the Company certifies, pursuant to 18 U.S.C.</w:t>
      </w:r>
    </w:p>
    <w:p>
      <w:pPr>
        <w:ind w:left="140" w:hanging="136"/>
        <w:spacing w:after="0"/>
        <w:tabs>
          <w:tab w:leader="none" w:pos="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to the best of his or her knowledge that:</w:t>
      </w:r>
    </w:p>
    <w:p>
      <w:pPr>
        <w:spacing w:after="0" w:line="116" w:lineRule="exact"/>
        <w:rPr>
          <w:rFonts w:ascii="Arial" w:cs="Arial" w:eastAsia="Arial" w:hAnsi="Arial"/>
          <w:sz w:val="18"/>
          <w:szCs w:val="18"/>
          <w:color w:val="auto"/>
        </w:rPr>
      </w:pPr>
    </w:p>
    <w:p>
      <w:pPr>
        <w:ind w:left="860" w:hanging="424"/>
        <w:spacing w:after="0"/>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860" w:right="560" w:hanging="424"/>
        <w:spacing w:after="0" w:line="277"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360" w:val="left"/>
          <w:tab w:leader="none" w:pos="772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14605</wp:posOffset>
            </wp:positionV>
            <wp:extent cx="33445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tabs>
          <w:tab w:leader="none" w:pos="5360" w:val="left"/>
          <w:tab w:leader="none" w:pos="774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14605</wp:posOffset>
            </wp:positionV>
            <wp:extent cx="33445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Katina Dorton</w:t>
      </w:r>
    </w:p>
    <w:p>
      <w:pPr>
        <w:spacing w:after="0" w:line="27"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11"/>
    </w:lvl>
  </w:abstractNum>
  <w:abstractNum w:abstractNumId="5">
    <w:nsid w:val="75A2A8D4"/>
    <w:multiLevelType w:val="hybridMultilevel"/>
    <w:lvl w:ilvl="0">
      <w:lvlJc w:val="left"/>
      <w:lvlText w:val="%1."/>
      <w:numFmt w:val="decimal"/>
      <w:start w:val="11"/>
    </w:lvl>
  </w:abstractNum>
  <w:abstractNum w:abstractNumId="6">
    <w:nsid w:val="8EDBDAB"/>
    <w:multiLevelType w:val="hybridMultilevel"/>
    <w:lvl w:ilvl="0">
      <w:lvlJc w:val="left"/>
      <w:lvlText w:val="(%1)"/>
      <w:numFmt w:val="lowerRoman"/>
      <w:start w:val="3"/>
    </w:lvl>
  </w:abstractNum>
  <w:abstractNum w:abstractNumId="7">
    <w:nsid w:val="79838CB2"/>
    <w:multiLevelType w:val="hybridMultilevel"/>
    <w:lvl w:ilvl="0">
      <w:lvlJc w:val="left"/>
      <w:lvlText w:val="%1."/>
      <w:numFmt w:val="decimal"/>
      <w:start w:val="14"/>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decimal"/>
      <w:start w:val="2"/>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87" Type="http://schemas.openxmlformats.org/officeDocument/2006/relationships/hyperlink" Target="http://www.sec.gov/Archives/edgar/data/1681087/000119312518188630/d562006dex33.htm" TargetMode="External"/><Relationship Id="rId88" Type="http://schemas.openxmlformats.org/officeDocument/2006/relationships/hyperlink" Target="http://www.sec.gov/Archives/edgar/data/1681087/000119312518188630/d562006dex35.htm" TargetMode="External"/><Relationship Id="rId89" Type="http://schemas.openxmlformats.org/officeDocument/2006/relationships/hyperlink" Target="http://www.sec.gov/Archives/edgar/data/1681087/000119312518188630/d562006dex109.htm" TargetMode="External"/><Relationship Id="rId90" Type="http://schemas.openxmlformats.org/officeDocument/2006/relationships/hyperlink" Target="http://www.sec.gov/Archives/edgar/data/1681087/000119312518188630/d562006dex1010.htm" TargetMode="External"/><Relationship Id="rId91" Type="http://schemas.openxmlformats.org/officeDocument/2006/relationships/hyperlink" Target="http://www.sec.gov/Archives/edgar/data/1681087/000119312518188630/d562006dex1011.htm" TargetMode="External"/><Relationship Id="rId92" Type="http://schemas.openxmlformats.org/officeDocument/2006/relationships/hyperlink" Target="http://www.sec.gov/Archives/edgar/data/1681087/000119312518188630/d562006dex104.htm" TargetMode="External"/><Relationship Id="rId93" Type="http://schemas.openxmlformats.org/officeDocument/2006/relationships/hyperlink" Target="http://www.sec.gov/Archives/edgar/data/1681087/000119312518188630/d562006dex102.htm" TargetMode="External"/><Relationship Id="rId94" Type="http://schemas.openxmlformats.org/officeDocument/2006/relationships/hyperlink" Target="http://www.sec.gov/Archives/edgar/data/1681087/000119312518188630/d562006dex103.htm" TargetMode="External"/><Relationship Id="rId95" Type="http://schemas.openxmlformats.org/officeDocument/2006/relationships/hyperlink" Target="http://www.sec.gov/Archives/edgar/data/1681087/000119312518188630/d562006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2019-12-28T20:09:58Z</dcterms:created>
  <dcterms:modified xsi:type="dcterms:W3CDTF">2019-12-28T20:09:58Z</dcterms:modified>
</cp:coreProperties>
</file>