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32406B"/>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2406B"/>
        </w:rPr>
        <w:t>Registration No. 333-235641</w:t>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i w:val="1"/>
          <w:iCs w:val="1"/>
          <w:color w:val="32406B"/>
        </w:rPr>
        <w:t>PROSPECTUS SUPPLEMENT</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i w:val="1"/>
          <w:iCs w:val="1"/>
          <w:color w:val="32406B"/>
        </w:rPr>
        <w:t>(to Prospectus dated January 14, 2020)</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i w:val="1"/>
          <w:iCs w:val="1"/>
          <w:color w:val="32406B"/>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95885</wp:posOffset>
            </wp:positionV>
            <wp:extent cx="1440180"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32406B"/>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229870</wp:posOffset>
            </wp:positionV>
            <wp:extent cx="1491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32406B"/>
        </w:rPr>
        <w:t>We are offering 5,000,000 shares of our common stock, par value $0.0001 per share. Our common stock is listed on The Nasdaq Global Select Market under the symbol “AVRO.” On November 19, 2020, the last reported sale price of our common stock was $16.98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187960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32406B"/>
        </w:rPr>
        <w:t>We are an “emerging growth company” under applicable Securities and Exchange Commission rules and will be subject to reduced public company reporting requirements for this prospectus supplement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203200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right="300"/>
        <w:spacing w:after="0" w:line="250" w:lineRule="auto"/>
        <w:rPr>
          <w:rFonts w:ascii="Arial" w:cs="Arial" w:eastAsia="Arial" w:hAnsi="Arial"/>
          <w:sz w:val="22"/>
          <w:szCs w:val="22"/>
          <w:b w:val="1"/>
          <w:bCs w:val="1"/>
          <w:i w:val="1"/>
          <w:iCs w:val="1"/>
          <w:color w:val="32406B"/>
        </w:rPr>
      </w:pPr>
      <w:r>
        <w:rPr>
          <w:rFonts w:ascii="Arial" w:cs="Arial" w:eastAsia="Arial" w:hAnsi="Arial"/>
          <w:sz w:val="22"/>
          <w:szCs w:val="22"/>
          <w:b w:val="1"/>
          <w:bCs w:val="1"/>
          <w:i w:val="1"/>
          <w:iCs w:val="1"/>
          <w:color w:val="32406B"/>
        </w:rPr>
        <w:t>Our business and an investment in our common stock involve significant risks. These risks are described under the caption “</w:t>
      </w:r>
      <w:hyperlink w:anchor="page34">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32406B"/>
        </w:rPr>
        <w:t>” beginning on page S-32 of this prospectus supplement.</w:t>
      </w:r>
    </w:p>
    <w:p>
      <w:pPr>
        <w:spacing w:after="0" w:line="182" w:lineRule="exact"/>
        <w:rPr>
          <w:sz w:val="24"/>
          <w:szCs w:val="24"/>
          <w:color w:val="auto"/>
        </w:rPr>
      </w:pPr>
    </w:p>
    <w:p>
      <w:pPr>
        <w:jc w:val="both"/>
        <w:ind w:right="520"/>
        <w:spacing w:after="0" w:line="342" w:lineRule="auto"/>
        <w:rPr>
          <w:sz w:val="20"/>
          <w:szCs w:val="20"/>
          <w:color w:val="auto"/>
        </w:rPr>
      </w:pPr>
      <w:r>
        <w:rPr>
          <w:rFonts w:ascii="Arial" w:cs="Arial" w:eastAsia="Arial" w:hAnsi="Arial"/>
          <w:sz w:val="16"/>
          <w:szCs w:val="16"/>
          <w:i w:val="1"/>
          <w:iCs w:val="1"/>
          <w:color w:val="32406B"/>
        </w:rPr>
        <w:t>Neither the Securities and Exchange Commission nor any state securities commission has approved or disapproved of these securities or determined whether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181610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5940" w:type="dxa"/>
            <w:vAlign w:val="bottom"/>
            <w:vMerge w:val="restart"/>
          </w:tcPr>
          <w:p>
            <w:pPr>
              <w:spacing w:after="0"/>
              <w:rPr>
                <w:sz w:val="20"/>
                <w:szCs w:val="20"/>
                <w:color w:val="auto"/>
              </w:rPr>
            </w:pPr>
            <w:r>
              <w:rPr>
                <w:rFonts w:ascii="Arial" w:cs="Arial" w:eastAsia="Arial" w:hAnsi="Arial"/>
                <w:sz w:val="18"/>
                <w:szCs w:val="18"/>
                <w:i w:val="1"/>
                <w:iCs w:val="1"/>
                <w:color w:val="32406B"/>
              </w:rPr>
              <w:t>Public offering price</w:t>
            </w:r>
          </w:p>
        </w:tc>
        <w:tc>
          <w:tcPr>
            <w:tcW w:w="27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32406B"/>
                <w:w w:val="88"/>
              </w:rPr>
              <w:t>Per Share</w:t>
            </w:r>
          </w:p>
        </w:tc>
        <w:tc>
          <w:tcPr>
            <w:tcW w:w="4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i w:val="1"/>
                <w:iCs w:val="1"/>
                <w:color w:val="32406B"/>
              </w:rPr>
              <w:t>$</w:t>
            </w:r>
          </w:p>
        </w:tc>
        <w:tc>
          <w:tcPr>
            <w:tcW w:w="20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i w:val="1"/>
                <w:iCs w:val="1"/>
                <w:color w:val="32406B"/>
                <w:w w:val="83"/>
              </w:rPr>
              <w:t>Total</w:t>
            </w:r>
          </w:p>
        </w:tc>
        <w:tc>
          <w:tcPr>
            <w:tcW w:w="0" w:type="dxa"/>
            <w:vAlign w:val="bottom"/>
          </w:tcPr>
          <w:p>
            <w:pPr>
              <w:spacing w:after="0"/>
              <w:rPr>
                <w:sz w:val="1"/>
                <w:szCs w:val="1"/>
                <w:color w:val="auto"/>
              </w:rPr>
            </w:pPr>
          </w:p>
        </w:tc>
      </w:tr>
      <w:tr>
        <w:trPr>
          <w:trHeight w:val="20"/>
        </w:trPr>
        <w:tc>
          <w:tcPr>
            <w:tcW w:w="5940" w:type="dxa"/>
            <w:vAlign w:val="bottom"/>
            <w:vMerge w:val="continue"/>
          </w:tcPr>
          <w:p>
            <w:pPr>
              <w:spacing w:after="0" w:line="20" w:lineRule="exact"/>
              <w:rPr>
                <w:sz w:val="1"/>
                <w:szCs w:val="1"/>
                <w:color w:val="auto"/>
              </w:rPr>
            </w:pPr>
          </w:p>
        </w:tc>
        <w:tc>
          <w:tcPr>
            <w:tcW w:w="2720" w:type="dxa"/>
            <w:vAlign w:val="bottom"/>
            <w:vMerge w:val="restart"/>
          </w:tcPr>
          <w:p>
            <w:pPr>
              <w:spacing w:after="0" w:line="20" w:lineRule="exact"/>
              <w:rPr>
                <w:sz w:val="1"/>
                <w:szCs w:val="1"/>
                <w:color w:val="auto"/>
              </w:rPr>
            </w:pPr>
          </w:p>
        </w:tc>
        <w:tc>
          <w:tcPr>
            <w:tcW w:w="140" w:type="dxa"/>
            <w:vAlign w:val="bottom"/>
            <w:shd w:val="clear" w:color="auto" w:fill="32406B"/>
          </w:tcPr>
          <w:p>
            <w:pPr>
              <w:spacing w:after="0" w:line="20" w:lineRule="exact"/>
              <w:rPr>
                <w:sz w:val="1"/>
                <w:szCs w:val="1"/>
                <w:color w:val="auto"/>
              </w:rPr>
            </w:pPr>
          </w:p>
        </w:tc>
        <w:tc>
          <w:tcPr>
            <w:tcW w:w="460" w:type="dxa"/>
            <w:vAlign w:val="bottom"/>
            <w:shd w:val="clear" w:color="auto" w:fill="32406B"/>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shd w:val="clear" w:color="auto" w:fill="32406B"/>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40" w:type="dxa"/>
            <w:vAlign w:val="bottom"/>
            <w:vMerge w:val="continue"/>
          </w:tcPr>
          <w:p>
            <w:pPr>
              <w:spacing w:after="0"/>
              <w:rPr>
                <w:sz w:val="16"/>
                <w:szCs w:val="16"/>
                <w:color w:val="auto"/>
              </w:rPr>
            </w:pPr>
          </w:p>
        </w:tc>
        <w:tc>
          <w:tcPr>
            <w:tcW w:w="272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i w:val="1"/>
                <w:iCs w:val="1"/>
                <w:color w:val="32406B"/>
                <w:w w:val="71"/>
              </w:rPr>
              <w:t>$</w:t>
            </w:r>
          </w:p>
        </w:tc>
        <w:tc>
          <w:tcPr>
            <w:tcW w:w="460" w:type="dxa"/>
            <w:vAlign w:val="bottom"/>
          </w:tcPr>
          <w:p>
            <w:pPr>
              <w:jc w:val="right"/>
              <w:spacing w:after="0" w:line="195" w:lineRule="exact"/>
              <w:rPr>
                <w:sz w:val="20"/>
                <w:szCs w:val="20"/>
                <w:color w:val="auto"/>
              </w:rPr>
            </w:pPr>
            <w:r>
              <w:rPr>
                <w:rFonts w:ascii="Arial" w:cs="Arial" w:eastAsia="Arial" w:hAnsi="Arial"/>
                <w:sz w:val="18"/>
                <w:szCs w:val="18"/>
                <w:i w:val="1"/>
                <w:iCs w:val="1"/>
                <w:color w:val="32406B"/>
                <w:w w:val="97"/>
              </w:rPr>
              <w:t>15.00</w:t>
            </w:r>
          </w:p>
        </w:tc>
        <w:tc>
          <w:tcPr>
            <w:tcW w:w="4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i w:val="1"/>
                <w:iCs w:val="1"/>
                <w:color w:val="32406B"/>
                <w:w w:val="72"/>
              </w:rPr>
              <w:t>75,000,000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i w:val="1"/>
                <w:iCs w:val="1"/>
                <w:color w:val="32406B"/>
              </w:rPr>
              <w:t>Underwriting discounts and commissions (1)</w:t>
            </w:r>
          </w:p>
        </w:tc>
        <w:tc>
          <w:tcPr>
            <w:tcW w:w="2860" w:type="dxa"/>
            <w:vAlign w:val="bottom"/>
            <w:gridSpan w:val="2"/>
          </w:tcPr>
          <w:p>
            <w:pPr>
              <w:jc w:val="right"/>
              <w:spacing w:after="0"/>
              <w:rPr>
                <w:sz w:val="20"/>
                <w:szCs w:val="20"/>
                <w:color w:val="auto"/>
              </w:rPr>
            </w:pPr>
            <w:r>
              <w:rPr>
                <w:rFonts w:ascii="Arial" w:cs="Arial" w:eastAsia="Arial" w:hAnsi="Arial"/>
                <w:sz w:val="18"/>
                <w:szCs w:val="18"/>
                <w:i w:val="1"/>
                <w:iCs w:val="1"/>
                <w:color w:val="32406B"/>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32406B"/>
              </w:rPr>
              <w:t>0.90</w:t>
            </w:r>
          </w:p>
        </w:tc>
        <w:tc>
          <w:tcPr>
            <w:tcW w:w="600" w:type="dxa"/>
            <w:vAlign w:val="bottom"/>
          </w:tcPr>
          <w:p>
            <w:pPr>
              <w:jc w:val="right"/>
              <w:spacing w:after="0"/>
              <w:rPr>
                <w:sz w:val="20"/>
                <w:szCs w:val="20"/>
                <w:color w:val="auto"/>
              </w:rPr>
            </w:pPr>
            <w:r>
              <w:rPr>
                <w:rFonts w:ascii="Arial" w:cs="Arial" w:eastAsia="Arial" w:hAnsi="Arial"/>
                <w:sz w:val="18"/>
                <w:szCs w:val="18"/>
                <w:i w:val="1"/>
                <w:iCs w:val="1"/>
                <w:color w:val="32406B"/>
              </w:rPr>
              <w:t>$</w:t>
            </w:r>
          </w:p>
        </w:tc>
        <w:tc>
          <w:tcPr>
            <w:tcW w:w="840" w:type="dxa"/>
            <w:vAlign w:val="bottom"/>
            <w:gridSpan w:val="3"/>
          </w:tcPr>
          <w:p>
            <w:pPr>
              <w:jc w:val="right"/>
              <w:spacing w:after="0"/>
              <w:rPr>
                <w:sz w:val="20"/>
                <w:szCs w:val="20"/>
                <w:color w:val="auto"/>
              </w:rPr>
            </w:pPr>
            <w:r>
              <w:rPr>
                <w:rFonts w:ascii="Arial" w:cs="Arial" w:eastAsia="Arial" w:hAnsi="Arial"/>
                <w:sz w:val="18"/>
                <w:szCs w:val="18"/>
                <w:i w:val="1"/>
                <w:iCs w:val="1"/>
                <w:color w:val="32406B"/>
              </w:rPr>
              <w:t>4,500,000</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32406B"/>
              </w:rPr>
              <w:t>Proceeds to us before expenses</w:t>
            </w:r>
          </w:p>
        </w:tc>
        <w:tc>
          <w:tcPr>
            <w:tcW w:w="2860" w:type="dxa"/>
            <w:vAlign w:val="bottom"/>
            <w:gridSpan w:val="2"/>
          </w:tcPr>
          <w:p>
            <w:pPr>
              <w:jc w:val="right"/>
              <w:spacing w:after="0"/>
              <w:rPr>
                <w:sz w:val="20"/>
                <w:szCs w:val="20"/>
                <w:color w:val="auto"/>
              </w:rPr>
            </w:pPr>
            <w:r>
              <w:rPr>
                <w:rFonts w:ascii="Arial" w:cs="Arial" w:eastAsia="Arial" w:hAnsi="Arial"/>
                <w:sz w:val="18"/>
                <w:szCs w:val="18"/>
                <w:i w:val="1"/>
                <w:iCs w:val="1"/>
                <w:color w:val="32406B"/>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32406B"/>
                <w:w w:val="97"/>
              </w:rPr>
              <w:t>14.10</w:t>
            </w:r>
          </w:p>
        </w:tc>
        <w:tc>
          <w:tcPr>
            <w:tcW w:w="600" w:type="dxa"/>
            <w:vAlign w:val="bottom"/>
          </w:tcPr>
          <w:p>
            <w:pPr>
              <w:jc w:val="right"/>
              <w:spacing w:after="0"/>
              <w:rPr>
                <w:sz w:val="20"/>
                <w:szCs w:val="20"/>
                <w:color w:val="auto"/>
              </w:rPr>
            </w:pPr>
            <w:r>
              <w:rPr>
                <w:rFonts w:ascii="Arial" w:cs="Arial" w:eastAsia="Arial" w:hAnsi="Arial"/>
                <w:sz w:val="18"/>
                <w:szCs w:val="18"/>
                <w:i w:val="1"/>
                <w:iCs w:val="1"/>
                <w:color w:val="32406B"/>
              </w:rPr>
              <w:t>$</w:t>
            </w:r>
          </w:p>
        </w:tc>
        <w:tc>
          <w:tcPr>
            <w:tcW w:w="840" w:type="dxa"/>
            <w:vAlign w:val="bottom"/>
            <w:gridSpan w:val="3"/>
          </w:tcPr>
          <w:p>
            <w:pPr>
              <w:jc w:val="right"/>
              <w:spacing w:after="0"/>
              <w:rPr>
                <w:sz w:val="20"/>
                <w:szCs w:val="20"/>
                <w:color w:val="auto"/>
              </w:rPr>
            </w:pPr>
            <w:r>
              <w:rPr>
                <w:rFonts w:ascii="Arial" w:cs="Arial" w:eastAsia="Arial" w:hAnsi="Arial"/>
                <w:sz w:val="18"/>
                <w:szCs w:val="18"/>
                <w:i w:val="1"/>
                <w:iCs w:val="1"/>
                <w:color w:val="32406B"/>
                <w:w w:val="90"/>
              </w:rPr>
              <w:t>70,500,000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i w:val="1"/>
          <w:iCs w:val="1"/>
          <w:color w:val="32406B"/>
        </w:rPr>
      </w:pPr>
      <w:r>
        <w:rPr>
          <w:rFonts w:ascii="Arial" w:cs="Arial" w:eastAsia="Arial" w:hAnsi="Arial"/>
          <w:sz w:val="18"/>
          <w:szCs w:val="18"/>
          <w:i w:val="1"/>
          <w:iCs w:val="1"/>
          <w:color w:val="32406B"/>
        </w:rPr>
        <w:t>We have agreed to reimburse the underwriters for certain expenses. See “Underwriting.”</w:t>
      </w:r>
    </w:p>
    <w:p>
      <w:pPr>
        <w:spacing w:after="0" w:line="225" w:lineRule="exact"/>
        <w:rPr>
          <w:sz w:val="24"/>
          <w:szCs w:val="24"/>
          <w:color w:val="auto"/>
        </w:rPr>
      </w:pPr>
    </w:p>
    <w:p>
      <w:pPr>
        <w:ind w:right="320"/>
        <w:spacing w:after="0" w:line="286" w:lineRule="auto"/>
        <w:rPr>
          <w:sz w:val="20"/>
          <w:szCs w:val="20"/>
          <w:color w:val="auto"/>
        </w:rPr>
      </w:pPr>
      <w:r>
        <w:rPr>
          <w:rFonts w:ascii="Arial" w:cs="Arial" w:eastAsia="Arial" w:hAnsi="Arial"/>
          <w:sz w:val="17"/>
          <w:szCs w:val="17"/>
          <w:i w:val="1"/>
          <w:iCs w:val="1"/>
          <w:color w:val="32406B"/>
        </w:rPr>
        <w:t>We have granted the underwriters an option for a period of 30 days from the date of this prospectus supplement to purchase up to 750,000 additional shares of our common stock (15% of the shares sold). If the underwriters exercise their option in full, the total underwriting discounts and commissions payable by us will be $5,175,000, and the total proceeds to us, before expenses, will be $81,075,000.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i w:val="1"/>
          <w:iCs w:val="1"/>
          <w:color w:val="32406B"/>
        </w:rPr>
        <w:t>Delivery of the shares of common stock is expected to be made on or about November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237490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i w:val="1"/>
          <w:iCs w:val="1"/>
          <w:color w:val="32406B"/>
        </w:rPr>
        <w:t>The date of this prospectus supplement is November 19, 2020</w:t>
      </w:r>
    </w:p>
    <w:p>
      <w:pPr>
        <w:sectPr>
          <w:pgSz w:w="11900" w:h="16838" w:orient="portrait"/>
          <w:cols w:equalWidth="0" w:num="1">
            <w:col w:w="11240"/>
          </w:cols>
          <w:pgMar w:left="320" w:top="230" w:right="339" w:bottom="1440" w:gutter="0" w:footer="0" w:header="0"/>
        </w:sectPr>
      </w:pP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i w:val="1"/>
          <w:iCs w:val="1"/>
          <w:color w:val="32406B"/>
        </w:rPr>
        <w:t>MORGAN STANLEY</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6"/>
          <w:szCs w:val="16"/>
          <w:i w:val="1"/>
          <w:iCs w:val="1"/>
          <w:color w:val="32406B"/>
        </w:rPr>
        <w:t>COWEN</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ind w:left="480"/>
        <w:spacing w:after="0"/>
        <w:rPr>
          <w:sz w:val="20"/>
          <w:szCs w:val="20"/>
          <w:color w:val="auto"/>
        </w:rPr>
      </w:pPr>
      <w:r>
        <w:rPr>
          <w:rFonts w:ascii="Arial" w:cs="Arial" w:eastAsia="Arial" w:hAnsi="Arial"/>
          <w:sz w:val="16"/>
          <w:szCs w:val="16"/>
          <w:i w:val="1"/>
          <w:iCs w:val="1"/>
          <w:color w:val="32406B"/>
        </w:rPr>
        <w:t>WELLS FARGO SECURITIES</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i w:val="1"/>
          <w:iCs w:val="1"/>
          <w:color w:val="32406B"/>
        </w:rPr>
        <w:t>WEDBUSH PACGROW</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5"/>
          <w:szCs w:val="15"/>
          <w:i w:val="1"/>
          <w:iCs w:val="1"/>
          <w:color w:val="32406B"/>
        </w:rPr>
        <w:t>BARCLAYS</w:t>
      </w:r>
    </w:p>
    <w:p>
      <w:pPr>
        <w:sectPr>
          <w:pgSz w:w="11900" w:h="16838" w:orient="portrait"/>
          <w:cols w:equalWidth="0" w:num="4">
            <w:col w:w="2640" w:space="720"/>
            <w:col w:w="680" w:space="720"/>
            <w:col w:w="4280" w:space="720"/>
            <w:col w:w="148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32406B"/>
        </w:rPr>
        <w:t>TABLE OF CONTENTS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32406B"/>
        </w:rPr>
        <w:t>PROSPECTUS SUPPLEMENT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32406B"/>
              </w:rPr>
              <w:t>Page</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S-1</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CAUTIONARY STATEMENT REGARDING FORWARD-LOOKING STATEMENTS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S-2</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SUPPLEMENT SUMMARY</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S-4</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COMPANY OVERVIEW</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S-4</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RECENT DEVELOPMENTS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S-4</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COMPANY INFORMATION</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S-27</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IMPLICATIONS OF BEING AN EMERGING GROWTH COMPANY</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S-29</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THE OFFERING</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S-30</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S-32</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USE OF PROCEEDS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S-38</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MARKET FOR COMMON STOCK</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S-39</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DIVIDEND POLICY</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S-40</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CAPITALIZATION</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S-41</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DILUTION</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S-43</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UNDERWRITING</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S-45</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MATERIAL U.S. FEDERAL INCOME TAX CONSIDERATIONS FOR NON-U.S. HOLDERS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S-52</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LEGAL MATTERS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S-56</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EXPERTS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S-56</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WHERE YOU CAN FIND MORE INFORMATION</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S-56</w:t>
            </w:r>
          </w:p>
        </w:tc>
      </w:tr>
      <w:tr>
        <w:trPr>
          <w:trHeight w:val="230"/>
        </w:trPr>
        <w:tc>
          <w:tcPr>
            <w:tcW w:w="890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INCORPORATION BY REFERENCE</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S-56</w:t>
            </w:r>
          </w:p>
        </w:tc>
      </w:tr>
      <w:tr>
        <w:trPr>
          <w:trHeight w:val="648"/>
        </w:trPr>
        <w:tc>
          <w:tcPr>
            <w:tcW w:w="8900" w:type="dxa"/>
            <w:vAlign w:val="bottom"/>
          </w:tcPr>
          <w:p>
            <w:pPr>
              <w:ind w:left="5020"/>
              <w:spacing w:after="0"/>
              <w:rPr>
                <w:sz w:val="20"/>
                <w:szCs w:val="20"/>
                <w:color w:val="auto"/>
              </w:rPr>
            </w:pPr>
            <w:r>
              <w:rPr>
                <w:rFonts w:ascii="Arial" w:cs="Arial" w:eastAsia="Arial" w:hAnsi="Arial"/>
                <w:sz w:val="18"/>
                <w:szCs w:val="18"/>
                <w:b w:val="1"/>
                <w:bCs w:val="1"/>
                <w:color w:val="32406B"/>
              </w:rPr>
              <w:t>PROSPECTUS</w:t>
            </w:r>
          </w:p>
        </w:tc>
        <w:tc>
          <w:tcPr>
            <w:tcW w:w="2280" w:type="dxa"/>
            <w:vAlign w:val="bottom"/>
          </w:tcPr>
          <w:p>
            <w:pPr>
              <w:spacing w:after="0"/>
              <w:rPr>
                <w:sz w:val="24"/>
                <w:szCs w:val="24"/>
                <w:color w:val="auto"/>
              </w:rPr>
            </w:pPr>
          </w:p>
        </w:tc>
      </w:tr>
      <w:tr>
        <w:trPr>
          <w:trHeight w:val="377"/>
        </w:trPr>
        <w:tc>
          <w:tcPr>
            <w:tcW w:w="89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32406B"/>
              </w:rPr>
              <w:t>Page</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ABOUT THIS PROSPECTUS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1</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RISK FACTORS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2</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CAUTIONARY STATEMENT REGARDING FORWARD-LOOKING STATEMENTS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3</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THE COMPANY</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5</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USE OF PROCEEDS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8</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SECURITIES WE MAY OFFER</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9</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DESCRIPTION OF CAPITAL STOCK</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10</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DESCRIPTION OF DEBT SECURITIES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16</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DESCRIPTION OF WARRANTS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24</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DESCRIPTION OF UNITS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25</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PLAN OF DISTRIBUTION</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28</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LEGAL MATTERS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31</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EXPERTS</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31</w:t>
            </w:r>
          </w:p>
        </w:tc>
      </w:tr>
      <w:tr>
        <w:trPr>
          <w:trHeight w:val="216"/>
        </w:trPr>
        <w:tc>
          <w:tcPr>
            <w:tcW w:w="890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WHERE YOU CAN FIND MORE INFORMATION</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31</w:t>
            </w:r>
          </w:p>
        </w:tc>
      </w:tr>
      <w:tr>
        <w:trPr>
          <w:trHeight w:val="230"/>
        </w:trPr>
        <w:tc>
          <w:tcPr>
            <w:tcW w:w="890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INCORPORATION BY REFERENCE</w:t>
              </w:r>
            </w:hyperlink>
          </w:p>
        </w:tc>
        <w:tc>
          <w:tcPr>
            <w:tcW w:w="2280" w:type="dxa"/>
            <w:vAlign w:val="bottom"/>
          </w:tcPr>
          <w:p>
            <w:pPr>
              <w:jc w:val="right"/>
              <w:spacing w:after="0"/>
              <w:rPr>
                <w:sz w:val="20"/>
                <w:szCs w:val="20"/>
                <w:color w:val="auto"/>
              </w:rPr>
            </w:pPr>
            <w:r>
              <w:rPr>
                <w:rFonts w:ascii="Arial" w:cs="Arial" w:eastAsia="Arial" w:hAnsi="Arial"/>
                <w:sz w:val="18"/>
                <w:szCs w:val="18"/>
                <w:color w:val="32406B"/>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231140</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32406B"/>
        </w:rPr>
        <w:t>AVROBIO, Inc. and other trademarks or service marks of AVROBIO, Inc. appearing in this prospectus supplement and the accompanying prospectus are the property of AVROBIO, Inc. This prospectus supplement and the accompanying prospectus may refer to brand names, trademarks, service marks or trade names of other companies and organizations, and those brand names, trademarks, service marks and trade names are the property of their respective holders.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32406B"/>
        </w:rPr>
        <w:t>i</w:t>
      </w:r>
    </w:p>
    <w:p>
      <w:pPr>
        <w:sectPr>
          <w:pgSz w:w="11900" w:h="16838" w:orient="portrait"/>
          <w:cols w:equalWidth="0" w:num="1">
            <w:col w:w="11180"/>
          </w:cols>
          <w:pgMar w:left="320" w:top="459"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2406B"/>
        </w:rPr>
        <w:t>ABOUT THIS PROSPECTUS SUPPLEMENT</w:t>
      </w:r>
    </w:p>
    <w:p>
      <w:pPr>
        <w:spacing w:after="0" w:line="229"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32406B"/>
        </w:rPr>
        <w:t>This document is in two parts. The first part is this prospectus supplement, which describes the specific terms of this offering of common stock.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w:t>
      </w:r>
    </w:p>
    <w:p>
      <w:pPr>
        <w:spacing w:after="0" w:line="164"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32406B"/>
        </w:rPr>
        <w:t>This prospectus supplement is part of a registration statement that we filed with the Securities and Exchange Commission, or SEC, using a “shelf” registration process. Under the shelf registration process, we may from time to time offer and sell any combination of the securities described in the accompanying prospectus up to a total dollar amount of $250.0 million, of which this offering is a part.</w:t>
      </w:r>
    </w:p>
    <w:p>
      <w:pPr>
        <w:spacing w:after="0" w:line="180" w:lineRule="exact"/>
        <w:rPr>
          <w:sz w:val="20"/>
          <w:szCs w:val="20"/>
          <w:color w:val="auto"/>
        </w:rPr>
      </w:pPr>
    </w:p>
    <w:p>
      <w:pPr>
        <w:ind w:right="120" w:firstLine="449"/>
        <w:spacing w:after="0" w:line="269" w:lineRule="auto"/>
        <w:rPr>
          <w:sz w:val="20"/>
          <w:szCs w:val="20"/>
          <w:color w:val="auto"/>
        </w:rPr>
      </w:pPr>
      <w:r>
        <w:rPr>
          <w:rFonts w:ascii="Arial" w:cs="Arial" w:eastAsia="Arial" w:hAnsi="Arial"/>
          <w:sz w:val="17"/>
          <w:szCs w:val="17"/>
          <w:b w:val="1"/>
          <w:bCs w:val="1"/>
          <w:color w:val="32406B"/>
        </w:rPr>
        <w:t>You should rely only on the information contained or incorporated by reference in this prospectus supplement, the accompanying prospectus and any free writing prospectus prepared by us or on our behalf. We have not, and the underwriters have not, authorized any other person to provide you with information different from that contained in this prospectus supplement and the accompanying prospectus or incorporated by reference in this prospectus supplement and the accompanying prospectus. If anyone provides you with different or inconsistent information, you should not rely on it. We are not, and the underwriters are not, making an offer to sell or soliciting an offer to buy these securities under any circumstance in any jurisdiction where the offer or solicitation is not permitted. You should assume that the information contained in this prospectus supplement, the accompanying prospectus and any free writing prospectus prepared by us or on our behalf is accurate only as of the date of the respective document in which the information appears, and that any information in documents that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p>
    <w:p>
      <w:pPr>
        <w:spacing w:after="0" w:line="18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32406B"/>
        </w:rPr>
        <w:t>It is important for you to read and consider all of the information contained in this prospectus supplement and the accompanying prospectus in making your investment decision. We include cross-references in this prospectus supplement and the accompanying prospectus to captions in these materials where you can find additional related discussions. The table of contents in this prospectus supplement provides the pages on which these captions are located. You should read both this prospectus supplement and the accompanying prospectus, together with the additional information described in the sections entitled “Where You Can Find More Information” and “Incorporation by Reference” of this prospectus supplement, before investing in our common stock.</w:t>
      </w:r>
    </w:p>
    <w:p>
      <w:pPr>
        <w:spacing w:after="0" w:line="19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32406B"/>
        </w:rPr>
        <w:t>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2406B"/>
        </w:rPr>
        <w:t>S-1</w:t>
      </w:r>
    </w:p>
    <w:p>
      <w:pPr>
        <w:sectPr>
          <w:pgSz w:w="11900" w:h="16838" w:orient="portrait"/>
          <w:cols w:equalWidth="0" w:num="1">
            <w:col w:w="11200"/>
          </w:cols>
          <w:pgMar w:left="32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CAUTIONARY STATEMENT REGARDING FORWARD-LOOKING STATEMENTS</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32406B"/>
        </w:rPr>
        <w:t>This prospectus supplement and the accompanying prospectus, including the documents that we incorporate by reference, contain forward-looking statements which are made pursuant to the safe harbor provisions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“target,” “contemplates,” “plans,” “anticipates,” “believes,” “estimates,” “predicts,” “projects,” “potential,” “designed to,” or “continue,”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report, and in particular those factors referenced in the section “Risk Factors.”</w:t>
      </w:r>
    </w:p>
    <w:p>
      <w:pPr>
        <w:spacing w:after="0" w:line="181" w:lineRule="exact"/>
        <w:rPr>
          <w:sz w:val="20"/>
          <w:szCs w:val="20"/>
          <w:color w:val="auto"/>
        </w:rPr>
      </w:pPr>
    </w:p>
    <w:p>
      <w:pPr>
        <w:jc w:val="both"/>
        <w:ind w:right="180" w:firstLine="449"/>
        <w:spacing w:after="0" w:line="286" w:lineRule="auto"/>
        <w:rPr>
          <w:sz w:val="20"/>
          <w:szCs w:val="20"/>
          <w:color w:val="auto"/>
        </w:rPr>
      </w:pPr>
      <w:r>
        <w:rPr>
          <w:rFonts w:ascii="Arial" w:cs="Arial" w:eastAsia="Arial" w:hAnsi="Arial"/>
          <w:sz w:val="16"/>
          <w:szCs w:val="16"/>
          <w:color w:val="32406B"/>
        </w:rPr>
        <w:t>This prospectus supplement and the accompanying prospectus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2406B"/>
        </w:rPr>
        <w:t>Forward-looking statements include, but are not limited to, statements about:</w:t>
      </w:r>
    </w:p>
    <w:p>
      <w:pPr>
        <w:spacing w:after="0" w:line="116" w:lineRule="exact"/>
        <w:rPr>
          <w:sz w:val="20"/>
          <w:szCs w:val="20"/>
          <w:color w:val="auto"/>
        </w:rPr>
      </w:pPr>
    </w:p>
    <w:p>
      <w:pPr>
        <w:ind w:left="1000" w:right="240" w:hanging="547"/>
        <w:spacing w:after="0" w:line="263" w:lineRule="auto"/>
        <w:tabs>
          <w:tab w:leader="none" w:pos="10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the impact of the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89" w:lineRule="exact"/>
        <w:rPr>
          <w:rFonts w:ascii="Arial" w:cs="Arial" w:eastAsia="Arial" w:hAnsi="Arial"/>
          <w:sz w:val="18"/>
          <w:szCs w:val="18"/>
          <w:color w:val="32406B"/>
        </w:rPr>
      </w:pPr>
    </w:p>
    <w:p>
      <w:pPr>
        <w:ind w:left="1000" w:right="180" w:hanging="547"/>
        <w:spacing w:after="0" w:line="263" w:lineRule="auto"/>
        <w:tabs>
          <w:tab w:leader="none" w:pos="10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9" w:lineRule="exact"/>
        <w:rPr>
          <w:rFonts w:ascii="Arial" w:cs="Arial" w:eastAsia="Arial" w:hAnsi="Arial"/>
          <w:sz w:val="18"/>
          <w:szCs w:val="18"/>
          <w:color w:val="32406B"/>
        </w:rPr>
      </w:pPr>
    </w:p>
    <w:p>
      <w:pPr>
        <w:ind w:left="1000" w:right="280" w:hanging="547"/>
        <w:spacing w:after="0" w:line="342" w:lineRule="auto"/>
        <w:tabs>
          <w:tab w:leader="none" w:pos="1000" w:val="left"/>
        </w:tabs>
        <w:numPr>
          <w:ilvl w:val="0"/>
          <w:numId w:val="2"/>
        </w:numPr>
        <w:rPr>
          <w:rFonts w:ascii="Arial" w:cs="Arial" w:eastAsia="Arial" w:hAnsi="Arial"/>
          <w:sz w:val="16"/>
          <w:szCs w:val="16"/>
          <w:color w:val="32406B"/>
        </w:rPr>
      </w:pPr>
      <w:r>
        <w:rPr>
          <w:rFonts w:ascii="Arial" w:cs="Arial" w:eastAsia="Arial" w:hAnsi="Arial"/>
          <w:sz w:val="16"/>
          <w:szCs w:val="16"/>
          <w:color w:val="32406B"/>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9" w:lineRule="exact"/>
        <w:rPr>
          <w:rFonts w:ascii="Arial" w:cs="Arial" w:eastAsia="Arial" w:hAnsi="Arial"/>
          <w:sz w:val="16"/>
          <w:szCs w:val="16"/>
          <w:color w:val="32406B"/>
        </w:rPr>
      </w:pPr>
    </w:p>
    <w:p>
      <w:pPr>
        <w:ind w:left="1000" w:hanging="547"/>
        <w:spacing w:after="0"/>
        <w:tabs>
          <w:tab w:leader="none" w:pos="10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the durability of effects from our product candidates;</w:t>
      </w:r>
    </w:p>
    <w:p>
      <w:pPr>
        <w:spacing w:after="0" w:line="130" w:lineRule="exact"/>
        <w:rPr>
          <w:rFonts w:ascii="Arial" w:cs="Arial" w:eastAsia="Arial" w:hAnsi="Arial"/>
          <w:sz w:val="18"/>
          <w:szCs w:val="18"/>
          <w:color w:val="32406B"/>
        </w:rPr>
      </w:pPr>
    </w:p>
    <w:p>
      <w:pPr>
        <w:ind w:left="1000" w:right="40" w:hanging="547"/>
        <w:spacing w:after="0" w:line="263" w:lineRule="auto"/>
        <w:tabs>
          <w:tab w:leader="none" w:pos="10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the timing, scope or likelihood of regulatory filings, approvals or anticipated regulatory interactions, including our ability to secure a meeting with the U.S. Food and Drug Administration (“FDA”) and submit a briefing book for a potential accelerated approval strategy for our investigational gene therapy AVR-RD-01 in Fabry disease;</w:t>
      </w:r>
    </w:p>
    <w:p>
      <w:pPr>
        <w:spacing w:after="0" w:line="89" w:lineRule="exact"/>
        <w:rPr>
          <w:rFonts w:ascii="Arial" w:cs="Arial" w:eastAsia="Arial" w:hAnsi="Arial"/>
          <w:sz w:val="18"/>
          <w:szCs w:val="18"/>
          <w:color w:val="32406B"/>
        </w:rPr>
      </w:pPr>
    </w:p>
    <w:p>
      <w:pPr>
        <w:ind w:left="1000" w:hanging="547"/>
        <w:spacing w:after="0"/>
        <w:tabs>
          <w:tab w:leader="none" w:pos="10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our ability to develop and advance product candidates into, and successfully complete, clinical studies;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2"/>
        </w:numPr>
        <w:rPr>
          <w:rFonts w:ascii="Arial" w:cs="Arial" w:eastAsia="Arial" w:hAnsi="Arial"/>
          <w:sz w:val="17"/>
          <w:szCs w:val="17"/>
          <w:color w:val="32406B"/>
        </w:rPr>
      </w:pPr>
      <w:r>
        <w:rPr>
          <w:rFonts w:ascii="Arial" w:cs="Arial" w:eastAsia="Arial" w:hAnsi="Arial"/>
          <w:sz w:val="17"/>
          <w:szCs w:val="17"/>
          <w:color w:val="32406B"/>
        </w:rPr>
        <w:t>the implementation of our business model and our strategic plans for our business, product candidates, technology and plato</w:t>
      </w:r>
      <w:r>
        <w:rPr>
          <w:rFonts w:ascii="Arial" w:cs="Arial" w:eastAsia="Arial" w:hAnsi="Arial"/>
          <w:sz w:val="14"/>
          <w:szCs w:val="14"/>
          <w:color w:val="32406B"/>
        </w:rPr>
        <w:t>®</w:t>
      </w:r>
      <w:r>
        <w:rPr>
          <w:rFonts w:ascii="Arial" w:cs="Arial" w:eastAsia="Arial" w:hAnsi="Arial"/>
          <w:sz w:val="17"/>
          <w:szCs w:val="17"/>
          <w:color w:val="32406B"/>
        </w:rPr>
        <w:t xml:space="preserve"> platform;</w:t>
      </w:r>
    </w:p>
    <w:p>
      <w:pPr>
        <w:spacing w:after="0" w:line="142" w:lineRule="exact"/>
        <w:rPr>
          <w:rFonts w:ascii="Arial" w:cs="Arial" w:eastAsia="Arial" w:hAnsi="Arial"/>
          <w:sz w:val="17"/>
          <w:szCs w:val="17"/>
          <w:color w:val="32406B"/>
        </w:rPr>
      </w:pPr>
    </w:p>
    <w:p>
      <w:pPr>
        <w:ind w:left="1000" w:hanging="547"/>
        <w:spacing w:after="0"/>
        <w:tabs>
          <w:tab w:leader="none" w:pos="10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our commercialization, marketing and manufacturing capabilities and strategy;</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the pricing and reimbursement of our product candidates, if approved;</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2"/>
        </w:numPr>
        <w:rPr>
          <w:rFonts w:ascii="Arial" w:cs="Arial" w:eastAsia="Arial" w:hAnsi="Arial"/>
          <w:sz w:val="16"/>
          <w:szCs w:val="16"/>
          <w:color w:val="32406B"/>
        </w:rPr>
      </w:pPr>
      <w:r>
        <w:rPr>
          <w:rFonts w:ascii="Arial" w:cs="Arial" w:eastAsia="Arial" w:hAnsi="Arial"/>
          <w:sz w:val="16"/>
          <w:szCs w:val="16"/>
          <w:color w:val="32406B"/>
        </w:rPr>
        <w:t>the scalability and commercial viability of our manufacturing methods and processes, including our move to a closed, automated system;</w:t>
      </w:r>
    </w:p>
    <w:p>
      <w:pPr>
        <w:spacing w:after="0" w:line="153" w:lineRule="exact"/>
        <w:rPr>
          <w:rFonts w:ascii="Arial" w:cs="Arial" w:eastAsia="Arial" w:hAnsi="Arial"/>
          <w:sz w:val="16"/>
          <w:szCs w:val="16"/>
          <w:color w:val="32406B"/>
        </w:rPr>
      </w:pPr>
    </w:p>
    <w:p>
      <w:pPr>
        <w:ind w:left="1000" w:hanging="547"/>
        <w:spacing w:after="0"/>
        <w:tabs>
          <w:tab w:leader="none" w:pos="1000" w:val="left"/>
        </w:tabs>
        <w:numPr>
          <w:ilvl w:val="0"/>
          <w:numId w:val="2"/>
        </w:numPr>
        <w:rPr>
          <w:rFonts w:ascii="Arial" w:cs="Arial" w:eastAsia="Arial" w:hAnsi="Arial"/>
          <w:sz w:val="17"/>
          <w:szCs w:val="17"/>
          <w:color w:val="32406B"/>
        </w:rPr>
      </w:pPr>
      <w:r>
        <w:rPr>
          <w:rFonts w:ascii="Arial" w:cs="Arial" w:eastAsia="Arial" w:hAnsi="Arial"/>
          <w:sz w:val="17"/>
          <w:szCs w:val="17"/>
          <w:color w:val="32406B"/>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32406B"/>
        </w:rPr>
      </w:pPr>
    </w:p>
    <w:p>
      <w:pPr>
        <w:ind w:left="1000" w:hanging="547"/>
        <w:spacing w:after="0"/>
        <w:tabs>
          <w:tab w:leader="none" w:pos="10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our ability to establish or maintain collaborations or strategic relationships or obtain additional funding;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S-2</w:t>
      </w:r>
    </w:p>
    <w:p>
      <w:pPr>
        <w:sectPr>
          <w:pgSz w:w="11900" w:h="16838" w:orient="portrait"/>
          <w:cols w:equalWidth="0" w:num="1">
            <w:col w:w="11220"/>
          </w:cols>
          <w:pgMar w:left="32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our competitive position;</w:t>
      </w:r>
    </w:p>
    <w:p>
      <w:pPr>
        <w:spacing w:after="0" w:line="130" w:lineRule="exact"/>
        <w:rPr>
          <w:rFonts w:ascii="Arial" w:cs="Arial" w:eastAsia="Arial" w:hAnsi="Arial"/>
          <w:sz w:val="18"/>
          <w:szCs w:val="18"/>
          <w:color w:val="32406B"/>
        </w:rPr>
      </w:pPr>
    </w:p>
    <w:p>
      <w:pPr>
        <w:ind w:left="1000" w:right="280" w:hanging="547"/>
        <w:spacing w:after="0" w:line="263" w:lineRule="auto"/>
        <w:tabs>
          <w:tab w:leader="none" w:pos="10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89" w:lineRule="exact"/>
        <w:rPr>
          <w:rFonts w:ascii="Arial" w:cs="Arial" w:eastAsia="Arial" w:hAnsi="Arial"/>
          <w:sz w:val="18"/>
          <w:szCs w:val="18"/>
          <w:color w:val="32406B"/>
        </w:rPr>
      </w:pPr>
    </w:p>
    <w:p>
      <w:pPr>
        <w:ind w:left="1000" w:hanging="547"/>
        <w:spacing w:after="0"/>
        <w:tabs>
          <w:tab w:leader="none" w:pos="10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our financial performance;</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our ability to retain the continued service of our key professionals and to identify, hire and retain additional qualified professionals;</w:t>
      </w:r>
    </w:p>
    <w:p>
      <w:pPr>
        <w:spacing w:after="0" w:line="142" w:lineRule="exact"/>
        <w:rPr>
          <w:rFonts w:ascii="Arial" w:cs="Arial" w:eastAsia="Arial" w:hAnsi="Arial"/>
          <w:sz w:val="17"/>
          <w:szCs w:val="17"/>
          <w:color w:val="32406B"/>
        </w:rPr>
      </w:pPr>
    </w:p>
    <w:p>
      <w:pPr>
        <w:ind w:left="1000" w:hanging="547"/>
        <w:spacing w:after="0"/>
        <w:tabs>
          <w:tab w:leader="none" w:pos="10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developments and projections relating to our competitors and our industry;</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our expectations related to the use of our cash reserves;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our expectations related to the use of proceeds from this offering;</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our estimates regarding expenses, future revenue, capital requirements and needs for additional financing;</w:t>
      </w:r>
    </w:p>
    <w:p>
      <w:pPr>
        <w:spacing w:after="0" w:line="130" w:lineRule="exact"/>
        <w:rPr>
          <w:rFonts w:ascii="Arial" w:cs="Arial" w:eastAsia="Arial" w:hAnsi="Arial"/>
          <w:sz w:val="18"/>
          <w:szCs w:val="18"/>
          <w:color w:val="32406B"/>
        </w:rPr>
      </w:pPr>
    </w:p>
    <w:p>
      <w:pPr>
        <w:ind w:left="1000" w:right="360" w:hanging="547"/>
        <w:spacing w:after="0" w:line="277" w:lineRule="auto"/>
        <w:tabs>
          <w:tab w:leader="none" w:pos="10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our ability to remediate the material weaknesses that we and our independent registered public accounting firm previously identified and avoid any findings of material weaknesses or significant deficiencies in the future;</w:t>
      </w:r>
    </w:p>
    <w:p>
      <w:pPr>
        <w:spacing w:after="0" w:line="75" w:lineRule="exact"/>
        <w:rPr>
          <w:rFonts w:ascii="Arial" w:cs="Arial" w:eastAsia="Arial" w:hAnsi="Arial"/>
          <w:sz w:val="18"/>
          <w:szCs w:val="18"/>
          <w:color w:val="32406B"/>
        </w:rPr>
      </w:pPr>
    </w:p>
    <w:p>
      <w:pPr>
        <w:ind w:left="1000" w:hanging="547"/>
        <w:spacing w:after="0"/>
        <w:tabs>
          <w:tab w:leader="none" w:pos="10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the impact of laws and regulations, including without limitation recently enacted tax reform legislation;</w:t>
      </w:r>
    </w:p>
    <w:p>
      <w:pPr>
        <w:spacing w:after="0" w:line="130" w:lineRule="exact"/>
        <w:rPr>
          <w:rFonts w:ascii="Arial" w:cs="Arial" w:eastAsia="Arial" w:hAnsi="Arial"/>
          <w:sz w:val="18"/>
          <w:szCs w:val="18"/>
          <w:color w:val="32406B"/>
        </w:rPr>
      </w:pPr>
    </w:p>
    <w:p>
      <w:pPr>
        <w:ind w:left="1000" w:right="320" w:hanging="547"/>
        <w:spacing w:after="0" w:line="277" w:lineRule="auto"/>
        <w:tabs>
          <w:tab w:leader="none" w:pos="10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our expectations regarding the time during which we are an emerging growth company under the Jumpstart Our Business Startups Act of 2012, as amended, or the JOBS Act; and</w:t>
      </w:r>
    </w:p>
    <w:p>
      <w:pPr>
        <w:spacing w:after="0" w:line="75" w:lineRule="exact"/>
        <w:rPr>
          <w:rFonts w:ascii="Arial" w:cs="Arial" w:eastAsia="Arial" w:hAnsi="Arial"/>
          <w:sz w:val="18"/>
          <w:szCs w:val="18"/>
          <w:color w:val="32406B"/>
        </w:rPr>
      </w:pPr>
    </w:p>
    <w:p>
      <w:pPr>
        <w:ind w:left="1000" w:hanging="547"/>
        <w:spacing w:after="0"/>
        <w:tabs>
          <w:tab w:leader="none" w:pos="10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other risks and uncertainties, including those listed under the caption “Risk Factors”.</w:t>
      </w:r>
    </w:p>
    <w:p>
      <w:pPr>
        <w:spacing w:after="0" w:line="22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32406B"/>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95"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32406B"/>
        </w:rPr>
        <w:t>You should read this prospectus supplement, the accompanying prospectus and the documents that we incorporate by reference herein or therein completely and with the understanding that our actual future results may be materially different from what we expect. The forward-looking statements in this prospectus supplement, the accompanying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2406B"/>
        </w:rPr>
        <w:t>S-3</w:t>
      </w:r>
    </w:p>
    <w:p>
      <w:pPr>
        <w:sectPr>
          <w:pgSz w:w="11900" w:h="16838" w:orient="portrait"/>
          <w:cols w:equalWidth="0" w:num="1">
            <w:col w:w="11200"/>
          </w:cols>
          <w:pgMar w:left="320" w:top="45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79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PROSPECTUS SUPPLEMENT SUMMARY</w:t>
      </w:r>
    </w:p>
    <w:p>
      <w:pPr>
        <w:spacing w:after="0" w:line="229" w:lineRule="exact"/>
        <w:rPr>
          <w:sz w:val="20"/>
          <w:szCs w:val="20"/>
          <w:color w:val="auto"/>
        </w:rPr>
      </w:pPr>
    </w:p>
    <w:p>
      <w:pPr>
        <w:ind w:left="200" w:right="20" w:firstLine="434"/>
        <w:spacing w:after="0" w:line="270" w:lineRule="auto"/>
        <w:rPr>
          <w:rFonts w:ascii="Arial" w:cs="Arial" w:eastAsia="Arial" w:hAnsi="Arial"/>
          <w:sz w:val="17"/>
          <w:szCs w:val="17"/>
          <w:i w:val="1"/>
          <w:iCs w:val="1"/>
          <w:color w:val="32406B"/>
        </w:rPr>
      </w:pPr>
      <w:r>
        <w:rPr>
          <w:rFonts w:ascii="Arial" w:cs="Arial" w:eastAsia="Arial" w:hAnsi="Arial"/>
          <w:sz w:val="17"/>
          <w:szCs w:val="17"/>
          <w:i w:val="1"/>
          <w:iCs w:val="1"/>
          <w:color w:val="32406B"/>
        </w:rPr>
        <w:t>This summary provides an overview of selected information contained elsewhere in this prospectus supplement and the accompanying prospectus and does not contain all of the information you should consider before making your investment decision. Before investing in our common stock, you should carefully read this entire prospectus supplement and the accompanying prospectus and the information incorporated herein and therein by reference, including our financial statements and the related notes included or incorporated by reference into this prospectus supplement and the accompanying prospectus. You should also consider, among other things, the matters described under “</w:t>
      </w:r>
      <w:hyperlink w:anchor="page34">
        <w:r>
          <w:rPr>
            <w:rFonts w:ascii="Arial" w:cs="Arial" w:eastAsia="Arial" w:hAnsi="Arial"/>
            <w:sz w:val="17"/>
            <w:szCs w:val="17"/>
            <w:i w:val="1"/>
            <w:iCs w:val="1"/>
            <w:u w:val="single" w:color="auto"/>
            <w:color w:val="0000EE"/>
          </w:rPr>
          <w:t>Risk Factors</w:t>
        </w:r>
      </w:hyperlink>
      <w:r>
        <w:rPr>
          <w:rFonts w:ascii="Arial" w:cs="Arial" w:eastAsia="Arial" w:hAnsi="Arial"/>
          <w:sz w:val="17"/>
          <w:szCs w:val="17"/>
          <w:i w:val="1"/>
          <w:iCs w:val="1"/>
          <w:color w:val="32406B"/>
        </w:rPr>
        <w:t>” beginning on page S-32 and “Management’s Discussion and Analysis of Financial Condition and Results of Operations” in each case included or incorporated by reference in this prospectus supplement and the accompanying prospectus and the information incorporated herein and therein by reference. As used in this prospectus supplement and the accompanying prospectus, the terms “AVROBIO,” “we,” “our,” “us,” or “the Company” refer to AVROBIO, Inc. and its subsidiaries on a consolidated basis, unless the context otherwise indicates.</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COMPANY OVERVIEW</w:t>
      </w:r>
    </w:p>
    <w:p>
      <w:pPr>
        <w:spacing w:after="0" w:line="229" w:lineRule="exact"/>
        <w:rPr>
          <w:sz w:val="20"/>
          <w:szCs w:val="20"/>
          <w:color w:val="auto"/>
        </w:rPr>
      </w:pPr>
    </w:p>
    <w:p>
      <w:pPr>
        <w:ind w:left="200" w:firstLine="434"/>
        <w:spacing w:after="0" w:line="290" w:lineRule="auto"/>
        <w:rPr>
          <w:sz w:val="20"/>
          <w:szCs w:val="20"/>
          <w:color w:val="auto"/>
        </w:rPr>
      </w:pPr>
      <w:r>
        <w:rPr>
          <w:rFonts w:ascii="Arial" w:cs="Arial" w:eastAsia="Arial" w:hAnsi="Arial"/>
          <w:sz w:val="16"/>
          <w:szCs w:val="16"/>
          <w:color w:val="32406B"/>
        </w:rPr>
        <w:t xml:space="preserve">We are a leading clinical-stage gene therapy company with a mission to free people from a lifetime of genetic disease. Our Company is focused on developing potentially curative </w:t>
      </w:r>
      <w:r>
        <w:rPr>
          <w:rFonts w:ascii="Arial" w:cs="Arial" w:eastAsia="Arial" w:hAnsi="Arial"/>
          <w:sz w:val="16"/>
          <w:szCs w:val="16"/>
          <w:i w:val="1"/>
          <w:iCs w:val="1"/>
          <w:color w:val="32406B"/>
        </w:rPr>
        <w:t>ex vivo</w:t>
      </w:r>
      <w:r>
        <w:rPr>
          <w:rFonts w:ascii="Arial" w:cs="Arial" w:eastAsia="Arial" w:hAnsi="Arial"/>
          <w:sz w:val="16"/>
          <w:szCs w:val="16"/>
          <w:color w:val="32406B"/>
        </w:rPr>
        <w:t xml:space="preserve"> lentiviral-based gene therapies to treat patients with rare diseases following a single dose treatment regimen. Our investigational gene therapies employ hematopoietic stem cells that are harvested from the patient and then modified with a lentiviral vector to insert the equivalent of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diseases, some of which today are primarily managed with enzyme replacement therapies, or ERTs. These lysosomal diseases have well-understood biologies, identified patient populations, established standards of care yet with significant unmet needs, and represent large market opportunities with approximately $4.6 billion in worldwide net sales in 2019.</w:t>
      </w: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RECENT DEVELOPMENTS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AVR-RD-01 for Fabry disease</w:t>
      </w:r>
    </w:p>
    <w:p>
      <w:pPr>
        <w:spacing w:after="0" w:line="121" w:lineRule="exact"/>
        <w:rPr>
          <w:sz w:val="20"/>
          <w:szCs w:val="20"/>
          <w:color w:val="auto"/>
        </w:rPr>
      </w:pPr>
    </w:p>
    <w:p>
      <w:pPr>
        <w:ind w:left="200" w:right="80" w:firstLine="434"/>
        <w:spacing w:after="0" w:line="288" w:lineRule="auto"/>
        <w:rPr>
          <w:sz w:val="20"/>
          <w:szCs w:val="20"/>
          <w:color w:val="auto"/>
        </w:rPr>
      </w:pPr>
      <w:r>
        <w:rPr>
          <w:rFonts w:ascii="Arial" w:cs="Arial" w:eastAsia="Arial" w:hAnsi="Arial"/>
          <w:sz w:val="16"/>
          <w:szCs w:val="16"/>
          <w:color w:val="32406B"/>
        </w:rPr>
        <w:t>In November 2020, we announced data from clinical trials of our investigational gene therapy AVR-RD-01 in Fabry disease. AVR-RD-01 is currently being studied in two ongoing clinical trials. A Phase 1 investigator-sponsored clinical trial of AVR-RD-01 is being conducted by the University Health Network, or UHN, and sponsored by Fabry Disease Clinical Research and Therapeutics, or FACTs, at three centers in Canada. A total of five male patients with Fabry disease who have been previously treated with ERT for at least six months have been enrolled and enrollment is complete. In addition, we are sponsoring a Phase 2 open-label, multinational clinical trial of AVR-RD-01, with expected enrollment of eight to 12 male patients with classic Fabry disease, 16 to 50 years old, who have not been treated with ERT within 10 years prior to enrollment or chaperone therapy at any time. Four patients in Australia have enrolled in this Phase 2 clinical trial, and we currently have the necessary regulatory clearances to expand enrollment to sites in Canada and the United States. We are actively recruiting potential patients for our sites in Australia, Canada and the United States. The Phase 1 and Phase 2 clinical trials of AVR-RD-01 remain ongoing and the results presented below are preliminary and may not be representative of later results. The data cut-off date for the results below was November 3, 2020, unless otherwise specified.</w:t>
      </w:r>
    </w:p>
    <w:p>
      <w:pPr>
        <w:spacing w:after="0" w:line="168" w:lineRule="exact"/>
        <w:rPr>
          <w:sz w:val="20"/>
          <w:szCs w:val="20"/>
          <w:color w:val="auto"/>
        </w:rPr>
      </w:pPr>
    </w:p>
    <w:p>
      <w:pPr>
        <w:ind w:left="200" w:right="100" w:firstLine="434"/>
        <w:spacing w:after="0" w:line="277" w:lineRule="auto"/>
        <w:rPr>
          <w:sz w:val="20"/>
          <w:szCs w:val="20"/>
          <w:color w:val="auto"/>
        </w:rPr>
      </w:pPr>
      <w:r>
        <w:rPr>
          <w:rFonts w:ascii="Arial" w:cs="Arial" w:eastAsia="Arial" w:hAnsi="Arial"/>
          <w:sz w:val="18"/>
          <w:szCs w:val="18"/>
          <w:color w:val="32406B"/>
        </w:rPr>
        <w:t>The primary efficacy endpoint of our Phase 2 clinical trial is the change from baseline in the average number of globotriaosylceramide, or Gb3, inclusions per peritubular capillary, or PTC, as measured in a patient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S-4</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73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51733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32406B"/>
        </w:rPr>
        <w:t>kidney biopsy one year (48 weeks) after treatment with AVR-RD-01. In addition to safety, the Phase 2 and Phase 1 clinical trials are also examining additional secondary efficacy endpoints including biomarkers such as plasma lyso-globotriaosylsphingosine, or lyso-Gb3, alpha-galactosidase A, or AGA, enzyme levels measured in plasma and leukocytes, as well as certain parameters of organ function. In addition, vector copy number, or VCN, is being measured in these trials to assess the potential durability of the gene therapy. Safety and tolerability parameters are also being assessed in these trials.</w:t>
      </w:r>
    </w:p>
    <w:p>
      <w:pPr>
        <w:spacing w:after="0" w:line="89" w:lineRule="exact"/>
        <w:rPr>
          <w:sz w:val="20"/>
          <w:szCs w:val="20"/>
          <w:color w:val="auto"/>
        </w:rPr>
      </w:pPr>
    </w:p>
    <w:p>
      <w:pPr>
        <w:ind w:left="1160" w:right="340" w:hanging="534"/>
        <w:spacing w:after="0" w:line="261" w:lineRule="auto"/>
        <w:tabs>
          <w:tab w:leader="none" w:pos="1160" w:val="left"/>
        </w:tabs>
        <w:numPr>
          <w:ilvl w:val="0"/>
          <w:numId w:val="4"/>
        </w:numPr>
        <w:rPr>
          <w:rFonts w:ascii="Arial" w:cs="Arial" w:eastAsia="Arial" w:hAnsi="Arial"/>
          <w:sz w:val="18"/>
          <w:szCs w:val="18"/>
          <w:color w:val="32406B"/>
        </w:rPr>
      </w:pPr>
      <w:r>
        <w:rPr>
          <w:rFonts w:ascii="Arial" w:cs="Arial" w:eastAsia="Arial" w:hAnsi="Arial"/>
          <w:sz w:val="18"/>
          <w:szCs w:val="18"/>
          <w:b w:val="1"/>
          <w:bCs w:val="1"/>
          <w:color w:val="32406B"/>
        </w:rPr>
        <w:t xml:space="preserve">Kidney biopsy / Gb3 PTC reductions. </w:t>
      </w:r>
      <w:r>
        <w:rPr>
          <w:rFonts w:ascii="Arial" w:cs="Arial" w:eastAsia="Arial" w:hAnsi="Arial"/>
          <w:sz w:val="18"/>
          <w:szCs w:val="18"/>
          <w:color w:val="32406B"/>
        </w:rPr>
        <w:t>Gb3, also referred to as GL-3, is a type of fatty substrate that builds in the cells of Fabry</w:t>
      </w:r>
      <w:r>
        <w:rPr>
          <w:rFonts w:ascii="Arial" w:cs="Arial" w:eastAsia="Arial" w:hAnsi="Arial"/>
          <w:sz w:val="18"/>
          <w:szCs w:val="18"/>
          <w:b w:val="1"/>
          <w:bCs w:val="1"/>
          <w:color w:val="32406B"/>
        </w:rPr>
        <w:t xml:space="preserve"> </w:t>
      </w:r>
      <w:r>
        <w:rPr>
          <w:rFonts w:ascii="Arial" w:cs="Arial" w:eastAsia="Arial" w:hAnsi="Arial"/>
          <w:sz w:val="18"/>
          <w:szCs w:val="18"/>
          <w:color w:val="32406B"/>
        </w:rPr>
        <w:t>patients, resulting in damage to organs such as kidneys and heart. PTCs, also referred to as kidney interstitial capillaries, or KICs, in Fabry clinical trials, convey blood after filtration in the glomeruli, enabling the blood to eventually exit the kidney and return to the circulatory system.</w:t>
      </w:r>
    </w:p>
    <w:p>
      <w:pPr>
        <w:spacing w:after="0" w:line="184" w:lineRule="exact"/>
        <w:rPr>
          <w:sz w:val="20"/>
          <w:szCs w:val="20"/>
          <w:color w:val="auto"/>
        </w:rPr>
      </w:pPr>
    </w:p>
    <w:p>
      <w:pPr>
        <w:ind w:left="200" w:firstLine="434"/>
        <w:spacing w:after="0" w:line="288" w:lineRule="auto"/>
        <w:rPr>
          <w:sz w:val="20"/>
          <w:szCs w:val="20"/>
          <w:color w:val="auto"/>
        </w:rPr>
      </w:pPr>
      <w:r>
        <w:rPr>
          <w:rFonts w:ascii="Arial" w:cs="Arial" w:eastAsia="Arial" w:hAnsi="Arial"/>
          <w:sz w:val="16"/>
          <w:szCs w:val="16"/>
          <w:color w:val="32406B"/>
        </w:rPr>
        <w:t>In July 2019, we announced that the first patient in our Phase 2 clinical trial exhibited a reduction from an average of 3.55 Gb3 inclusions per PTC at baseline to an average of 0.47 inclusions per PTC one year after administration of AVR-RD-01, representing an 87% reduction and a numerical decrease of 3.08. The second patient in the Phase 2 clinical trial has an N215S genotype, which is associated with a late-onset cardiac variant phenotype. This patient’s cardiac variant phenotype does not typically result in Gb3 accumulation in the kidney, and accordingly this patient’s kidney biopsy had low levels of Gb3 and lyso-Gb3 at all measurements, including at baseline. Although we expect that data obtained from this patient will not provide meaningful insight on the primary efficacy endpoint in our Phase 2 clinical trial, including kidney biopsies, other important efficacy and safety measures continue to be derived from data collected from this patient. A kidney biopsy was conducted on the third patient in the Phase 2 clinical trial, but due to human error in processing the biopsy sample at the external laboratory vendor, the kidney Gb3 inclusions could not be evaluated and will not be available. Our quality assurance personnel have worked closely with the external vendor to identify the cause of the vendor error and to identify additional protocols for implementation by the vendor that are designed to prevent similar errors in the future.</w:t>
      </w:r>
    </w:p>
    <w:p>
      <w:pPr>
        <w:spacing w:after="0" w:line="168" w:lineRule="exact"/>
        <w:rPr>
          <w:sz w:val="20"/>
          <w:szCs w:val="20"/>
          <w:color w:val="auto"/>
        </w:rPr>
      </w:pPr>
    </w:p>
    <w:p>
      <w:pPr>
        <w:ind w:left="200" w:right="180" w:firstLine="434"/>
        <w:spacing w:after="0" w:line="342" w:lineRule="auto"/>
        <w:rPr>
          <w:sz w:val="20"/>
          <w:szCs w:val="20"/>
          <w:color w:val="auto"/>
        </w:rPr>
      </w:pPr>
      <w:r>
        <w:rPr>
          <w:rFonts w:ascii="Arial" w:cs="Arial" w:eastAsia="Arial" w:hAnsi="Arial"/>
          <w:sz w:val="16"/>
          <w:szCs w:val="16"/>
          <w:color w:val="32406B"/>
        </w:rPr>
        <w:t>We expect to receive kidney biopsy data for the fourth patient in the Phase 2 clinical trial, who was dosed using our plato platform, as early as late November 2020. We currently expect to disclose such kidney biopsy data at the upcoming WORLD</w:t>
      </w:r>
      <w:r>
        <w:rPr>
          <w:rFonts w:ascii="Arial" w:cs="Arial" w:eastAsia="Arial" w:hAnsi="Arial"/>
          <w:sz w:val="16"/>
          <w:szCs w:val="16"/>
          <w:i w:val="1"/>
          <w:iCs w:val="1"/>
          <w:color w:val="32406B"/>
        </w:rPr>
        <w:t>Symposium</w:t>
      </w:r>
      <w:r>
        <w:rPr>
          <w:rFonts w:ascii="Arial" w:cs="Arial" w:eastAsia="Arial" w:hAnsi="Arial"/>
          <w:sz w:val="16"/>
          <w:szCs w:val="16"/>
          <w:color w:val="32406B"/>
        </w:rPr>
        <w:t xml:space="preserve"> in February 2021.</w:t>
      </w:r>
    </w:p>
    <w:p>
      <w:pPr>
        <w:spacing w:after="0" w:line="25" w:lineRule="exact"/>
        <w:rPr>
          <w:sz w:val="20"/>
          <w:szCs w:val="20"/>
          <w:color w:val="auto"/>
        </w:rPr>
      </w:pPr>
    </w:p>
    <w:p>
      <w:pPr>
        <w:ind w:left="1160" w:right="20" w:hanging="534"/>
        <w:spacing w:after="0" w:line="314" w:lineRule="auto"/>
        <w:tabs>
          <w:tab w:leader="none" w:pos="1160" w:val="left"/>
        </w:tabs>
        <w:numPr>
          <w:ilvl w:val="0"/>
          <w:numId w:val="5"/>
        </w:numPr>
        <w:rPr>
          <w:rFonts w:ascii="Arial" w:cs="Arial" w:eastAsia="Arial" w:hAnsi="Arial"/>
          <w:sz w:val="16"/>
          <w:szCs w:val="16"/>
          <w:color w:val="32406B"/>
        </w:rPr>
      </w:pPr>
      <w:r>
        <w:rPr>
          <w:rFonts w:ascii="Arial" w:cs="Arial" w:eastAsia="Arial" w:hAnsi="Arial"/>
          <w:sz w:val="16"/>
          <w:szCs w:val="16"/>
          <w:b w:val="1"/>
          <w:bCs w:val="1"/>
          <w:color w:val="32406B"/>
        </w:rPr>
        <w:t xml:space="preserve">Plasma lyso-Gb3 reductions. </w:t>
      </w:r>
      <w:r>
        <w:rPr>
          <w:rFonts w:ascii="Arial" w:cs="Arial" w:eastAsia="Arial" w:hAnsi="Arial"/>
          <w:sz w:val="16"/>
          <w:szCs w:val="16"/>
          <w:color w:val="32406B"/>
        </w:rPr>
        <w:t>The substrate, Gb3, and its toxic metabolite, known as lyso-Gb3, are considered surrogate markers for</w:t>
      </w:r>
      <w:r>
        <w:rPr>
          <w:rFonts w:ascii="Arial" w:cs="Arial" w:eastAsia="Arial" w:hAnsi="Arial"/>
          <w:sz w:val="16"/>
          <w:szCs w:val="16"/>
          <w:b w:val="1"/>
          <w:bCs w:val="1"/>
          <w:color w:val="32406B"/>
        </w:rPr>
        <w:t xml:space="preserve"> </w:t>
      </w:r>
      <w:r>
        <w:rPr>
          <w:rFonts w:ascii="Arial" w:cs="Arial" w:eastAsia="Arial" w:hAnsi="Arial"/>
          <w:sz w:val="16"/>
          <w:szCs w:val="16"/>
          <w:color w:val="32406B"/>
        </w:rPr>
        <w:t>disease activity and treatment response for Fabry disease. In the case of ERT-naïve patients and patients who have discontinued ERT, we believe that reductions in Gb3 levels following treatment with gene therapy are likely driven by the therapeutic effect of gene therapy.</w:t>
      </w:r>
    </w:p>
    <w:p>
      <w:pPr>
        <w:spacing w:after="0" w:line="37" w:lineRule="exact"/>
        <w:rPr>
          <w:rFonts w:ascii="Arial" w:cs="Arial" w:eastAsia="Arial" w:hAnsi="Arial"/>
          <w:sz w:val="16"/>
          <w:szCs w:val="16"/>
          <w:color w:val="32406B"/>
        </w:rPr>
      </w:pPr>
    </w:p>
    <w:p>
      <w:pPr>
        <w:ind w:left="1180" w:right="40"/>
        <w:spacing w:after="0" w:line="271" w:lineRule="auto"/>
        <w:rPr>
          <w:rFonts w:ascii="Arial" w:cs="Arial" w:eastAsia="Arial" w:hAnsi="Arial"/>
          <w:sz w:val="16"/>
          <w:szCs w:val="16"/>
          <w:color w:val="32406B"/>
        </w:rPr>
      </w:pPr>
      <w:r>
        <w:rPr>
          <w:rFonts w:ascii="Arial" w:cs="Arial" w:eastAsia="Arial" w:hAnsi="Arial"/>
          <w:sz w:val="17"/>
          <w:szCs w:val="17"/>
          <w:color w:val="32406B"/>
        </w:rPr>
        <w:t>The first patient in our Phase 2 trial had an 86% reduction in plasma lyso-Gb3 as of 22 months post-treatment with AVR-RD-01, the third patient had a plasma lyso-Gb3 reduction of 49% as of 12 months post-treatment with AVR-RD-01 and the fourth patient had a plasma lyso-Gb3 reduction of 59% as of six months post-treatment with AVR-RD-01. Plasma lyso-Gb3 data are also available for the second patient in the Phase 2 trial, up to 18 months post-treatment with AVR-RD-01. However, the patient’s cardiac variant phenotype does not typically result in Gb3 accumulation in the kidney and skin, and accordingly this patient’s skin and kidney biopsy had low levels of Gb3 and lyso-Gb3 at all measurements, including at baseline. Although we expect that data obtained from this patient will not provide meaningful insight on the efficacy endpoints in our Phase 2 clinical trial, including kidney and skin biopsies, there may be other important insights derived from data collected from this patient in the Phase 2 clinical trial.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S-5</w:t>
      </w:r>
    </w:p>
    <w:p>
      <w:pPr>
        <w:sectPr>
          <w:pgSz w:w="11900" w:h="16838" w:orient="portrait"/>
          <w:cols w:equalWidth="0" w:num="1">
            <w:col w:w="11020"/>
          </w:cols>
          <w:pgMar w:left="320" w:top="459"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990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6"/>
          <w:szCs w:val="16"/>
          <w:color w:val="32406B"/>
        </w:rPr>
        <w:t>The figure below summarizes the plasma lyso-Gb3 data observed in the four dosed patients in our ongoing Phase 2 clinical trial of AVR-RD-01.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32406B"/>
        </w:rPr>
        <w:t>Reference Value: 2.4 nM</w:t>
      </w:r>
    </w:p>
    <w:p>
      <w:pPr>
        <w:spacing w:after="0" w:line="208" w:lineRule="exact"/>
        <w:rPr>
          <w:sz w:val="20"/>
          <w:szCs w:val="20"/>
          <w:color w:val="auto"/>
        </w:rPr>
      </w:pPr>
    </w:p>
    <w:p>
      <w:pPr>
        <w:ind w:left="200" w:firstLine="434"/>
        <w:spacing w:after="0" w:line="271" w:lineRule="auto"/>
        <w:rPr>
          <w:sz w:val="20"/>
          <w:szCs w:val="20"/>
          <w:color w:val="auto"/>
        </w:rPr>
      </w:pPr>
      <w:r>
        <w:rPr>
          <w:rFonts w:ascii="Arial" w:cs="Arial" w:eastAsia="Arial" w:hAnsi="Arial"/>
          <w:sz w:val="17"/>
          <w:szCs w:val="17"/>
          <w:color w:val="32406B"/>
        </w:rPr>
        <w:t>In four of the five patients in the Phase 1 clinical trial of AVR-RD-01, we have observed plasma lyso-Gb3 at levels post-treatment that are lower than the levels observed when the patient received only ERT prior to administration of AVR-RD-01, which we refer to as baseline ERT levels. We define baseline ERT for these Phase 1 patients as the mean of the plasma lyso-Gb3 values reported prior to initiating mobilization. Based on the latest available efficacy data, these four Phase 1 patients exhibited reductions in plasma lyso-Gb3 levels ranging between 25% and 48% compared to their baseline ERT levels. With respect to patient 4, who discontinued ERT six months following administration of AVR-RD-01, we observed an initial decline in plasma lyso-Gb3 levels through six months post-treatment compared to baseline ERT, and a 20% increase in plasma lyso-Gb3 levels at 18 months post-treatment compared to baseline ERT. This patient’s plasma lyso-Gb3 levels remain within the range for the Fabry disease patients on ERT observed in this Phase 1 clinical trial.</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32406B"/>
        </w:rPr>
        <w:t>The following figure summarizes the plasma lyso-Gb3 data observed in all five patients from the ongoing Phase 1 clinical trial of AVR-RD-01.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60" w:right="40" w:hanging="534"/>
        <w:spacing w:after="0" w:line="282" w:lineRule="auto"/>
        <w:tabs>
          <w:tab w:leader="none" w:pos="1160" w:val="left"/>
        </w:tabs>
        <w:numPr>
          <w:ilvl w:val="0"/>
          <w:numId w:val="6"/>
        </w:numPr>
        <w:rPr>
          <w:rFonts w:ascii="Arial" w:cs="Arial" w:eastAsia="Arial" w:hAnsi="Arial"/>
          <w:sz w:val="18"/>
          <w:szCs w:val="18"/>
          <w:color w:val="32406B"/>
        </w:rPr>
      </w:pPr>
      <w:r>
        <w:rPr>
          <w:rFonts w:ascii="Arial" w:cs="Arial" w:eastAsia="Arial" w:hAnsi="Arial"/>
          <w:sz w:val="18"/>
          <w:szCs w:val="18"/>
          <w:b w:val="1"/>
          <w:bCs w:val="1"/>
          <w:color w:val="32406B"/>
        </w:rPr>
        <w:t xml:space="preserve">AGA enzyme activity as measured in plasma and leukocytes. </w:t>
      </w:r>
      <w:r>
        <w:rPr>
          <w:rFonts w:ascii="Arial" w:cs="Arial" w:eastAsia="Arial" w:hAnsi="Arial"/>
          <w:sz w:val="18"/>
          <w:szCs w:val="18"/>
          <w:color w:val="32406B"/>
        </w:rPr>
        <w:t>We believe, based on years of observations of Fabry patients prescribed</w:t>
      </w:r>
      <w:r>
        <w:rPr>
          <w:rFonts w:ascii="Arial" w:cs="Arial" w:eastAsia="Arial" w:hAnsi="Arial"/>
          <w:sz w:val="18"/>
          <w:szCs w:val="18"/>
          <w:b w:val="1"/>
          <w:bCs w:val="1"/>
          <w:color w:val="32406B"/>
        </w:rPr>
        <w:t xml:space="preserve"> </w:t>
      </w:r>
      <w:r>
        <w:rPr>
          <w:rFonts w:ascii="Arial" w:cs="Arial" w:eastAsia="Arial" w:hAnsi="Arial"/>
          <w:sz w:val="18"/>
          <w:szCs w:val="18"/>
          <w:color w:val="32406B"/>
        </w:rPr>
        <w:t>ERT, that even partial plasma AGA activity is associated</w:t>
      </w: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S-6</w:t>
      </w:r>
    </w:p>
    <w:p>
      <w:pPr>
        <w:sectPr>
          <w:pgSz w:w="11900" w:h="16838" w:orient="portrait"/>
          <w:cols w:equalWidth="0" w:num="1">
            <w:col w:w="11060"/>
          </w:cols>
          <w:pgMar w:left="320" w:top="45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7110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1107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60"/>
        <w:spacing w:after="0" w:line="293" w:lineRule="auto"/>
        <w:rPr>
          <w:sz w:val="20"/>
          <w:szCs w:val="20"/>
          <w:color w:val="auto"/>
        </w:rPr>
      </w:pPr>
      <w:r>
        <w:rPr>
          <w:rFonts w:ascii="Arial" w:cs="Arial" w:eastAsia="Arial" w:hAnsi="Arial"/>
          <w:sz w:val="16"/>
          <w:szCs w:val="16"/>
          <w:color w:val="32406B"/>
        </w:rPr>
        <w:t>with improved outcomes in Fabry patients. AGA enzyme activity is able to reduce Gb3 levels in multiple cells and tissues. For our gene therapy, functional AGA is in part produced by the pool of circulating leukocytes derived from genetically-modified CD34+ hematopoietic stem cells, which may directly contribute to clearance of accumulated Gb3 in cells. Functional plasma AGA enters cells and travels to the lysosomes, where it can degrade Gb3. This process is referred to as cross-correction. Genetically-modified leukocytes are the progeny of transduced cells from the gene therapy. As a result, we believe that assessing leukocyte AGA activity provides a potentially improved measure to assess the durability of the gene therapy than plasma AGA enzyme activity alone.</w:t>
      </w:r>
    </w:p>
    <w:p>
      <w:pPr>
        <w:spacing w:after="0" w:line="164" w:lineRule="exact"/>
        <w:rPr>
          <w:sz w:val="20"/>
          <w:szCs w:val="20"/>
          <w:color w:val="auto"/>
        </w:rPr>
      </w:pPr>
    </w:p>
    <w:p>
      <w:pPr>
        <w:jc w:val="both"/>
        <w:ind w:left="200" w:firstLine="434"/>
        <w:spacing w:after="0" w:line="263" w:lineRule="auto"/>
        <w:rPr>
          <w:sz w:val="20"/>
          <w:szCs w:val="20"/>
          <w:color w:val="auto"/>
        </w:rPr>
      </w:pPr>
      <w:r>
        <w:rPr>
          <w:rFonts w:ascii="Arial" w:cs="Arial" w:eastAsia="Arial" w:hAnsi="Arial"/>
          <w:sz w:val="18"/>
          <w:szCs w:val="18"/>
          <w:color w:val="32406B"/>
        </w:rPr>
        <w:t>All nine patients in our Phase 2 and Phase 1 clinical trials of AVR-RD-01 have exhibited sustained AGA enzyme activity in both the plasma and leukocytes. The following figures summarize the plasma and leukocyte AGA enzyme activity reported from the ongoing Phase 2 and Phase 1 clinical trials of AVR-RD-01.</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Phase 1: AGA Enzyme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32406B"/>
        </w:rPr>
        <w:t>AGA Activity Reference Range: 24–56 nmol/hr/mg protein; plasma AGA Activity Reference Range: 5.1–9.2 nmol/hr/mL</w:t>
      </w: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Phase 2: AGA Enzyme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32406B"/>
        </w:rPr>
        <w:t>AGA Activity Reference Range: 24–56 nmol/hr/mg protein; plasma AGA Activity Reference Range: 5.1–9.2 nmol/hr/mL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S-7</w:t>
      </w:r>
    </w:p>
    <w:p>
      <w:pPr>
        <w:sectPr>
          <w:pgSz w:w="11900" w:h="16838" w:orient="portrait"/>
          <w:cols w:equalWidth="0" w:num="1">
            <w:col w:w="11020"/>
          </w:cols>
          <w:pgMar w:left="320" w:top="459"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418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44189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160" w:hanging="534"/>
        <w:spacing w:after="0" w:line="292" w:lineRule="auto"/>
        <w:tabs>
          <w:tab w:leader="none" w:pos="1160" w:val="left"/>
        </w:tabs>
        <w:numPr>
          <w:ilvl w:val="0"/>
          <w:numId w:val="7"/>
        </w:numPr>
        <w:rPr>
          <w:rFonts w:ascii="Arial" w:cs="Arial" w:eastAsia="Arial" w:hAnsi="Arial"/>
          <w:sz w:val="16"/>
          <w:szCs w:val="16"/>
          <w:color w:val="32406B"/>
        </w:rPr>
      </w:pPr>
      <w:r>
        <w:rPr>
          <w:rFonts w:ascii="Arial" w:cs="Arial" w:eastAsia="Arial" w:hAnsi="Arial"/>
          <w:sz w:val="16"/>
          <w:szCs w:val="16"/>
          <w:b w:val="1"/>
          <w:bCs w:val="1"/>
          <w:color w:val="32406B"/>
        </w:rPr>
        <w:t xml:space="preserve">Vector Copy Number. </w:t>
      </w:r>
      <w:r>
        <w:rPr>
          <w:rFonts w:ascii="Arial" w:cs="Arial" w:eastAsia="Arial" w:hAnsi="Arial"/>
          <w:sz w:val="16"/>
          <w:szCs w:val="16"/>
          <w:color w:val="32406B"/>
        </w:rPr>
        <w:t>Vector Copy Number, or VCN, which is expressed as VCN per diploid genome, refers to the average number of</w:t>
      </w:r>
      <w:r>
        <w:rPr>
          <w:rFonts w:ascii="Arial" w:cs="Arial" w:eastAsia="Arial" w:hAnsi="Arial"/>
          <w:sz w:val="16"/>
          <w:szCs w:val="16"/>
          <w:b w:val="1"/>
          <w:bCs w:val="1"/>
          <w:color w:val="32406B"/>
        </w:rPr>
        <w:t xml:space="preserve"> </w:t>
      </w:r>
      <w:r>
        <w:rPr>
          <w:rFonts w:ascii="Arial" w:cs="Arial" w:eastAsia="Arial" w:hAnsi="Arial"/>
          <w:sz w:val="16"/>
          <w:szCs w:val="16"/>
          <w:color w:val="32406B"/>
        </w:rPr>
        <w:t>copies of the lentiviral-vector inserted transgene that are 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 For example, a VCN of 0.1 may represent 5% to 10% of all nucleated circulating blood cells carrying one to two copies of the inserted gene, which we believe may be sufficient to result in clinically meaningful AGA enzyme activity in the case of Fabry disease, as suggested by our interim data from our ongoing clinical trials of our investigational gene therapy, AVR-RD-01, in Fabry disease.</w:t>
      </w:r>
    </w:p>
    <w:p>
      <w:pPr>
        <w:spacing w:after="0" w:line="165" w:lineRule="exact"/>
        <w:rPr>
          <w:sz w:val="20"/>
          <w:szCs w:val="20"/>
          <w:color w:val="auto"/>
        </w:rPr>
      </w:pPr>
    </w:p>
    <w:p>
      <w:pPr>
        <w:ind w:left="200" w:right="100" w:firstLine="434"/>
        <w:spacing w:after="0" w:line="279" w:lineRule="auto"/>
        <w:rPr>
          <w:sz w:val="20"/>
          <w:szCs w:val="20"/>
          <w:color w:val="auto"/>
        </w:rPr>
      </w:pPr>
      <w:r>
        <w:rPr>
          <w:rFonts w:ascii="Arial" w:cs="Arial" w:eastAsia="Arial" w:hAnsi="Arial"/>
          <w:sz w:val="17"/>
          <w:szCs w:val="17"/>
          <w:color w:val="32406B"/>
        </w:rPr>
        <w:t>All nine patients in our Phase 2 and Phase 1 clinical trials of AVR-RD-01 have exhibited consistent VCN trends, with VCN levels for the first Phase 1 patient stable at 32 months post-treatment. The following figures summarize the VCN observations from the ongoing Phase 2 and Phase 1 clinical trials of AVR-RD-01, including the VCN of the drug product with which each patient was dosed. The fourth patient in the Phase 2 clinical trial, for whom data is available out to nine months post-treatment, was dosed using our plato platform.</w:t>
      </w:r>
    </w:p>
    <w:p>
      <w:pPr>
        <w:spacing w:after="0" w:line="3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32406B"/>
        </w:rPr>
        <w:t>Phase 2: VCN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S-8</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819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Phase 1: VCN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60" w:hanging="534"/>
        <w:spacing w:after="0" w:line="281" w:lineRule="auto"/>
        <w:tabs>
          <w:tab w:leader="none" w:pos="1160" w:val="left"/>
        </w:tabs>
        <w:numPr>
          <w:ilvl w:val="0"/>
          <w:numId w:val="8"/>
        </w:numPr>
        <w:rPr>
          <w:rFonts w:ascii="Arial" w:cs="Arial" w:eastAsia="Arial" w:hAnsi="Arial"/>
          <w:sz w:val="17"/>
          <w:szCs w:val="17"/>
          <w:color w:val="32406B"/>
        </w:rPr>
      </w:pPr>
      <w:r>
        <w:rPr>
          <w:rFonts w:ascii="Arial" w:cs="Arial" w:eastAsia="Arial" w:hAnsi="Arial"/>
          <w:sz w:val="17"/>
          <w:szCs w:val="17"/>
          <w:b w:val="1"/>
          <w:bCs w:val="1"/>
          <w:color w:val="32406B"/>
        </w:rPr>
        <w:t xml:space="preserve">Kidney and cardiac function stability. </w:t>
      </w:r>
      <w:r>
        <w:rPr>
          <w:rFonts w:ascii="Arial" w:cs="Arial" w:eastAsia="Arial" w:hAnsi="Arial"/>
          <w:sz w:val="17"/>
          <w:szCs w:val="17"/>
          <w:color w:val="32406B"/>
        </w:rPr>
        <w:t>Secondary endpoints of our Phase 2 trial include measurements of kidney function, as measured</w:t>
      </w:r>
      <w:r>
        <w:rPr>
          <w:rFonts w:ascii="Arial" w:cs="Arial" w:eastAsia="Arial" w:hAnsi="Arial"/>
          <w:sz w:val="17"/>
          <w:szCs w:val="17"/>
          <w:b w:val="1"/>
          <w:bCs w:val="1"/>
          <w:color w:val="32406B"/>
        </w:rPr>
        <w:t xml:space="preserve"> </w:t>
      </w:r>
      <w:r>
        <w:rPr>
          <w:rFonts w:ascii="Arial" w:cs="Arial" w:eastAsia="Arial" w:hAnsi="Arial"/>
          <w:sz w:val="17"/>
          <w:szCs w:val="17"/>
          <w:color w:val="32406B"/>
        </w:rPr>
        <w:t>by estimated glomerular filtration rate, or eGFR, and measured glomerular filtration rate, or mGFR, as well as measures of cardiac function, as assessed by Left Ventricular Mass Index, or LVMI. eGFR is determined using the Chronic Kidney Disease Epidemiology Collaboration, or CKD-EPI, formula and mGFR is determined using plasma clearance of iohexol.</w:t>
      </w:r>
    </w:p>
    <w:p>
      <w:pPr>
        <w:spacing w:after="0" w:line="169" w:lineRule="exact"/>
        <w:rPr>
          <w:sz w:val="20"/>
          <w:szCs w:val="20"/>
          <w:color w:val="auto"/>
        </w:rPr>
      </w:pPr>
    </w:p>
    <w:p>
      <w:pPr>
        <w:ind w:left="200" w:right="40" w:firstLine="434"/>
        <w:spacing w:after="0" w:line="277" w:lineRule="auto"/>
        <w:rPr>
          <w:sz w:val="20"/>
          <w:szCs w:val="20"/>
          <w:color w:val="auto"/>
        </w:rPr>
      </w:pPr>
      <w:r>
        <w:rPr>
          <w:rFonts w:ascii="Arial" w:cs="Arial" w:eastAsia="Arial" w:hAnsi="Arial"/>
          <w:sz w:val="18"/>
          <w:szCs w:val="18"/>
          <w:color w:val="32406B"/>
        </w:rPr>
        <w:t>The following figure summarizes eGFR data for all patients in our Phase 2 and Phase 1 clinical trials of AVR-RD-01, other than Patient 2 in the Phase 2 clinical trial whose cardiac variant phenotype does not typically result in Gb3 accumulation in the kidney.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right="80" w:hanging="534"/>
        <w:spacing w:after="0" w:line="261" w:lineRule="auto"/>
        <w:tabs>
          <w:tab w:leader="none" w:pos="1160" w:val="left"/>
        </w:tabs>
        <w:numPr>
          <w:ilvl w:val="0"/>
          <w:numId w:val="9"/>
        </w:numPr>
        <w:rPr>
          <w:rFonts w:ascii="Arial" w:cs="Arial" w:eastAsia="Arial" w:hAnsi="Arial"/>
          <w:sz w:val="18"/>
          <w:szCs w:val="18"/>
          <w:color w:val="32406B"/>
        </w:rPr>
      </w:pPr>
      <w:r>
        <w:rPr>
          <w:rFonts w:ascii="Arial" w:cs="Arial" w:eastAsia="Arial" w:hAnsi="Arial"/>
          <w:sz w:val="18"/>
          <w:szCs w:val="18"/>
          <w:b w:val="1"/>
          <w:bCs w:val="1"/>
          <w:color w:val="32406B"/>
        </w:rPr>
        <w:t xml:space="preserve">ERT discontinuation by Phase 1 patients. </w:t>
      </w:r>
      <w:r>
        <w:rPr>
          <w:rFonts w:ascii="Arial" w:cs="Arial" w:eastAsia="Arial" w:hAnsi="Arial"/>
          <w:sz w:val="18"/>
          <w:szCs w:val="18"/>
          <w:color w:val="32406B"/>
        </w:rPr>
        <w:t>Three patients in the Phase 1 clinical trial who have been treated with AVR-RD-01, our</w:t>
      </w:r>
      <w:r>
        <w:rPr>
          <w:rFonts w:ascii="Arial" w:cs="Arial" w:eastAsia="Arial" w:hAnsi="Arial"/>
          <w:sz w:val="18"/>
          <w:szCs w:val="18"/>
          <w:b w:val="1"/>
          <w:bCs w:val="1"/>
          <w:color w:val="32406B"/>
        </w:rPr>
        <w:t xml:space="preserve"> </w:t>
      </w:r>
      <w:r>
        <w:rPr>
          <w:rFonts w:ascii="Arial" w:cs="Arial" w:eastAsia="Arial" w:hAnsi="Arial"/>
          <w:sz w:val="18"/>
          <w:szCs w:val="18"/>
          <w:color w:val="32406B"/>
        </w:rPr>
        <w:t>investigational gene therapy, have discontinued ERT and, as of October 26, 2020, have remained off ERT since such discontinuations. Patient 1 received his last ERT dose in July 2018, Patient 3 received his last ERT dose in May 2018, and Patient 4 received his last ERT dose in June 2019.</w:t>
      </w:r>
    </w:p>
    <w:p>
      <w:pPr>
        <w:spacing w:after="0" w:line="85" w:lineRule="exact"/>
        <w:rPr>
          <w:rFonts w:ascii="Arial" w:cs="Arial" w:eastAsia="Arial" w:hAnsi="Arial"/>
          <w:sz w:val="18"/>
          <w:szCs w:val="18"/>
          <w:color w:val="32406B"/>
        </w:rPr>
      </w:pPr>
    </w:p>
    <w:p>
      <w:pPr>
        <w:ind w:left="1160" w:right="260" w:hanging="534"/>
        <w:spacing w:after="0" w:line="266" w:lineRule="auto"/>
        <w:tabs>
          <w:tab w:leader="none" w:pos="1160" w:val="left"/>
        </w:tabs>
        <w:numPr>
          <w:ilvl w:val="0"/>
          <w:numId w:val="9"/>
        </w:numPr>
        <w:rPr>
          <w:rFonts w:ascii="Arial" w:cs="Arial" w:eastAsia="Arial" w:hAnsi="Arial"/>
          <w:sz w:val="18"/>
          <w:szCs w:val="18"/>
          <w:color w:val="32406B"/>
        </w:rPr>
      </w:pPr>
      <w:r>
        <w:rPr>
          <w:rFonts w:ascii="Arial" w:cs="Arial" w:eastAsia="Arial" w:hAnsi="Arial"/>
          <w:sz w:val="18"/>
          <w:szCs w:val="18"/>
          <w:b w:val="1"/>
          <w:bCs w:val="1"/>
          <w:color w:val="32406B"/>
        </w:rPr>
        <w:t xml:space="preserve">Safety update. </w:t>
      </w:r>
      <w:r>
        <w:rPr>
          <w:rFonts w:ascii="Arial" w:cs="Arial" w:eastAsia="Arial" w:hAnsi="Arial"/>
          <w:sz w:val="18"/>
          <w:szCs w:val="18"/>
          <w:color w:val="32406B"/>
        </w:rPr>
        <w:t>Preliminary clinical data for all nine patients dosed to date in the Phase 2 and Phase 1 clinical trials appear to indicate</w:t>
      </w:r>
      <w:r>
        <w:rPr>
          <w:rFonts w:ascii="Arial" w:cs="Arial" w:eastAsia="Arial" w:hAnsi="Arial"/>
          <w:sz w:val="18"/>
          <w:szCs w:val="18"/>
          <w:b w:val="1"/>
          <w:bCs w:val="1"/>
          <w:color w:val="32406B"/>
        </w:rPr>
        <w:t xml:space="preserve"> </w:t>
      </w:r>
      <w:r>
        <w:rPr>
          <w:rFonts w:ascii="Arial" w:cs="Arial" w:eastAsia="Arial" w:hAnsi="Arial"/>
          <w:sz w:val="18"/>
          <w:szCs w:val="18"/>
          <w:color w:val="32406B"/>
        </w:rPr>
        <w:t>that our AVR-RD-01 investigational gene therapy has been generally well tolerated with no unexpected trends or safety events identified. No serious adverse events, 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S-9</w:t>
      </w:r>
    </w:p>
    <w:p>
      <w:pPr>
        <w:sectPr>
          <w:pgSz w:w="11900" w:h="16838" w:orient="portrait"/>
          <w:cols w:equalWidth="0" w:num="1">
            <w:col w:w="11020"/>
          </w:cols>
          <w:pgMar w:left="320" w:top="459"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27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120"/>
        <w:spacing w:after="0" w:line="259" w:lineRule="auto"/>
        <w:rPr>
          <w:sz w:val="20"/>
          <w:szCs w:val="20"/>
          <w:color w:val="auto"/>
        </w:rPr>
      </w:pPr>
      <w:r>
        <w:rPr>
          <w:rFonts w:ascii="Arial" w:cs="Arial" w:eastAsia="Arial" w:hAnsi="Arial"/>
          <w:sz w:val="18"/>
          <w:szCs w:val="18"/>
          <w:color w:val="32406B"/>
        </w:rPr>
        <w:t>SAEs, related to the AVR-RD-01 drug product were reported as of the safety data cut-off date of October 8, 2020, for both the Phase 2 trial and the Phase 1 trial. As of the safety data cut-off date, six SAEs were reported in the Phase 2 trial and two SAEs were reported in the Phase 1 trial and were consistent with expectations for the myeloablative conditioning regimen, underlying Fabry disease, or pre-existing conditions.</w:t>
      </w:r>
    </w:p>
    <w:p>
      <w:pPr>
        <w:spacing w:after="0" w:line="187" w:lineRule="exact"/>
        <w:rPr>
          <w:sz w:val="20"/>
          <w:szCs w:val="20"/>
          <w:color w:val="auto"/>
        </w:rPr>
      </w:pPr>
    </w:p>
    <w:p>
      <w:pPr>
        <w:ind w:left="200" w:right="80" w:firstLine="434"/>
        <w:spacing w:after="0" w:line="293" w:lineRule="auto"/>
        <w:rPr>
          <w:sz w:val="20"/>
          <w:szCs w:val="20"/>
          <w:color w:val="auto"/>
        </w:rPr>
      </w:pPr>
      <w:r>
        <w:rPr>
          <w:rFonts w:ascii="Arial" w:cs="Arial" w:eastAsia="Arial" w:hAnsi="Arial"/>
          <w:sz w:val="16"/>
          <w:szCs w:val="16"/>
          <w:color w:val="32406B"/>
        </w:rPr>
        <w:t>In the Phase 2 trial, the six SAEs that were reported through the safety data cut-off date of October 8, 2020 included one report of a Grade 2 pre-treatment seizure experienced after commencing stem cell mobilization but prior to undergoing the conditioning regimen and treatment with AVR-RD-01; one report of Grade 3 dehydration, nausea and vomiting following the conditioning regimen and treatment with AVR-RD-01; two reports of febrile neutropenia (Grades 3 and 4, respectively) in separate patients following the conditioning regimen and treatment with AVR-RD-01; one report of Grade 2 culture-negative fevers following the conditioning regimen and treatment with AVR-RD-01; and one report of Grade 2 mucositis following the conditioning regimen and treatment with AVR-RD-01. All six SAEs have subsequently resolved.</w:t>
      </w:r>
    </w:p>
    <w:p>
      <w:pPr>
        <w:spacing w:after="0" w:line="164" w:lineRule="exact"/>
        <w:rPr>
          <w:sz w:val="20"/>
          <w:szCs w:val="20"/>
          <w:color w:val="auto"/>
        </w:rPr>
      </w:pPr>
    </w:p>
    <w:p>
      <w:pPr>
        <w:ind w:left="200" w:right="120" w:firstLine="434"/>
        <w:spacing w:after="0" w:line="263" w:lineRule="auto"/>
        <w:rPr>
          <w:sz w:val="20"/>
          <w:szCs w:val="20"/>
          <w:color w:val="auto"/>
        </w:rPr>
      </w:pPr>
      <w:r>
        <w:rPr>
          <w:rFonts w:ascii="Arial" w:cs="Arial" w:eastAsia="Arial" w:hAnsi="Arial"/>
          <w:sz w:val="18"/>
          <w:szCs w:val="18"/>
          <w:color w:val="32406B"/>
        </w:rPr>
        <w:t>In the Phase 1 trial, the two SAEs that were reported through the safety data cut-off date of October 8, 2020 included one report of Grade 3 febrile neutropenia and one report of Grade 2 thrombophlebitis, each occurring following the conditioning regimen and treatment with AVR-RD-01. Both SAEs have subsequently resolved.</w:t>
      </w:r>
    </w:p>
    <w:p>
      <w:pPr>
        <w:spacing w:after="0" w:line="184" w:lineRule="exact"/>
        <w:rPr>
          <w:sz w:val="20"/>
          <w:szCs w:val="20"/>
          <w:color w:val="auto"/>
        </w:rPr>
      </w:pPr>
    </w:p>
    <w:p>
      <w:pPr>
        <w:ind w:left="200" w:right="40" w:firstLine="434"/>
        <w:spacing w:after="0" w:line="277" w:lineRule="auto"/>
        <w:rPr>
          <w:sz w:val="20"/>
          <w:szCs w:val="20"/>
          <w:color w:val="auto"/>
        </w:rPr>
      </w:pPr>
      <w:r>
        <w:rPr>
          <w:rFonts w:ascii="Arial" w:cs="Arial" w:eastAsia="Arial" w:hAnsi="Arial"/>
          <w:sz w:val="18"/>
          <w:szCs w:val="18"/>
          <w:color w:val="32406B"/>
        </w:rPr>
        <w:t>Anti-AGA antibody titers have been observed in four patients in the Phase 1 trial and two patients in the Phase 2 trial. We believe none of these are of clinical significance.</w:t>
      </w:r>
    </w:p>
    <w:p>
      <w:pPr>
        <w:spacing w:after="0" w:line="72" w:lineRule="exact"/>
        <w:rPr>
          <w:sz w:val="20"/>
          <w:szCs w:val="20"/>
          <w:color w:val="auto"/>
        </w:rPr>
      </w:pPr>
    </w:p>
    <w:p>
      <w:pPr>
        <w:ind w:left="1160" w:right="80" w:hanging="534"/>
        <w:spacing w:after="0" w:line="261" w:lineRule="auto"/>
        <w:tabs>
          <w:tab w:leader="none" w:pos="1160" w:val="left"/>
        </w:tabs>
        <w:numPr>
          <w:ilvl w:val="0"/>
          <w:numId w:val="10"/>
        </w:numPr>
        <w:rPr>
          <w:rFonts w:ascii="Arial" w:cs="Arial" w:eastAsia="Arial" w:hAnsi="Arial"/>
          <w:sz w:val="18"/>
          <w:szCs w:val="18"/>
          <w:color w:val="32406B"/>
        </w:rPr>
      </w:pPr>
      <w:r>
        <w:rPr>
          <w:rFonts w:ascii="Arial" w:cs="Arial" w:eastAsia="Arial" w:hAnsi="Arial"/>
          <w:sz w:val="18"/>
          <w:szCs w:val="18"/>
          <w:b w:val="1"/>
          <w:bCs w:val="1"/>
          <w:color w:val="32406B"/>
        </w:rPr>
        <w:t xml:space="preserve">Regulatory update. </w:t>
      </w:r>
      <w:r>
        <w:rPr>
          <w:rFonts w:ascii="Arial" w:cs="Arial" w:eastAsia="Arial" w:hAnsi="Arial"/>
          <w:sz w:val="18"/>
          <w:szCs w:val="18"/>
          <w:color w:val="32406B"/>
        </w:rPr>
        <w:t>We intend to submit a briefing book to the FDA in the fourth quarter of 2020 outlining our proposal for a potential</w:t>
      </w:r>
      <w:r>
        <w:rPr>
          <w:rFonts w:ascii="Arial" w:cs="Arial" w:eastAsia="Arial" w:hAnsi="Arial"/>
          <w:sz w:val="18"/>
          <w:szCs w:val="18"/>
          <w:b w:val="1"/>
          <w:bCs w:val="1"/>
          <w:color w:val="32406B"/>
        </w:rPr>
        <w:t xml:space="preserve"> </w:t>
      </w:r>
      <w:r>
        <w:rPr>
          <w:rFonts w:ascii="Arial" w:cs="Arial" w:eastAsia="Arial" w:hAnsi="Arial"/>
          <w:sz w:val="18"/>
          <w:szCs w:val="18"/>
          <w:color w:val="32406B"/>
        </w:rPr>
        <w:t>accelerated approval strategy for AVR-RD-01. We expect our proposal to include an expansion of our ongoing Phase 2 clinical trial to include female patients, as well as a confirmatory ERT-switch trial that would enroll mutation-independent patients with Fabry disease who have been previously treated with ERT.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AVR-RD-04 for cystinosis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color w:val="32406B"/>
        </w:rPr>
        <w:t>In November 2020, we announced clinical data for the first and second patients dosed in the clinical trial of the investigational gene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therapy CTNS-RD-04 for cystinosis, which we refer to as AVR-RD-04. We also announced in November 2020 that a third patient has been dosed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this clinical trial. AVR-RD-04 is currently being studied by our collaborators at the University of California, San Diego, or UCSD, in a Phase 1/2</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investigator-sponsored clinical trial. The single-arm trial is expected to enroll four adults and a potential follow-on cohort of two adults or adolescents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at least 14 years of age who are currently being treated with cysteamine, the standard of care for cystinosis. The clinical trial’s primary endpoints 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safety and tolerability, assessed for up to two years after treatment. Secondary endpoints to assess preliminary efficacy include change from baseline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in renal function, cystine levels in rectal mucosa as well as cystine crystal counts in the cornea and skin, muscle strength, pulmonary function, bone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density and muscle mass, endocrine function, neurologic and psychometric function, and quality of life measures. These secondary efficacy endpoints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will also be evaluated through assessments of kidney function, ophthalmologic measures, grip strength, pulmonary function, neurological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psychometric function, dual x-ray absorptiometry, as well as through patient-reported outcomes and assessments of health-related quality of life. This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clinical trial remains ongoing and the results presented below are preliminary and may not be representative of later results. The data cut-off date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the results below was November 3, 2020, unless otherwise specified.</w:t>
      </w:r>
    </w:p>
    <w:p>
      <w:pPr>
        <w:spacing w:after="0" w:line="112" w:lineRule="exact"/>
        <w:rPr>
          <w:sz w:val="20"/>
          <w:szCs w:val="20"/>
          <w:color w:val="auto"/>
        </w:rPr>
      </w:pPr>
    </w:p>
    <w:p>
      <w:pPr>
        <w:ind w:left="1160" w:right="120" w:hanging="534"/>
        <w:spacing w:after="0" w:line="266" w:lineRule="auto"/>
        <w:tabs>
          <w:tab w:leader="none" w:pos="1160" w:val="left"/>
        </w:tabs>
        <w:numPr>
          <w:ilvl w:val="0"/>
          <w:numId w:val="11"/>
        </w:numPr>
        <w:rPr>
          <w:rFonts w:ascii="Arial" w:cs="Arial" w:eastAsia="Arial" w:hAnsi="Arial"/>
          <w:sz w:val="18"/>
          <w:szCs w:val="18"/>
          <w:color w:val="32406B"/>
        </w:rPr>
      </w:pPr>
      <w:r>
        <w:rPr>
          <w:rFonts w:ascii="Arial" w:cs="Arial" w:eastAsia="Arial" w:hAnsi="Arial"/>
          <w:sz w:val="18"/>
          <w:szCs w:val="18"/>
          <w:b w:val="1"/>
          <w:bCs w:val="1"/>
          <w:color w:val="32406B"/>
        </w:rPr>
        <w:t xml:space="preserve">Granulocyte cystine levels. </w:t>
      </w:r>
      <w:r>
        <w:rPr>
          <w:rFonts w:ascii="Arial" w:cs="Arial" w:eastAsia="Arial" w:hAnsi="Arial"/>
          <w:sz w:val="18"/>
          <w:szCs w:val="18"/>
          <w:color w:val="32406B"/>
        </w:rPr>
        <w:t>One of the original primary endpoints of the Phase 1/2 clinical trial was the change in the average level of</w:t>
      </w:r>
      <w:r>
        <w:rPr>
          <w:rFonts w:ascii="Arial" w:cs="Arial" w:eastAsia="Arial" w:hAnsi="Arial"/>
          <w:sz w:val="18"/>
          <w:szCs w:val="18"/>
          <w:b w:val="1"/>
          <w:bCs w:val="1"/>
          <w:color w:val="32406B"/>
        </w:rPr>
        <w:t xml:space="preserve"> </w:t>
      </w:r>
      <w:r>
        <w:rPr>
          <w:rFonts w:ascii="Arial" w:cs="Arial" w:eastAsia="Arial" w:hAnsi="Arial"/>
          <w:sz w:val="18"/>
          <w:szCs w:val="18"/>
          <w:color w:val="32406B"/>
        </w:rPr>
        <w:t>cystine in granulocytes from baseline to up to two years post-treatment with AVR-RD-04. Mixed leukocyte and granulocyte cystine concentration measures have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S-10</w:t>
      </w:r>
    </w:p>
    <w:p>
      <w:pPr>
        <w:sectPr>
          <w:pgSz w:w="11900" w:h="16838" w:orient="portrait"/>
          <w:cols w:equalWidth="0" w:num="1">
            <w:col w:w="11000"/>
          </w:cols>
          <w:pgMar w:left="320" w:top="459" w:right="5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95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6959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line="273" w:lineRule="auto"/>
        <w:rPr>
          <w:sz w:val="20"/>
          <w:szCs w:val="20"/>
          <w:color w:val="auto"/>
        </w:rPr>
      </w:pPr>
      <w:r>
        <w:rPr>
          <w:rFonts w:ascii="Arial" w:cs="Arial" w:eastAsia="Arial" w:hAnsi="Arial"/>
          <w:sz w:val="17"/>
          <w:szCs w:val="17"/>
          <w:color w:val="32406B"/>
        </w:rPr>
        <w:t>been part of cystinosis standard of care treatment for the past two decades. However, we and our collaborators at UCSD have determined that cystine concentration in leukocytes and granulocytes, which is used to monitor small molecule therapies, is not appropriate to represent the mechanism of action of a gene therapy. As a result, the protocol for this investigator-sponsored clinical trial has been amended to retain safety and tolerability as the primary endpoint, as is appropriate for this stage of development, and shift measurement of cystine in granulocytes to a secondary endpoint. The following figure summarizes data on the average granulocyte and leukocyte cystine levels from the first patient in the ongoing clinical trial of AVR-RD-04.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160" w:hanging="534"/>
        <w:spacing w:after="0" w:line="266" w:lineRule="auto"/>
        <w:tabs>
          <w:tab w:leader="none" w:pos="1160" w:val="left"/>
        </w:tabs>
        <w:numPr>
          <w:ilvl w:val="0"/>
          <w:numId w:val="12"/>
        </w:numPr>
        <w:rPr>
          <w:rFonts w:ascii="Arial" w:cs="Arial" w:eastAsia="Arial" w:hAnsi="Arial"/>
          <w:sz w:val="18"/>
          <w:szCs w:val="18"/>
          <w:color w:val="32406B"/>
        </w:rPr>
      </w:pPr>
      <w:r>
        <w:rPr>
          <w:rFonts w:ascii="Arial" w:cs="Arial" w:eastAsia="Arial" w:hAnsi="Arial"/>
          <w:sz w:val="18"/>
          <w:szCs w:val="18"/>
          <w:b w:val="1"/>
          <w:bCs w:val="1"/>
          <w:color w:val="32406B"/>
        </w:rPr>
        <w:t xml:space="preserve">Vector copy number. </w:t>
      </w:r>
      <w:r>
        <w:rPr>
          <w:rFonts w:ascii="Arial" w:cs="Arial" w:eastAsia="Arial" w:hAnsi="Arial"/>
          <w:sz w:val="18"/>
          <w:szCs w:val="18"/>
          <w:color w:val="32406B"/>
        </w:rPr>
        <w:t>In November 2020, we presented VCN data for the first two patients dosed in the clinical trial, as well as the VCN</w:t>
      </w:r>
      <w:r>
        <w:rPr>
          <w:rFonts w:ascii="Arial" w:cs="Arial" w:eastAsia="Arial" w:hAnsi="Arial"/>
          <w:sz w:val="18"/>
          <w:szCs w:val="18"/>
          <w:b w:val="1"/>
          <w:bCs w:val="1"/>
          <w:color w:val="32406B"/>
        </w:rPr>
        <w:t xml:space="preserve"> </w:t>
      </w:r>
      <w:r>
        <w:rPr>
          <w:rFonts w:ascii="Arial" w:cs="Arial" w:eastAsia="Arial" w:hAnsi="Arial"/>
          <w:sz w:val="18"/>
          <w:szCs w:val="18"/>
          <w:color w:val="32406B"/>
        </w:rPr>
        <w:t>of the drug product manufactured for these first two patients and a third patient who was dosed in November 2020, as shown in the graph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S-11</w:t>
      </w:r>
    </w:p>
    <w:p>
      <w:pPr>
        <w:sectPr>
          <w:pgSz w:w="11900" w:h="16838" w:orient="portrait"/>
          <w:cols w:equalWidth="0" w:num="1">
            <w:col w:w="11040"/>
          </w:cols>
          <w:pgMar w:left="32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536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5360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1160" w:right="180" w:hanging="534"/>
        <w:spacing w:after="0" w:line="266" w:lineRule="auto"/>
        <w:tabs>
          <w:tab w:leader="none" w:pos="1160" w:val="left"/>
        </w:tabs>
        <w:numPr>
          <w:ilvl w:val="0"/>
          <w:numId w:val="13"/>
        </w:numPr>
        <w:rPr>
          <w:rFonts w:ascii="Arial" w:cs="Arial" w:eastAsia="Arial" w:hAnsi="Arial"/>
          <w:sz w:val="18"/>
          <w:szCs w:val="18"/>
          <w:color w:val="32406B"/>
        </w:rPr>
      </w:pPr>
      <w:r>
        <w:rPr>
          <w:rFonts w:ascii="Arial" w:cs="Arial" w:eastAsia="Arial" w:hAnsi="Arial"/>
          <w:sz w:val="18"/>
          <w:szCs w:val="18"/>
          <w:b w:val="1"/>
          <w:bCs w:val="1"/>
          <w:color w:val="32406B"/>
        </w:rPr>
        <w:t xml:space="preserve">Kidney function. </w:t>
      </w:r>
      <w:r>
        <w:rPr>
          <w:rFonts w:ascii="Arial" w:cs="Arial" w:eastAsia="Arial" w:hAnsi="Arial"/>
          <w:sz w:val="18"/>
          <w:szCs w:val="18"/>
          <w:color w:val="32406B"/>
        </w:rPr>
        <w:t>Assessment of kidney function includes measurements of eGFR and serum creatinine, or SCr. eGFR is determined</w:t>
      </w:r>
      <w:r>
        <w:rPr>
          <w:rFonts w:ascii="Arial" w:cs="Arial" w:eastAsia="Arial" w:hAnsi="Arial"/>
          <w:sz w:val="18"/>
          <w:szCs w:val="18"/>
          <w:b w:val="1"/>
          <w:bCs w:val="1"/>
          <w:color w:val="32406B"/>
        </w:rPr>
        <w:t xml:space="preserve"> </w:t>
      </w:r>
      <w:r>
        <w:rPr>
          <w:rFonts w:ascii="Arial" w:cs="Arial" w:eastAsia="Arial" w:hAnsi="Arial"/>
          <w:sz w:val="18"/>
          <w:szCs w:val="18"/>
          <w:color w:val="32406B"/>
        </w:rPr>
        <w:t>using the CKD-EPI formula and SCr is measured as part of the comprehensive metabolic panel. In November 2020, we presented the following eGFR data for the first patient in the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60" w:hanging="534"/>
        <w:spacing w:after="0"/>
        <w:tabs>
          <w:tab w:leader="none" w:pos="1160" w:val="left"/>
        </w:tabs>
        <w:numPr>
          <w:ilvl w:val="0"/>
          <w:numId w:val="14"/>
        </w:numPr>
        <w:rPr>
          <w:rFonts w:ascii="Arial" w:cs="Arial" w:eastAsia="Arial" w:hAnsi="Arial"/>
          <w:sz w:val="17"/>
          <w:szCs w:val="17"/>
          <w:color w:val="32406B"/>
        </w:rPr>
      </w:pPr>
      <w:r>
        <w:rPr>
          <w:rFonts w:ascii="Arial" w:cs="Arial" w:eastAsia="Arial" w:hAnsi="Arial"/>
          <w:sz w:val="17"/>
          <w:szCs w:val="17"/>
          <w:b w:val="1"/>
          <w:bCs w:val="1"/>
          <w:color w:val="32406B"/>
        </w:rPr>
        <w:t xml:space="preserve">Cystine crystals in skin and rectal biopsy tissue. </w:t>
      </w:r>
      <w:r>
        <w:rPr>
          <w:rFonts w:ascii="Arial" w:cs="Arial" w:eastAsia="Arial" w:hAnsi="Arial"/>
          <w:sz w:val="17"/>
          <w:szCs w:val="17"/>
          <w:color w:val="32406B"/>
        </w:rPr>
        <w:t>Skin and rectal biopsies were performed on the first patient at baseline and</w:t>
      </w:r>
    </w:p>
    <w:p>
      <w:pPr>
        <w:spacing w:after="0" w:line="38" w:lineRule="exact"/>
        <w:rPr>
          <w:rFonts w:ascii="Arial" w:cs="Arial" w:eastAsia="Arial" w:hAnsi="Arial"/>
          <w:sz w:val="17"/>
          <w:szCs w:val="17"/>
          <w:color w:val="32406B"/>
        </w:rPr>
      </w:pPr>
    </w:p>
    <w:p>
      <w:pPr>
        <w:ind w:left="1160"/>
        <w:spacing w:after="0" w:line="273" w:lineRule="auto"/>
        <w:rPr>
          <w:rFonts w:ascii="Arial" w:cs="Arial" w:eastAsia="Arial" w:hAnsi="Arial"/>
          <w:sz w:val="17"/>
          <w:szCs w:val="17"/>
          <w:color w:val="32406B"/>
        </w:rPr>
      </w:pPr>
      <w:r>
        <w:rPr>
          <w:rFonts w:ascii="Arial" w:cs="Arial" w:eastAsia="Arial" w:hAnsi="Arial"/>
          <w:sz w:val="17"/>
          <w:szCs w:val="17"/>
          <w:color w:val="32406B"/>
        </w:rPr>
        <w:t>12-months post-treatment with AVR-RD-04. The data from the biopsies are intended to show the average skin intracytoplasmic crystals per cell, which is a measurement of the number of toxic crystals in each cell, as well as the occupancy of cytoplasmic volume with crystals. In November 2020, we presented the data below, which we believe suggest that the patient is now producing an endogenous supply of functional cystinosin that is reducing the accumulation of toxic cystine crystals.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20" w:hanging="534"/>
        <w:spacing w:after="0" w:line="281" w:lineRule="auto"/>
        <w:tabs>
          <w:tab w:leader="none" w:pos="1160" w:val="left"/>
        </w:tabs>
        <w:numPr>
          <w:ilvl w:val="0"/>
          <w:numId w:val="15"/>
        </w:numPr>
        <w:rPr>
          <w:rFonts w:ascii="Arial" w:cs="Arial" w:eastAsia="Arial" w:hAnsi="Arial"/>
          <w:sz w:val="17"/>
          <w:szCs w:val="17"/>
          <w:color w:val="32406B"/>
        </w:rPr>
      </w:pPr>
      <w:r>
        <w:rPr>
          <w:rFonts w:ascii="Arial" w:cs="Arial" w:eastAsia="Arial" w:hAnsi="Arial"/>
          <w:sz w:val="17"/>
          <w:szCs w:val="17"/>
          <w:b w:val="1"/>
          <w:bCs w:val="1"/>
          <w:color w:val="32406B"/>
        </w:rPr>
        <w:t xml:space="preserve">Levels of cystine in skin. </w:t>
      </w:r>
      <w:r>
        <w:rPr>
          <w:rFonts w:ascii="Arial" w:cs="Arial" w:eastAsia="Arial" w:hAnsi="Arial"/>
          <w:sz w:val="17"/>
          <w:szCs w:val="17"/>
          <w:color w:val="32406B"/>
        </w:rPr>
        <w:t>Levels of cystine in the skin are measured with</w:t>
      </w:r>
      <w:r>
        <w:rPr>
          <w:rFonts w:ascii="Arial" w:cs="Arial" w:eastAsia="Arial" w:hAnsi="Arial"/>
          <w:sz w:val="17"/>
          <w:szCs w:val="17"/>
          <w:b w:val="1"/>
          <w:bCs w:val="1"/>
          <w:color w:val="32406B"/>
        </w:rPr>
        <w:t xml:space="preserve"> </w:t>
      </w:r>
      <w:r>
        <w:rPr>
          <w:rFonts w:ascii="Arial" w:cs="Arial" w:eastAsia="Arial" w:hAnsi="Arial"/>
          <w:sz w:val="17"/>
          <w:szCs w:val="17"/>
          <w:i w:val="1"/>
          <w:iCs w:val="1"/>
          <w:color w:val="32406B"/>
        </w:rPr>
        <w:t>in vivo</w:t>
      </w:r>
      <w:r>
        <w:rPr>
          <w:rFonts w:ascii="Arial" w:cs="Arial" w:eastAsia="Arial" w:hAnsi="Arial"/>
          <w:sz w:val="17"/>
          <w:szCs w:val="17"/>
          <w:b w:val="1"/>
          <w:bCs w:val="1"/>
          <w:color w:val="32406B"/>
        </w:rPr>
        <w:t xml:space="preserve"> </w:t>
      </w:r>
      <w:r>
        <w:rPr>
          <w:rFonts w:ascii="Arial" w:cs="Arial" w:eastAsia="Arial" w:hAnsi="Arial"/>
          <w:sz w:val="17"/>
          <w:szCs w:val="17"/>
          <w:color w:val="32406B"/>
        </w:rPr>
        <w:t>confocal microscopy, or IVCM, on two separate areas</w:t>
      </w:r>
      <w:r>
        <w:rPr>
          <w:rFonts w:ascii="Arial" w:cs="Arial" w:eastAsia="Arial" w:hAnsi="Arial"/>
          <w:sz w:val="17"/>
          <w:szCs w:val="17"/>
          <w:b w:val="1"/>
          <w:bCs w:val="1"/>
          <w:color w:val="32406B"/>
        </w:rPr>
        <w:t xml:space="preserve"> </w:t>
      </w:r>
      <w:r>
        <w:rPr>
          <w:rFonts w:ascii="Arial" w:cs="Arial" w:eastAsia="Arial" w:hAnsi="Arial"/>
          <w:sz w:val="17"/>
          <w:szCs w:val="17"/>
          <w:color w:val="32406B"/>
        </w:rPr>
        <w:t>of the skin: behind the ear and in a location determined by the treating physician. The two measurements are analyzed and quantified with 3D Image-Pro software and averaged. The first patient in the Phase 1/2 clinical trial exhibited a 56% reduction from baseline in skin cystine levels measured 12 months post-treatment with AVR-RD-04. The baseline measurement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S-12</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07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1074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80"/>
        <w:spacing w:after="0" w:line="277" w:lineRule="auto"/>
        <w:rPr>
          <w:sz w:val="20"/>
          <w:szCs w:val="20"/>
          <w:color w:val="auto"/>
        </w:rPr>
      </w:pPr>
      <w:r>
        <w:rPr>
          <w:rFonts w:ascii="Arial" w:cs="Arial" w:eastAsia="Arial" w:hAnsi="Arial"/>
          <w:sz w:val="18"/>
          <w:szCs w:val="18"/>
          <w:color w:val="32406B"/>
        </w:rPr>
        <w:t>and 12-month data was obtained using IVCM. These measurements, analysis and 3D depiction are generated using early, experimental methodologies and will require additional study to determine their validity and significance.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60" w:hanging="534"/>
        <w:spacing w:after="0" w:line="272" w:lineRule="auto"/>
        <w:tabs>
          <w:tab w:leader="none" w:pos="1160" w:val="left"/>
        </w:tabs>
        <w:numPr>
          <w:ilvl w:val="0"/>
          <w:numId w:val="16"/>
        </w:numPr>
        <w:rPr>
          <w:rFonts w:ascii="Arial" w:cs="Arial" w:eastAsia="Arial" w:hAnsi="Arial"/>
          <w:sz w:val="17"/>
          <w:szCs w:val="17"/>
          <w:color w:val="32406B"/>
        </w:rPr>
      </w:pPr>
      <w:r>
        <w:rPr>
          <w:rFonts w:ascii="Arial" w:cs="Arial" w:eastAsia="Arial" w:hAnsi="Arial"/>
          <w:sz w:val="17"/>
          <w:szCs w:val="17"/>
          <w:b w:val="1"/>
          <w:bCs w:val="1"/>
          <w:color w:val="32406B"/>
        </w:rPr>
        <w:t xml:space="preserve">Levels of cystine in cornea. </w:t>
      </w:r>
      <w:r>
        <w:rPr>
          <w:rFonts w:ascii="Arial" w:cs="Arial" w:eastAsia="Arial" w:hAnsi="Arial"/>
          <w:sz w:val="17"/>
          <w:szCs w:val="17"/>
          <w:color w:val="32406B"/>
        </w:rPr>
        <w:t>Levels of corneal cystine crystals are being assessed in this study using IVCM. In November 2020, we</w:t>
      </w:r>
      <w:r>
        <w:rPr>
          <w:rFonts w:ascii="Arial" w:cs="Arial" w:eastAsia="Arial" w:hAnsi="Arial"/>
          <w:sz w:val="17"/>
          <w:szCs w:val="17"/>
          <w:b w:val="1"/>
          <w:bCs w:val="1"/>
          <w:color w:val="32406B"/>
        </w:rPr>
        <w:t xml:space="preserve"> </w:t>
      </w:r>
      <w:r>
        <w:rPr>
          <w:rFonts w:ascii="Arial" w:cs="Arial" w:eastAsia="Arial" w:hAnsi="Arial"/>
          <w:sz w:val="17"/>
          <w:szCs w:val="17"/>
          <w:color w:val="32406B"/>
        </w:rPr>
        <w:t>presented one set of images of the first patient’s cornea measured at baseline and 12-months post-administration of AVR-RD-04, and another set of images measured at baseline, seven-, nine- and 12-months post-administration. In the first set, the baseline IVCM images were taken using a Nidek ConfoScan microscope and the 12-month IVCM images were taken using a Heidelberg (HRT3) with Rostock Cornea Module microscope, or Rostock microscope. In the second set of images, the baseline IVCM images were taken using a Nidek ConfoScan microscope, and the seven-, nine- and 12-month IVCM images were taken using a Rostock microscope. The patient discontinued oral and eye drop cysteamine prior to the administration of AVR-RD-04 and, as of November 3, 2020, has remained off such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S-13</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9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639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60" w:right="20" w:hanging="534"/>
        <w:spacing w:after="0" w:line="258" w:lineRule="auto"/>
        <w:tabs>
          <w:tab w:leader="none" w:pos="1160" w:val="left"/>
        </w:tabs>
        <w:numPr>
          <w:ilvl w:val="0"/>
          <w:numId w:val="17"/>
        </w:numPr>
        <w:rPr>
          <w:rFonts w:ascii="Arial" w:cs="Arial" w:eastAsia="Arial" w:hAnsi="Arial"/>
          <w:sz w:val="18"/>
          <w:szCs w:val="18"/>
          <w:color w:val="32406B"/>
        </w:rPr>
      </w:pPr>
      <w:r>
        <w:rPr>
          <w:rFonts w:ascii="Arial" w:cs="Arial" w:eastAsia="Arial" w:hAnsi="Arial"/>
          <w:sz w:val="18"/>
          <w:szCs w:val="18"/>
          <w:b w:val="1"/>
          <w:bCs w:val="1"/>
          <w:color w:val="32406B"/>
        </w:rPr>
        <w:t xml:space="preserve">Exploratory measurement – skin and hair melanin. </w:t>
      </w:r>
      <w:r>
        <w:rPr>
          <w:rFonts w:ascii="Arial" w:cs="Arial" w:eastAsia="Arial" w:hAnsi="Arial"/>
          <w:sz w:val="18"/>
          <w:szCs w:val="18"/>
          <w:color w:val="32406B"/>
        </w:rPr>
        <w:t>Photographs of the first patient in this clinical trial taken at four-, six- and nine-months post-treatment suggest that the patient’s complexion, eyebrows and hair color have darkened following administration of AVR-RD-04. As is typical of many people with cystinosis, this patient had fair hair color and skin tone prior to dosing. Cystinosin has been demonstrated to impact the regulation of melanin synthesis, and the protocol for this trial has been amended to prospectively assess changes in melanin.</w:t>
      </w:r>
    </w:p>
    <w:p>
      <w:pPr>
        <w:spacing w:after="0" w:line="183" w:lineRule="exact"/>
        <w:rPr>
          <w:sz w:val="20"/>
          <w:szCs w:val="20"/>
          <w:color w:val="auto"/>
        </w:rPr>
      </w:pPr>
    </w:p>
    <w:p>
      <w:pPr>
        <w:ind w:left="200" w:firstLine="434"/>
        <w:spacing w:after="0" w:line="273" w:lineRule="auto"/>
        <w:rPr>
          <w:sz w:val="20"/>
          <w:szCs w:val="20"/>
          <w:color w:val="auto"/>
        </w:rPr>
      </w:pPr>
      <w:r>
        <w:rPr>
          <w:rFonts w:ascii="Arial" w:cs="Arial" w:eastAsia="Arial" w:hAnsi="Arial"/>
          <w:sz w:val="17"/>
          <w:szCs w:val="17"/>
          <w:b w:val="1"/>
          <w:bCs w:val="1"/>
          <w:color w:val="32406B"/>
        </w:rPr>
        <w:t xml:space="preserve">Safety update. </w:t>
      </w:r>
      <w:r>
        <w:rPr>
          <w:rFonts w:ascii="Arial" w:cs="Arial" w:eastAsia="Arial" w:hAnsi="Arial"/>
          <w:sz w:val="17"/>
          <w:szCs w:val="17"/>
          <w:color w:val="32406B"/>
        </w:rPr>
        <w:t>As of the safety cut-off date of November 2, 2020, preliminary clinical data for the first two patients dosed in the Phase 1/2</w:t>
      </w:r>
      <w:r>
        <w:rPr>
          <w:rFonts w:ascii="Arial" w:cs="Arial" w:eastAsia="Arial" w:hAnsi="Arial"/>
          <w:sz w:val="17"/>
          <w:szCs w:val="17"/>
          <w:b w:val="1"/>
          <w:bCs w:val="1"/>
          <w:color w:val="32406B"/>
        </w:rPr>
        <w:t xml:space="preserve"> </w:t>
      </w:r>
      <w:r>
        <w:rPr>
          <w:rFonts w:ascii="Arial" w:cs="Arial" w:eastAsia="Arial" w:hAnsi="Arial"/>
          <w:sz w:val="17"/>
          <w:szCs w:val="17"/>
          <w:color w:val="32406B"/>
        </w:rPr>
        <w:t>clinical trial appear to indicate that the AVR-RD-04 investigational gene therapy has been generally well-tolerated with no unexpected safety events identified. As of the safety data cut-off date of November 2, 2020, there have been no reported SAEs or safety events attributed to the AVR-RD-04 drug product. For the first patient, as of the safety cut-off date, a total of 29 AEs were reported over a 12-month observation period, one of which was Grade 3. All remaining AEs were Grade 1 or Grade 2. For the second patient, as of the safety cut-off date of November 2, 2020 a total of 16 AEs were reported, 13 of which were Grade 1 or Grade 2 and three of which had not yet been graded. Reported AEs were generally consistent with expectations for the underlying disease and the conditioning regimen prescribed by the study protocol.</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AVR-RD-02 for Gaucher disease type 1</w:t>
      </w:r>
    </w:p>
    <w:p>
      <w:pPr>
        <w:spacing w:after="0" w:line="121" w:lineRule="exact"/>
        <w:rPr>
          <w:sz w:val="20"/>
          <w:szCs w:val="20"/>
          <w:color w:val="auto"/>
        </w:rPr>
      </w:pPr>
    </w:p>
    <w:p>
      <w:pPr>
        <w:ind w:left="200" w:right="20" w:firstLine="434"/>
        <w:spacing w:after="0" w:line="253" w:lineRule="auto"/>
        <w:rPr>
          <w:sz w:val="20"/>
          <w:szCs w:val="20"/>
          <w:color w:val="auto"/>
        </w:rPr>
      </w:pPr>
      <w:r>
        <w:rPr>
          <w:rFonts w:ascii="Arial" w:cs="Arial" w:eastAsia="Arial" w:hAnsi="Arial"/>
          <w:sz w:val="18"/>
          <w:szCs w:val="18"/>
          <w:color w:val="32406B"/>
        </w:rPr>
        <w:t>In November 2020, we announced clinical data for the first patient dosed in the clinical trial of our investigational gene therapy AVR-RD-02 for Gaucher disease type 1. AVR-RD-02 is currently being studied in a Company-sponsored Phase 1/2 clinical trial in patients with Gaucher disease type 1, which we refer to as the Guard1 trial. The clinical trial is an adaptive trial that will include both patients that are currently stable on ERT and treatment-naïve patients. We intend to enroll eight to 16 patients, between the ages of 18 and 45, with Gaucher disease type 1. Patients currently prescribed ERT will cease treatment prior to infusion of AVR-RD-02. All enrolled patients will receive a single treatment with AVR-RD-02 and will be followed for 52 weeks to measure safety and efficacy. We intend to utilize our plato platform for all patients enrolling in the Guard1 clinical trial. Efficacy endpoints for this clinical trial will include measures of liver and spleen volumes, hemoglobin, platelet counts, bone pain and bone density measures along with other blood markers used in Gaucher disease. The Guard1 clinical trial is actively recruiting in Australia and Canada, with additional sites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S-14</w:t>
      </w:r>
    </w:p>
    <w:p>
      <w:pPr>
        <w:sectPr>
          <w:pgSz w:w="11900" w:h="16838" w:orient="portrait"/>
          <w:cols w:equalWidth="0" w:num="1">
            <w:col w:w="11020"/>
          </w:cols>
          <w:pgMar w:left="320" w:top="459" w:right="5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684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4684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32406B"/>
        </w:rPr>
        <w:t>planned to be opened in the United States and Israel in the fourth quarter of 2020. This clinical trial remains ongoing and the results presented below are preliminary and may not be representative of later results. The data cut-off date for the results below was November 3, 2020.</w:t>
      </w:r>
    </w:p>
    <w:p>
      <w:pPr>
        <w:spacing w:after="0" w:line="48" w:lineRule="exact"/>
        <w:rPr>
          <w:sz w:val="20"/>
          <w:szCs w:val="20"/>
          <w:color w:val="auto"/>
        </w:rPr>
      </w:pPr>
    </w:p>
    <w:p>
      <w:pPr>
        <w:ind w:left="1160" w:hanging="534"/>
        <w:spacing w:after="0" w:line="273" w:lineRule="auto"/>
        <w:tabs>
          <w:tab w:leader="none" w:pos="1160" w:val="left"/>
        </w:tabs>
        <w:numPr>
          <w:ilvl w:val="0"/>
          <w:numId w:val="18"/>
        </w:numPr>
        <w:rPr>
          <w:rFonts w:ascii="Arial" w:cs="Arial" w:eastAsia="Arial" w:hAnsi="Arial"/>
          <w:sz w:val="17"/>
          <w:szCs w:val="17"/>
          <w:color w:val="32406B"/>
        </w:rPr>
      </w:pPr>
      <w:r>
        <w:rPr>
          <w:rFonts w:ascii="Arial" w:cs="Arial" w:eastAsia="Arial" w:hAnsi="Arial"/>
          <w:sz w:val="17"/>
          <w:szCs w:val="17"/>
          <w:b w:val="1"/>
          <w:bCs w:val="1"/>
          <w:color w:val="32406B"/>
        </w:rPr>
        <w:t xml:space="preserve">Plasma Lyso-Gb1 reductions. </w:t>
      </w:r>
      <w:r>
        <w:rPr>
          <w:rFonts w:ascii="Arial" w:cs="Arial" w:eastAsia="Arial" w:hAnsi="Arial"/>
          <w:sz w:val="17"/>
          <w:szCs w:val="17"/>
          <w:color w:val="32406B"/>
        </w:rPr>
        <w:t>Glucosylsphingosine, or lyso-Gb1, is considered a surrogate marker for disease activity and treatment</w:t>
      </w:r>
      <w:r>
        <w:rPr>
          <w:rFonts w:ascii="Arial" w:cs="Arial" w:eastAsia="Arial" w:hAnsi="Arial"/>
          <w:sz w:val="17"/>
          <w:szCs w:val="17"/>
          <w:b w:val="1"/>
          <w:bCs w:val="1"/>
          <w:color w:val="32406B"/>
        </w:rPr>
        <w:t xml:space="preserve"> </w:t>
      </w:r>
      <w:r>
        <w:rPr>
          <w:rFonts w:ascii="Arial" w:cs="Arial" w:eastAsia="Arial" w:hAnsi="Arial"/>
          <w:sz w:val="17"/>
          <w:szCs w:val="17"/>
          <w:color w:val="32406B"/>
        </w:rPr>
        <w:t>response for Gaucher disease. In the case of ERT-naïve patients and patients who have discontinued ERT, we believe that reductions in lyso-Gb1 levels following treatment with gene therapy are likely driven by the therapeutic effect of gene therapy. In November 2020, we announced that the first patient in our Guard1 clinical trial exhibited a 22% reduction in plasma lyso-Gb1 levels three months post-administration of AVR-RD-02 as compared to baseline while on ERT. We define baseline ERT for this patient as the mean of the plasma lyso-Gb1 values reported prior to initiating mobilization. This patient discontinued ERT one month prior to dosing of AVR-RD-02 and remains off ERT as of November 3, 2020.</w:t>
      </w:r>
    </w:p>
    <w:p>
      <w:pPr>
        <w:spacing w:after="0" w:line="77" w:lineRule="exact"/>
        <w:rPr>
          <w:rFonts w:ascii="Arial" w:cs="Arial" w:eastAsia="Arial" w:hAnsi="Arial"/>
          <w:sz w:val="17"/>
          <w:szCs w:val="17"/>
          <w:color w:val="32406B"/>
        </w:rPr>
      </w:pPr>
    </w:p>
    <w:p>
      <w:pPr>
        <w:ind w:left="1160" w:right="120" w:hanging="534"/>
        <w:spacing w:after="0" w:line="261" w:lineRule="auto"/>
        <w:tabs>
          <w:tab w:leader="none" w:pos="1160" w:val="left"/>
        </w:tabs>
        <w:numPr>
          <w:ilvl w:val="0"/>
          <w:numId w:val="18"/>
        </w:numPr>
        <w:rPr>
          <w:rFonts w:ascii="Arial" w:cs="Arial" w:eastAsia="Arial" w:hAnsi="Arial"/>
          <w:sz w:val="18"/>
          <w:szCs w:val="18"/>
          <w:color w:val="32406B"/>
        </w:rPr>
      </w:pPr>
      <w:r>
        <w:rPr>
          <w:rFonts w:ascii="Arial" w:cs="Arial" w:eastAsia="Arial" w:hAnsi="Arial"/>
          <w:sz w:val="18"/>
          <w:szCs w:val="18"/>
          <w:b w:val="1"/>
          <w:bCs w:val="1"/>
          <w:color w:val="32406B"/>
        </w:rPr>
        <w:t xml:space="preserve">Plasma chitotriosidase reductions. </w:t>
      </w:r>
      <w:r>
        <w:rPr>
          <w:rFonts w:ascii="Arial" w:cs="Arial" w:eastAsia="Arial" w:hAnsi="Arial"/>
          <w:sz w:val="18"/>
          <w:szCs w:val="18"/>
          <w:color w:val="32406B"/>
        </w:rPr>
        <w:t>Chitotriosidase is a biomarker of macrophage activation that is found in high levels in Gaucher</w:t>
      </w:r>
      <w:r>
        <w:rPr>
          <w:rFonts w:ascii="Arial" w:cs="Arial" w:eastAsia="Arial" w:hAnsi="Arial"/>
          <w:sz w:val="18"/>
          <w:szCs w:val="18"/>
          <w:b w:val="1"/>
          <w:bCs w:val="1"/>
          <w:color w:val="32406B"/>
        </w:rPr>
        <w:t xml:space="preserve"> </w:t>
      </w:r>
      <w:r>
        <w:rPr>
          <w:rFonts w:ascii="Arial" w:cs="Arial" w:eastAsia="Arial" w:hAnsi="Arial"/>
          <w:sz w:val="18"/>
          <w:szCs w:val="18"/>
          <w:color w:val="32406B"/>
        </w:rPr>
        <w:t>patients where the macrophages have accumulated an excess lipid burden. In November 2020, we announced that at three months post-treatment with AVR-RD-02 the first patient in the Guard1 clinical trial exhibited a 17% reduction in chitotriosidase levels as compared to baseline while on ERT.</w:t>
      </w:r>
    </w:p>
    <w:p>
      <w:pPr>
        <w:spacing w:after="0" w:line="85" w:lineRule="exact"/>
        <w:rPr>
          <w:rFonts w:ascii="Arial" w:cs="Arial" w:eastAsia="Arial" w:hAnsi="Arial"/>
          <w:sz w:val="18"/>
          <w:szCs w:val="18"/>
          <w:color w:val="32406B"/>
        </w:rPr>
      </w:pPr>
    </w:p>
    <w:p>
      <w:pPr>
        <w:ind w:left="1160" w:right="260" w:hanging="534"/>
        <w:spacing w:after="0" w:line="266" w:lineRule="auto"/>
        <w:tabs>
          <w:tab w:leader="none" w:pos="1160" w:val="left"/>
        </w:tabs>
        <w:numPr>
          <w:ilvl w:val="0"/>
          <w:numId w:val="18"/>
        </w:numPr>
        <w:rPr>
          <w:rFonts w:ascii="Arial" w:cs="Arial" w:eastAsia="Arial" w:hAnsi="Arial"/>
          <w:sz w:val="18"/>
          <w:szCs w:val="18"/>
          <w:color w:val="32406B"/>
        </w:rPr>
      </w:pPr>
      <w:r>
        <w:rPr>
          <w:rFonts w:ascii="Arial" w:cs="Arial" w:eastAsia="Arial" w:hAnsi="Arial"/>
          <w:sz w:val="18"/>
          <w:szCs w:val="18"/>
          <w:b w:val="1"/>
          <w:bCs w:val="1"/>
          <w:color w:val="32406B"/>
        </w:rPr>
        <w:t xml:space="preserve">Red blood cells and platelet counts. </w:t>
      </w:r>
      <w:r>
        <w:rPr>
          <w:rFonts w:ascii="Arial" w:cs="Arial" w:eastAsia="Arial" w:hAnsi="Arial"/>
          <w:sz w:val="18"/>
          <w:szCs w:val="18"/>
          <w:color w:val="32406B"/>
        </w:rPr>
        <w:t>Gaucher disease typically causes patients to have low levels of hemoglobin and platelets. In</w:t>
      </w:r>
      <w:r>
        <w:rPr>
          <w:rFonts w:ascii="Arial" w:cs="Arial" w:eastAsia="Arial" w:hAnsi="Arial"/>
          <w:sz w:val="18"/>
          <w:szCs w:val="18"/>
          <w:b w:val="1"/>
          <w:bCs w:val="1"/>
          <w:color w:val="32406B"/>
        </w:rPr>
        <w:t xml:space="preserve"> </w:t>
      </w:r>
      <w:r>
        <w:rPr>
          <w:rFonts w:ascii="Arial" w:cs="Arial" w:eastAsia="Arial" w:hAnsi="Arial"/>
          <w:sz w:val="18"/>
          <w:szCs w:val="18"/>
          <w:color w:val="32406B"/>
        </w:rPr>
        <w:t>November 2020, we presented the following data, which highlights the hemoglobin and platelet levels of the first patient dosed in the Guard1 clinical trial at baseline and three months post-administration of AVR-RD-02.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S-15</w:t>
      </w:r>
    </w:p>
    <w:p>
      <w:pPr>
        <w:sectPr>
          <w:pgSz w:w="11900" w:h="16838" w:orient="portrait"/>
          <w:cols w:equalWidth="0" w:num="1">
            <w:col w:w="11020"/>
          </w:cols>
          <w:pgMar w:left="320" w:top="459" w:right="5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01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90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160" w:right="220" w:hanging="534"/>
        <w:spacing w:after="0" w:line="293" w:lineRule="auto"/>
        <w:tabs>
          <w:tab w:leader="none" w:pos="1160" w:val="left"/>
        </w:tabs>
        <w:numPr>
          <w:ilvl w:val="0"/>
          <w:numId w:val="19"/>
        </w:numPr>
        <w:rPr>
          <w:rFonts w:ascii="Arial" w:cs="Arial" w:eastAsia="Arial" w:hAnsi="Arial"/>
          <w:sz w:val="16"/>
          <w:szCs w:val="16"/>
          <w:color w:val="32406B"/>
        </w:rPr>
      </w:pPr>
      <w:r>
        <w:rPr>
          <w:rFonts w:ascii="Arial" w:cs="Arial" w:eastAsia="Arial" w:hAnsi="Arial"/>
          <w:sz w:val="16"/>
          <w:szCs w:val="16"/>
          <w:b w:val="1"/>
          <w:bCs w:val="1"/>
          <w:color w:val="32406B"/>
        </w:rPr>
        <w:t xml:space="preserve">Vector copy number. </w:t>
      </w:r>
      <w:r>
        <w:rPr>
          <w:rFonts w:ascii="Arial" w:cs="Arial" w:eastAsia="Arial" w:hAnsi="Arial"/>
          <w:sz w:val="16"/>
          <w:szCs w:val="16"/>
          <w:color w:val="32406B"/>
        </w:rPr>
        <w:t>In November 2020, we announced that the first patient in the Guard1 clinical trial exhibited a VCN of 0.6 three</w:t>
      </w:r>
      <w:r>
        <w:rPr>
          <w:rFonts w:ascii="Arial" w:cs="Arial" w:eastAsia="Arial" w:hAnsi="Arial"/>
          <w:sz w:val="16"/>
          <w:szCs w:val="16"/>
          <w:b w:val="1"/>
          <w:bCs w:val="1"/>
          <w:color w:val="32406B"/>
        </w:rPr>
        <w:t xml:space="preserve"> </w:t>
      </w:r>
      <w:r>
        <w:rPr>
          <w:rFonts w:ascii="Arial" w:cs="Arial" w:eastAsia="Arial" w:hAnsi="Arial"/>
          <w:sz w:val="16"/>
          <w:szCs w:val="16"/>
          <w:color w:val="32406B"/>
        </w:rPr>
        <w:t>months post-treatment with AVR-RD-02. In addition, an exploratory assessment of VCN in specific cell populations showed a VCN ³</w:t>
      </w:r>
    </w:p>
    <w:p>
      <w:pPr>
        <w:spacing w:after="0" w:line="1" w:lineRule="exact"/>
        <w:rPr>
          <w:rFonts w:ascii="Arial" w:cs="Arial" w:eastAsia="Arial" w:hAnsi="Arial"/>
          <w:sz w:val="16"/>
          <w:szCs w:val="16"/>
          <w:color w:val="32406B"/>
        </w:rPr>
      </w:pPr>
    </w:p>
    <w:p>
      <w:pPr>
        <w:ind w:left="1160" w:right="80"/>
        <w:spacing w:after="0" w:line="260" w:lineRule="auto"/>
        <w:rPr>
          <w:rFonts w:ascii="Arial" w:cs="Arial" w:eastAsia="Arial" w:hAnsi="Arial"/>
          <w:sz w:val="16"/>
          <w:szCs w:val="16"/>
          <w:color w:val="32406B"/>
        </w:rPr>
      </w:pPr>
      <w:r>
        <w:rPr>
          <w:rFonts w:ascii="Arial" w:cs="Arial" w:eastAsia="Arial" w:hAnsi="Arial"/>
          <w:sz w:val="18"/>
          <w:szCs w:val="18"/>
          <w:color w:val="32406B"/>
        </w:rPr>
        <w:t>0.7 in the myeloid cell lines, which we believe could be indicative of transgene presence in the macrophages, the essential cell impacted in Gaucher patients.</w:t>
      </w:r>
    </w:p>
    <w:p>
      <w:pPr>
        <w:spacing w:after="0" w:line="181" w:lineRule="exact"/>
        <w:rPr>
          <w:sz w:val="20"/>
          <w:szCs w:val="20"/>
          <w:color w:val="auto"/>
        </w:rPr>
      </w:pPr>
    </w:p>
    <w:p>
      <w:pPr>
        <w:ind w:left="200" w:right="40" w:firstLine="434"/>
        <w:spacing w:after="0" w:line="256" w:lineRule="auto"/>
        <w:rPr>
          <w:sz w:val="20"/>
          <w:szCs w:val="20"/>
          <w:color w:val="auto"/>
        </w:rPr>
      </w:pPr>
      <w:r>
        <w:rPr>
          <w:rFonts w:ascii="Arial" w:cs="Arial" w:eastAsia="Arial" w:hAnsi="Arial"/>
          <w:sz w:val="18"/>
          <w:szCs w:val="18"/>
          <w:b w:val="1"/>
          <w:bCs w:val="1"/>
          <w:color w:val="32406B"/>
        </w:rPr>
        <w:t xml:space="preserve">Safety update. </w:t>
      </w:r>
      <w:r>
        <w:rPr>
          <w:rFonts w:ascii="Arial" w:cs="Arial" w:eastAsia="Arial" w:hAnsi="Arial"/>
          <w:sz w:val="18"/>
          <w:szCs w:val="18"/>
          <w:color w:val="32406B"/>
        </w:rPr>
        <w:t>As of the safety cut-off date of November 3, 2020, clinical data for the first patient dosed in the Guard1 clinical trial appear to</w:t>
      </w:r>
      <w:r>
        <w:rPr>
          <w:rFonts w:ascii="Arial" w:cs="Arial" w:eastAsia="Arial" w:hAnsi="Arial"/>
          <w:sz w:val="18"/>
          <w:szCs w:val="18"/>
          <w:b w:val="1"/>
          <w:bCs w:val="1"/>
          <w:color w:val="32406B"/>
        </w:rPr>
        <w:t xml:space="preserve"> </w:t>
      </w:r>
      <w:r>
        <w:rPr>
          <w:rFonts w:ascii="Arial" w:cs="Arial" w:eastAsia="Arial" w:hAnsi="Arial"/>
          <w:sz w:val="18"/>
          <w:szCs w:val="18"/>
          <w:color w:val="32406B"/>
        </w:rPr>
        <w:t>indicate that the AVR-RD-02 investigational gene therapy has been generally well tolerated with no unexpected safety events identified. No SAEs were reported as of the safety data cut-off date of November 3, 2020. A total of 26 AEs were reported as of the safety cut-off date, one of which was Grade 4 and eight of which were Grade 3. The remainder of the AEs were Grade 2 or Grade 1. All reported AEs were consistent with expectations for the underlying disease and conditioning regimen prescribed by the study protocol and have resolved. There have been no reports of safety events attributed to the AVR-RD-02 drug product.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AVR-RD-03 for Pompe disease</w:t>
      </w:r>
    </w:p>
    <w:p>
      <w:pPr>
        <w:spacing w:after="0" w:line="121" w:lineRule="exact"/>
        <w:rPr>
          <w:sz w:val="20"/>
          <w:szCs w:val="20"/>
          <w:color w:val="auto"/>
        </w:rPr>
      </w:pPr>
    </w:p>
    <w:p>
      <w:pPr>
        <w:ind w:left="200" w:right="60" w:firstLine="434"/>
        <w:spacing w:after="0" w:line="273" w:lineRule="auto"/>
        <w:rPr>
          <w:sz w:val="20"/>
          <w:szCs w:val="20"/>
          <w:color w:val="auto"/>
        </w:rPr>
      </w:pPr>
      <w:r>
        <w:rPr>
          <w:rFonts w:ascii="Arial" w:cs="Arial" w:eastAsia="Arial" w:hAnsi="Arial"/>
          <w:sz w:val="17"/>
          <w:szCs w:val="17"/>
          <w:color w:val="32406B"/>
        </w:rPr>
        <w:t>AVR-RD-03 is our preclinical product candidate for the treatment of Pompe disease. AVR-RD-03 is expected to be manufactured from hematopoietic stem cells that are first harvested from the patient, modified to add the gene that encodes for acid alpha glucosidase A, or GAA, attached to a peptide sequence known as a glycosylation-independent lysosomal targeting, or GILT, tag and then infused into the patient. AVR-RD-03 will incorporate a GILT tag because the GILT tag has been found to increase the uptake of GAA into cells, especially in muscle cells, by a multiple of 25, which is a particularly important target tissue for patients with Pompe disease and a target tissue that is considered difficult to access for ERT. AVR-RD-03 is designed to incorporate a potent promoter to increase volume of system enzyme in circulation.</w:t>
      </w:r>
    </w:p>
    <w:p>
      <w:pPr>
        <w:spacing w:after="0" w:line="178" w:lineRule="exact"/>
        <w:rPr>
          <w:sz w:val="20"/>
          <w:szCs w:val="20"/>
          <w:color w:val="auto"/>
        </w:rPr>
      </w:pPr>
    </w:p>
    <w:p>
      <w:pPr>
        <w:ind w:left="200" w:right="20" w:firstLine="434"/>
        <w:spacing w:after="0" w:line="277" w:lineRule="auto"/>
        <w:rPr>
          <w:sz w:val="20"/>
          <w:szCs w:val="20"/>
          <w:color w:val="auto"/>
        </w:rPr>
      </w:pPr>
      <w:r>
        <w:rPr>
          <w:rFonts w:ascii="Arial" w:cs="Arial" w:eastAsia="Arial" w:hAnsi="Arial"/>
          <w:sz w:val="18"/>
          <w:szCs w:val="18"/>
          <w:color w:val="32406B"/>
        </w:rPr>
        <w:t>In November 2020, we presented data from a study in which mice with the equivalent of classic infantile-onset Pompe disease were treated with AVR-RD-03.</w:t>
      </w:r>
    </w:p>
    <w:p>
      <w:pPr>
        <w:spacing w:after="0" w:line="72" w:lineRule="exact"/>
        <w:rPr>
          <w:sz w:val="20"/>
          <w:szCs w:val="20"/>
          <w:color w:val="auto"/>
        </w:rPr>
      </w:pPr>
    </w:p>
    <w:p>
      <w:pPr>
        <w:ind w:left="1600" w:hanging="434"/>
        <w:spacing w:after="0" w:line="266" w:lineRule="auto"/>
        <w:tabs>
          <w:tab w:leader="none" w:pos="1600" w:val="left"/>
        </w:tabs>
        <w:numPr>
          <w:ilvl w:val="0"/>
          <w:numId w:val="20"/>
        </w:numPr>
        <w:rPr>
          <w:rFonts w:ascii="Arial" w:cs="Arial" w:eastAsia="Arial" w:hAnsi="Arial"/>
          <w:sz w:val="18"/>
          <w:szCs w:val="18"/>
          <w:color w:val="32406B"/>
        </w:rPr>
      </w:pPr>
      <w:r>
        <w:rPr>
          <w:rFonts w:ascii="Arial" w:cs="Arial" w:eastAsia="Arial" w:hAnsi="Arial"/>
          <w:sz w:val="18"/>
          <w:szCs w:val="18"/>
          <w:b w:val="1"/>
          <w:bCs w:val="1"/>
          <w:color w:val="32406B"/>
        </w:rPr>
        <w:t xml:space="preserve">GAA enzyme production. </w:t>
      </w:r>
      <w:r>
        <w:rPr>
          <w:rFonts w:ascii="Arial" w:cs="Arial" w:eastAsia="Arial" w:hAnsi="Arial"/>
          <w:sz w:val="18"/>
          <w:szCs w:val="18"/>
          <w:color w:val="32406B"/>
        </w:rPr>
        <w:t>The following graphs summarize the levels of GAA observed in normal mice, mice with the equivalent</w:t>
      </w:r>
      <w:r>
        <w:rPr>
          <w:rFonts w:ascii="Arial" w:cs="Arial" w:eastAsia="Arial" w:hAnsi="Arial"/>
          <w:sz w:val="18"/>
          <w:szCs w:val="18"/>
          <w:b w:val="1"/>
          <w:bCs w:val="1"/>
          <w:color w:val="32406B"/>
        </w:rPr>
        <w:t xml:space="preserve"> </w:t>
      </w:r>
      <w:r>
        <w:rPr>
          <w:rFonts w:ascii="Arial" w:cs="Arial" w:eastAsia="Arial" w:hAnsi="Arial"/>
          <w:sz w:val="18"/>
          <w:szCs w:val="18"/>
          <w:color w:val="32406B"/>
        </w:rPr>
        <w:t>of infantile-onset Pompe disease, mice treated with AVR-RD-03 modified to not incorporate our proprietary GILT tag, and mice treated with AVR-RD-03 including our GILT tag, in each case measured 16 weeks post-treatment.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S-16</w:t>
      </w:r>
    </w:p>
    <w:p>
      <w:pPr>
        <w:sectPr>
          <w:pgSz w:w="11900" w:h="16838" w:orient="portrait"/>
          <w:cols w:equalWidth="0" w:num="1">
            <w:col w:w="11040"/>
          </w:cols>
          <w:pgMar w:left="320" w:top="459"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42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0" w:right="60" w:hanging="434"/>
        <w:spacing w:after="0" w:line="266" w:lineRule="auto"/>
        <w:tabs>
          <w:tab w:leader="none" w:pos="1600" w:val="left"/>
        </w:tabs>
        <w:numPr>
          <w:ilvl w:val="0"/>
          <w:numId w:val="21"/>
        </w:numPr>
        <w:rPr>
          <w:rFonts w:ascii="Arial" w:cs="Arial" w:eastAsia="Arial" w:hAnsi="Arial"/>
          <w:sz w:val="18"/>
          <w:szCs w:val="18"/>
          <w:color w:val="32406B"/>
        </w:rPr>
      </w:pPr>
      <w:r>
        <w:rPr>
          <w:rFonts w:ascii="Arial" w:cs="Arial" w:eastAsia="Arial" w:hAnsi="Arial"/>
          <w:sz w:val="18"/>
          <w:szCs w:val="18"/>
          <w:b w:val="1"/>
          <w:bCs w:val="1"/>
          <w:color w:val="32406B"/>
        </w:rPr>
        <w:t xml:space="preserve">Reduction in glycogen. </w:t>
      </w:r>
      <w:r>
        <w:rPr>
          <w:rFonts w:ascii="Arial" w:cs="Arial" w:eastAsia="Arial" w:hAnsi="Arial"/>
          <w:sz w:val="18"/>
          <w:szCs w:val="18"/>
          <w:color w:val="32406B"/>
        </w:rPr>
        <w:t>The following graphs summarize the reduction in levels of glycogen observed in the hearts of study mice</w:t>
      </w:r>
      <w:r>
        <w:rPr>
          <w:rFonts w:ascii="Arial" w:cs="Arial" w:eastAsia="Arial" w:hAnsi="Arial"/>
          <w:sz w:val="18"/>
          <w:szCs w:val="18"/>
          <w:b w:val="1"/>
          <w:bCs w:val="1"/>
          <w:color w:val="32406B"/>
        </w:rPr>
        <w:t xml:space="preserve"> </w:t>
      </w:r>
      <w:r>
        <w:rPr>
          <w:rFonts w:ascii="Arial" w:cs="Arial" w:eastAsia="Arial" w:hAnsi="Arial"/>
          <w:sz w:val="18"/>
          <w:szCs w:val="18"/>
          <w:color w:val="32406B"/>
        </w:rPr>
        <w:t>at four months post-treatment. In addition, we presented an echocardiograph image of the heart of a study mouse taken seven months post-treatment with our GILT-tagged version of AVR-RD-03.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0"/>
        <w:spacing w:after="0" w:line="257" w:lineRule="auto"/>
        <w:rPr>
          <w:sz w:val="20"/>
          <w:szCs w:val="20"/>
          <w:color w:val="auto"/>
        </w:rPr>
      </w:pPr>
      <w:r>
        <w:rPr>
          <w:rFonts w:ascii="Arial" w:cs="Arial" w:eastAsia="Arial" w:hAnsi="Arial"/>
          <w:sz w:val="18"/>
          <w:szCs w:val="18"/>
          <w:color w:val="32406B"/>
        </w:rPr>
        <w:t>Our study measured glycogen levels in the brain at four months post-treatment with our GILT-tagged version of AVR-RD-03, which showed a 100% reduction in glycogen levels. In addition, our study measured glycogen levels in various organs of the study mice at eight months post-treatment. The data showed an average of greater than 99% reduction in glycogen levels in the heart, greater than 97% reduction in the diaphragm, greater than 85% reduction in skeletal muscle, greater than 95% reduction in the brain, and greater than 99% reduction in the spinal cord.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AVR-RD-05 for Hunter syndrome</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color w:val="32406B"/>
        </w:rPr>
        <w:t>AVR-RD-05 is our preclinical product candidate for the treatment of Hunter syndrome, or mucopolysaccharidosis type II (MPSII). 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October 5, 2020, we announced that we entered into an agreement with The University of Manchester, England, or UoM, whereby UoM granted to us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an exclusive worldwide license under certain patent and other intellectual property rights, subject to certain retained rights, to develop, commercialize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 xml:space="preserve">and sell an </w:t>
      </w:r>
      <w:r>
        <w:rPr>
          <w:rFonts w:ascii="Arial" w:cs="Arial" w:eastAsia="Arial" w:hAnsi="Arial"/>
          <w:sz w:val="18"/>
          <w:szCs w:val="18"/>
          <w:i w:val="1"/>
          <w:iCs w:val="1"/>
          <w:color w:val="32406B"/>
        </w:rPr>
        <w:t>ex vivo</w:t>
      </w:r>
      <w:r>
        <w:rPr>
          <w:rFonts w:ascii="Arial" w:cs="Arial" w:eastAsia="Arial" w:hAnsi="Arial"/>
          <w:sz w:val="18"/>
          <w:szCs w:val="18"/>
          <w:color w:val="32406B"/>
        </w:rPr>
        <w:t xml:space="preserve"> lentiviral gene therapy for use in the treatment of Hunter syndrome.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S-17</w:t>
      </w:r>
    </w:p>
    <w:p>
      <w:pPr>
        <w:sectPr>
          <w:pgSz w:w="11900" w:h="16838" w:orient="portrait"/>
          <w:cols w:equalWidth="0" w:num="1">
            <w:col w:w="11020"/>
          </w:cols>
          <w:pgMar w:left="320" w:top="459" w:right="5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250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52501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color w:val="32406B"/>
        </w:rPr>
        <w:t>AVR-RD-05 will be studied by our collaborators at UoM and a Phase 1/2 investigator-sponsored clinical trial of AVR-RD-05 is expected to commence in the second half of 2021.</w:t>
      </w:r>
    </w:p>
    <w:p>
      <w:pPr>
        <w:spacing w:after="0" w:line="170" w:lineRule="exact"/>
        <w:rPr>
          <w:sz w:val="20"/>
          <w:szCs w:val="20"/>
          <w:color w:val="auto"/>
        </w:rPr>
      </w:pPr>
    </w:p>
    <w:p>
      <w:pPr>
        <w:ind w:left="200" w:right="300" w:firstLine="434"/>
        <w:spacing w:after="0" w:line="259" w:lineRule="auto"/>
        <w:rPr>
          <w:sz w:val="20"/>
          <w:szCs w:val="20"/>
          <w:color w:val="auto"/>
        </w:rPr>
      </w:pPr>
      <w:r>
        <w:rPr>
          <w:rFonts w:ascii="Arial" w:cs="Arial" w:eastAsia="Arial" w:hAnsi="Arial"/>
          <w:sz w:val="18"/>
          <w:szCs w:val="18"/>
          <w:color w:val="32406B"/>
        </w:rPr>
        <w:t xml:space="preserve">AVR-RD-05 involves </w:t>
      </w:r>
      <w:r>
        <w:rPr>
          <w:rFonts w:ascii="Arial" w:cs="Arial" w:eastAsia="Arial" w:hAnsi="Arial"/>
          <w:sz w:val="18"/>
          <w:szCs w:val="18"/>
          <w:i w:val="1"/>
          <w:iCs w:val="1"/>
          <w:color w:val="32406B"/>
        </w:rPr>
        <w:t>ex vivo</w:t>
      </w:r>
      <w:r>
        <w:rPr>
          <w:rFonts w:ascii="Arial" w:cs="Arial" w:eastAsia="Arial" w:hAnsi="Arial"/>
          <w:sz w:val="18"/>
          <w:szCs w:val="18"/>
          <w:color w:val="32406B"/>
        </w:rPr>
        <w:t xml:space="preserve"> transduction of the patient’s own hematopoietic stem cells with a therapeutic transgene, in-licensed from the University of Manchester, designed to express functional iduronate 2-sulfatase, or IDS, which is the enzyme the patient needs to maintain cellular health, coupled to a proprietary ApoE2 protein tag that is designed to improve stability of the enzyme in the bloodstream and facilitate uptake by tissues.</w:t>
      </w:r>
    </w:p>
    <w:p>
      <w:pPr>
        <w:spacing w:after="0" w:line="187" w:lineRule="exact"/>
        <w:rPr>
          <w:sz w:val="20"/>
          <w:szCs w:val="20"/>
          <w:color w:val="auto"/>
        </w:rPr>
      </w:pPr>
    </w:p>
    <w:p>
      <w:pPr>
        <w:jc w:val="both"/>
        <w:ind w:left="200" w:firstLine="434"/>
        <w:spacing w:after="0" w:line="263" w:lineRule="auto"/>
        <w:rPr>
          <w:sz w:val="20"/>
          <w:szCs w:val="20"/>
          <w:color w:val="auto"/>
        </w:rPr>
      </w:pPr>
      <w:r>
        <w:rPr>
          <w:rFonts w:ascii="Arial" w:cs="Arial" w:eastAsia="Arial" w:hAnsi="Arial"/>
          <w:sz w:val="18"/>
          <w:szCs w:val="18"/>
          <w:color w:val="32406B"/>
        </w:rPr>
        <w:t>In November 2020, we presented previously published preclinical data on AVR-RD-05. The study presented data from normal study mice, mice affected with the equivalent of Hunter syndrome, mice treated with AVR-RD-05 modified to not incorporate the ApoE2 protein tag, and mice treated with AVR-RD-05 incorporating the proprietary ApoE2 tag.</w:t>
      </w:r>
    </w:p>
    <w:p>
      <w:pPr>
        <w:spacing w:after="0" w:line="85" w:lineRule="exact"/>
        <w:rPr>
          <w:sz w:val="20"/>
          <w:szCs w:val="20"/>
          <w:color w:val="auto"/>
        </w:rPr>
      </w:pPr>
    </w:p>
    <w:p>
      <w:pPr>
        <w:ind w:left="1600" w:right="100" w:hanging="434"/>
        <w:spacing w:after="0" w:line="303" w:lineRule="auto"/>
        <w:tabs>
          <w:tab w:leader="none" w:pos="1600" w:val="left"/>
        </w:tabs>
        <w:numPr>
          <w:ilvl w:val="0"/>
          <w:numId w:val="22"/>
        </w:numPr>
        <w:rPr>
          <w:rFonts w:ascii="Arial" w:cs="Arial" w:eastAsia="Arial" w:hAnsi="Arial"/>
          <w:sz w:val="16"/>
          <w:szCs w:val="16"/>
          <w:color w:val="32406B"/>
        </w:rPr>
      </w:pPr>
      <w:r>
        <w:rPr>
          <w:rFonts w:ascii="Arial" w:cs="Arial" w:eastAsia="Arial" w:hAnsi="Arial"/>
          <w:sz w:val="16"/>
          <w:szCs w:val="16"/>
          <w:b w:val="1"/>
          <w:bCs w:val="1"/>
          <w:color w:val="32406B"/>
        </w:rPr>
        <w:t xml:space="preserve">Brain heparan sulfate. </w:t>
      </w:r>
      <w:r>
        <w:rPr>
          <w:rFonts w:ascii="Arial" w:cs="Arial" w:eastAsia="Arial" w:hAnsi="Arial"/>
          <w:sz w:val="16"/>
          <w:szCs w:val="16"/>
          <w:color w:val="32406B"/>
        </w:rPr>
        <w:t>IDS insufficiency affects the catabolism of heparan sulfate, leading to its toxic accumulation in all cells.</w:t>
      </w:r>
      <w:r>
        <w:rPr>
          <w:rFonts w:ascii="Arial" w:cs="Arial" w:eastAsia="Arial" w:hAnsi="Arial"/>
          <w:sz w:val="16"/>
          <w:szCs w:val="16"/>
          <w:b w:val="1"/>
          <w:bCs w:val="1"/>
          <w:color w:val="32406B"/>
        </w:rPr>
        <w:t xml:space="preserve"> </w:t>
      </w:r>
      <w:r>
        <w:rPr>
          <w:rFonts w:ascii="Arial" w:cs="Arial" w:eastAsia="Arial" w:hAnsi="Arial"/>
          <w:sz w:val="16"/>
          <w:szCs w:val="16"/>
          <w:color w:val="32406B"/>
        </w:rPr>
        <w:t>The graph on the left below summarizes levels of heparan sulfate and the graph on the right summarizes the composition of heparan sulfates, in each case in the brains of study mice. Heparan sulfate comes in a variety of forms, and it is the differences in their composition that determines their specific function. Changes in composition may play a role in pathogenesis.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00" w:right="200" w:hanging="434"/>
        <w:spacing w:after="0" w:line="292" w:lineRule="auto"/>
        <w:tabs>
          <w:tab w:leader="none" w:pos="1600" w:val="left"/>
        </w:tabs>
        <w:numPr>
          <w:ilvl w:val="0"/>
          <w:numId w:val="23"/>
        </w:numPr>
        <w:rPr>
          <w:rFonts w:ascii="Arial" w:cs="Arial" w:eastAsia="Arial" w:hAnsi="Arial"/>
          <w:sz w:val="16"/>
          <w:szCs w:val="16"/>
          <w:color w:val="32406B"/>
        </w:rPr>
      </w:pPr>
      <w:r>
        <w:rPr>
          <w:rFonts w:ascii="Arial" w:cs="Arial" w:eastAsia="Arial" w:hAnsi="Arial"/>
          <w:sz w:val="16"/>
          <w:szCs w:val="16"/>
          <w:b w:val="1"/>
          <w:bCs w:val="1"/>
          <w:color w:val="32406B"/>
        </w:rPr>
        <w:t xml:space="preserve">Neuro-inflammation. </w:t>
      </w:r>
      <w:r>
        <w:rPr>
          <w:rFonts w:ascii="Arial" w:cs="Arial" w:eastAsia="Arial" w:hAnsi="Arial"/>
          <w:sz w:val="16"/>
          <w:szCs w:val="16"/>
          <w:color w:val="32406B"/>
        </w:rPr>
        <w:t>The images below summarize the effect of AVR-RD-05 with the ApoE2 tag on neuro-inflammatory</w:t>
      </w:r>
      <w:r>
        <w:rPr>
          <w:rFonts w:ascii="Arial" w:cs="Arial" w:eastAsia="Arial" w:hAnsi="Arial"/>
          <w:sz w:val="16"/>
          <w:szCs w:val="16"/>
          <w:b w:val="1"/>
          <w:bCs w:val="1"/>
          <w:color w:val="32406B"/>
        </w:rPr>
        <w:t xml:space="preserve"> </w:t>
      </w:r>
      <w:r>
        <w:rPr>
          <w:rFonts w:ascii="Arial" w:cs="Arial" w:eastAsia="Arial" w:hAnsi="Arial"/>
          <w:sz w:val="16"/>
          <w:szCs w:val="16"/>
          <w:color w:val="32406B"/>
        </w:rPr>
        <w:t>pathologies in the brains of mice affected with Hunter syndrome. We believe the ApoE2 tag may increase the cells’ secretion of IDS to potentially restore healthy cellular function, may stabilize the secreted IDS so it has a longer half-life, and may facilitate uptake of IDS into the brain. The images on the left illustrate a series of histology sections of the cortex and striatum, where the dark specks indicate microglia that have been inappropriately activated in the brain due to the accumulation of heparan sulfate. The images on the right illustrate the effect on astrogliosis, another marker of pathological brain inflammation in Hunter. The green specks indicate astrocytes, the red speck are lysosomes and the blue specks are cell nuclei.</w:t>
      </w:r>
    </w:p>
    <w:p>
      <w:pPr>
        <w:spacing w:after="0" w:line="200" w:lineRule="exact"/>
        <w:rPr>
          <w:sz w:val="20"/>
          <w:szCs w:val="20"/>
          <w:color w:val="auto"/>
        </w:rPr>
      </w:pPr>
    </w:p>
    <w:p>
      <w:pPr>
        <w:spacing w:after="0" w:line="3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S-18</w:t>
      </w:r>
    </w:p>
    <w:p>
      <w:pPr>
        <w:sectPr>
          <w:pgSz w:w="11900" w:h="16838" w:orient="portrait"/>
          <w:cols w:equalWidth="0" w:num="1">
            <w:col w:w="10980"/>
          </w:cols>
          <w:pgMar w:left="320" w:top="459" w:right="5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7760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677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0" w:hanging="434"/>
        <w:spacing w:after="0" w:line="298" w:lineRule="auto"/>
        <w:tabs>
          <w:tab w:leader="none" w:pos="1600" w:val="left"/>
        </w:tabs>
        <w:numPr>
          <w:ilvl w:val="0"/>
          <w:numId w:val="24"/>
        </w:numPr>
        <w:rPr>
          <w:rFonts w:ascii="Arial" w:cs="Arial" w:eastAsia="Arial" w:hAnsi="Arial"/>
          <w:sz w:val="16"/>
          <w:szCs w:val="16"/>
          <w:color w:val="32406B"/>
        </w:rPr>
      </w:pPr>
      <w:r>
        <w:rPr>
          <w:rFonts w:ascii="Arial" w:cs="Arial" w:eastAsia="Arial" w:hAnsi="Arial"/>
          <w:sz w:val="16"/>
          <w:szCs w:val="16"/>
          <w:b w:val="1"/>
          <w:bCs w:val="1"/>
          <w:color w:val="32406B"/>
        </w:rPr>
        <w:t xml:space="preserve">Facial and skeletal abnormalities. </w:t>
      </w:r>
      <w:r>
        <w:rPr>
          <w:rFonts w:ascii="Arial" w:cs="Arial" w:eastAsia="Arial" w:hAnsi="Arial"/>
          <w:sz w:val="16"/>
          <w:szCs w:val="16"/>
          <w:color w:val="32406B"/>
        </w:rPr>
        <w:t>Hunter syndrome affects not only the brain, the heart, and respiratory function, but also</w:t>
      </w:r>
      <w:r>
        <w:rPr>
          <w:rFonts w:ascii="Arial" w:cs="Arial" w:eastAsia="Arial" w:hAnsi="Arial"/>
          <w:sz w:val="16"/>
          <w:szCs w:val="16"/>
          <w:b w:val="1"/>
          <w:bCs w:val="1"/>
          <w:color w:val="32406B"/>
        </w:rPr>
        <w:t xml:space="preserve"> </w:t>
      </w:r>
      <w:r>
        <w:rPr>
          <w:rFonts w:ascii="Arial" w:cs="Arial" w:eastAsia="Arial" w:hAnsi="Arial"/>
          <w:sz w:val="16"/>
          <w:szCs w:val="16"/>
          <w:color w:val="32406B"/>
        </w:rPr>
        <w:t>skeletal muscles and facial features. The images on the left below show x-rays of a mouse face, including an image of a mouse affected with the equivalent of Hunter syndrome exhibiting significant thickening of the zygomatic arch, or cheek bones. The graphs on the right present data measuring the width of the humerus and femur. In mice affected with Hunter syndrome, these bones are notably wider, an abnormality that is believed to contribute to the overall reduced stature and physical deformity.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00" w:right="40" w:hanging="434"/>
        <w:spacing w:after="0" w:line="282" w:lineRule="auto"/>
        <w:tabs>
          <w:tab w:leader="none" w:pos="1600" w:val="left"/>
        </w:tabs>
        <w:numPr>
          <w:ilvl w:val="0"/>
          <w:numId w:val="25"/>
        </w:numPr>
        <w:rPr>
          <w:rFonts w:ascii="Arial" w:cs="Arial" w:eastAsia="Arial" w:hAnsi="Arial"/>
          <w:sz w:val="18"/>
          <w:szCs w:val="18"/>
          <w:color w:val="32406B"/>
        </w:rPr>
      </w:pPr>
      <w:r>
        <w:rPr>
          <w:rFonts w:ascii="Arial" w:cs="Arial" w:eastAsia="Arial" w:hAnsi="Arial"/>
          <w:sz w:val="18"/>
          <w:szCs w:val="18"/>
          <w:b w:val="1"/>
          <w:bCs w:val="1"/>
          <w:color w:val="32406B"/>
        </w:rPr>
        <w:t xml:space="preserve">Cognition and performance. </w:t>
      </w:r>
      <w:r>
        <w:rPr>
          <w:rFonts w:ascii="Arial" w:cs="Arial" w:eastAsia="Arial" w:hAnsi="Arial"/>
          <w:sz w:val="18"/>
          <w:szCs w:val="18"/>
          <w:color w:val="32406B"/>
        </w:rPr>
        <w:t>Patients with neuronopathic Hunter syndrome typically experience rapid cognitive decline. The</w:t>
      </w:r>
      <w:r>
        <w:rPr>
          <w:rFonts w:ascii="Arial" w:cs="Arial" w:eastAsia="Arial" w:hAnsi="Arial"/>
          <w:sz w:val="18"/>
          <w:szCs w:val="18"/>
          <w:b w:val="1"/>
          <w:bCs w:val="1"/>
          <w:color w:val="32406B"/>
        </w:rPr>
        <w:t xml:space="preserve"> </w:t>
      </w:r>
      <w:r>
        <w:rPr>
          <w:rFonts w:ascii="Arial" w:cs="Arial" w:eastAsia="Arial" w:hAnsi="Arial"/>
          <w:sz w:val="18"/>
          <w:szCs w:val="18"/>
          <w:color w:val="32406B"/>
        </w:rPr>
        <w:t>images on the left below summarize mouse performance data on a Y</w:t>
      </w:r>
    </w:p>
    <w:p>
      <w:pPr>
        <w:spacing w:after="0" w:line="200" w:lineRule="exact"/>
        <w:rPr>
          <w:sz w:val="20"/>
          <w:szCs w:val="20"/>
          <w:color w:val="auto"/>
        </w:rPr>
      </w:pPr>
    </w:p>
    <w:p>
      <w:pPr>
        <w:spacing w:after="0" w:line="39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32406B"/>
        </w:rPr>
        <w:t>S-19</w:t>
      </w:r>
    </w:p>
    <w:p>
      <w:pPr>
        <w:sectPr>
          <w:pgSz w:w="11900" w:h="16838" w:orient="portrait"/>
          <w:cols w:equalWidth="0" w:num="1">
            <w:col w:w="10720"/>
          </w:cols>
          <w:pgMar w:left="320" w:top="459" w:right="8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878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68789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00" w:right="40"/>
        <w:spacing w:after="0" w:line="277" w:lineRule="auto"/>
        <w:rPr>
          <w:sz w:val="20"/>
          <w:szCs w:val="20"/>
          <w:color w:val="auto"/>
        </w:rPr>
      </w:pPr>
      <w:r>
        <w:rPr>
          <w:rFonts w:ascii="Arial" w:cs="Arial" w:eastAsia="Arial" w:hAnsi="Arial"/>
          <w:sz w:val="18"/>
          <w:szCs w:val="18"/>
          <w:color w:val="32406B"/>
        </w:rPr>
        <w:t>maze test, which evaluates working memory, and the images on the right below summarize mouse performance on an accelerating rotarod, which evaluates sensorimotor coordination and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AVR-RD-06 for Gaucher disease type 3</w:t>
      </w:r>
    </w:p>
    <w:p>
      <w:pPr>
        <w:spacing w:after="0" w:line="121" w:lineRule="exact"/>
        <w:rPr>
          <w:sz w:val="20"/>
          <w:szCs w:val="20"/>
          <w:color w:val="auto"/>
        </w:rPr>
      </w:pPr>
    </w:p>
    <w:p>
      <w:pPr>
        <w:ind w:left="200" w:firstLine="434"/>
        <w:spacing w:after="0" w:line="255" w:lineRule="auto"/>
        <w:rPr>
          <w:sz w:val="20"/>
          <w:szCs w:val="20"/>
          <w:color w:val="auto"/>
        </w:rPr>
      </w:pPr>
      <w:r>
        <w:rPr>
          <w:rFonts w:ascii="Arial" w:cs="Arial" w:eastAsia="Arial" w:hAnsi="Arial"/>
          <w:sz w:val="18"/>
          <w:szCs w:val="18"/>
          <w:color w:val="32406B"/>
        </w:rPr>
        <w:t>In November 2020, we announced an expansion of our lysosomal disorder pipeline with a new preclinical product candidate, AVR-RD-06, our investigational gene therapy for Gaucher disease type 3. Gaucher disease type 3 is the subacute neurological form of Gaucher disease characterized by progressive encephalopathy and associated with the systemic manifestations of Gaucher type 1. As with Gaucher type 1, Gaucher type 3 disease is caused by a gene that codes for the enzyme glucocerebrosidase. The deficiency in glucocerebrosidase leads to the accumulation of Gb1 and its toxic metabolite, lyso-Gb1. AVR-RD-06 is expected to use the same vector that we use in AVR-RD-02, our investigational gene therapy for Gaucher disease type 1.</w:t>
      </w:r>
    </w:p>
    <w:p>
      <w:pPr>
        <w:spacing w:after="0" w:line="192" w:lineRule="exact"/>
        <w:rPr>
          <w:sz w:val="20"/>
          <w:szCs w:val="20"/>
          <w:color w:val="auto"/>
        </w:rPr>
      </w:pPr>
    </w:p>
    <w:p>
      <w:pPr>
        <w:jc w:val="both"/>
        <w:ind w:left="200" w:right="220" w:firstLine="434"/>
        <w:spacing w:after="0" w:line="263" w:lineRule="auto"/>
        <w:rPr>
          <w:sz w:val="20"/>
          <w:szCs w:val="20"/>
          <w:color w:val="auto"/>
        </w:rPr>
      </w:pPr>
      <w:r>
        <w:rPr>
          <w:rFonts w:ascii="Arial" w:cs="Arial" w:eastAsia="Arial" w:hAnsi="Arial"/>
          <w:sz w:val="18"/>
          <w:szCs w:val="18"/>
          <w:color w:val="32406B"/>
        </w:rPr>
        <w:t>In November 2020, we presented preclinical data from a green fluorescent protein transgenic mouse study which we believe demonstrate the ability of lentiviral gene therapy to repopulate the microglia compartment of the brain with microglia cells carrying the therapeutic gene. The green specks in the images below reflect engrafted, genetically modified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right="340" w:firstLine="434"/>
        <w:spacing w:after="0" w:line="277" w:lineRule="auto"/>
        <w:rPr>
          <w:sz w:val="20"/>
          <w:szCs w:val="20"/>
          <w:color w:val="auto"/>
        </w:rPr>
      </w:pPr>
      <w:r>
        <w:rPr>
          <w:rFonts w:ascii="Arial" w:cs="Arial" w:eastAsia="Arial" w:hAnsi="Arial"/>
          <w:sz w:val="18"/>
          <w:szCs w:val="18"/>
          <w:color w:val="32406B"/>
        </w:rPr>
        <w:t>We also presented preclinical data demonstrating a technique that potentially allows us to examine individual cells in the brain to determine which cell types contain the therapeutic gene. The image on the left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S-20</w:t>
      </w:r>
    </w:p>
    <w:p>
      <w:pPr>
        <w:sectPr>
          <w:pgSz w:w="11900" w:h="16838" w:orient="portrait"/>
          <w:cols w:equalWidth="0" w:num="1">
            <w:col w:w="11020"/>
          </w:cols>
          <w:pgMar w:left="320" w:top="459" w:right="5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538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4538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63" w:lineRule="auto"/>
        <w:rPr>
          <w:sz w:val="20"/>
          <w:szCs w:val="20"/>
          <w:color w:val="auto"/>
        </w:rPr>
      </w:pPr>
      <w:r>
        <w:rPr>
          <w:rFonts w:ascii="Arial" w:cs="Arial" w:eastAsia="Arial" w:hAnsi="Arial"/>
          <w:sz w:val="18"/>
          <w:szCs w:val="18"/>
          <w:color w:val="32406B"/>
        </w:rPr>
        <w:t>suggests that by using RNA sequencing technology we can identify cells by their transcriptome, allowing us to distinguish the bone marrow, peripheral blood and microglia. The graphs on the right suggest that we can also distinguish the cells by their “signature” marker, such as the presence of TREM2 in microglia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color w:val="32406B"/>
        </w:rPr>
        <w:t>In addition, we conducted a preclinical experiment to assess how genetically modified microglia carry out their physiological role in the brain compared to endogenous microglia. The image on the left shows the engrafted microglia in green, dispersed in a physiological pattern in the central nervous system, and the chart on the right plots the transcriptional differences between the two sets of cells. We believe the dense scatter plot suggests that the engrafted cells have similar transcriptional signatures to endogenous cells and could therefore be expected to carry out the physiological role of endogenous microglia.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S-21</w:t>
      </w:r>
    </w:p>
    <w:p>
      <w:pPr>
        <w:sectPr>
          <w:pgSz w:w="11900" w:h="16838" w:orient="portrait"/>
          <w:cols w:equalWidth="0" w:num="1">
            <w:col w:w="11000"/>
          </w:cols>
          <w:pgMar w:left="320" w:top="459" w:right="5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716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371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firstLine="434"/>
        <w:spacing w:after="0" w:line="301" w:lineRule="auto"/>
        <w:rPr>
          <w:sz w:val="20"/>
          <w:szCs w:val="20"/>
          <w:color w:val="auto"/>
        </w:rPr>
      </w:pPr>
      <w:r>
        <w:rPr>
          <w:rFonts w:ascii="Arial" w:cs="Arial" w:eastAsia="Arial" w:hAnsi="Arial"/>
          <w:sz w:val="16"/>
          <w:szCs w:val="16"/>
          <w:color w:val="32406B"/>
        </w:rPr>
        <w:t>Finally, we presented another dataset comparing the genetically modified microglia and endogenous microglia. The top half of the image below shows markers that are typical of invading macrophages, which enter the brain in response to injury. The data suggest that even though the modified cells are not native to the brain, they do not act as “invaders” and thus could be expected to carry out normal physiological functions. The bottom half of the image shows markers of canonical microglia activity, and again the signatures in both the modified and endogenous cells are similar.</w:t>
      </w:r>
    </w:p>
    <w:p>
      <w:pPr>
        <w:spacing w:after="0" w:line="200" w:lineRule="exact"/>
        <w:rPr>
          <w:sz w:val="20"/>
          <w:szCs w:val="20"/>
          <w:color w:val="auto"/>
        </w:rPr>
      </w:pPr>
    </w:p>
    <w:p>
      <w:pPr>
        <w:spacing w:after="0" w:line="3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S-22</w:t>
      </w:r>
    </w:p>
    <w:p>
      <w:pPr>
        <w:sectPr>
          <w:pgSz w:w="11900" w:h="16838" w:orient="portrait"/>
          <w:cols w:equalWidth="0" w:num="1">
            <w:col w:w="10980"/>
          </w:cols>
          <w:pgMar w:left="320" w:top="459" w:right="5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420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Plato platform</w:t>
      </w:r>
    </w:p>
    <w:p>
      <w:pPr>
        <w:spacing w:after="0" w:line="121" w:lineRule="exact"/>
        <w:rPr>
          <w:sz w:val="20"/>
          <w:szCs w:val="20"/>
          <w:color w:val="auto"/>
        </w:rPr>
      </w:pPr>
    </w:p>
    <w:p>
      <w:pPr>
        <w:ind w:left="200" w:right="20" w:firstLine="434"/>
        <w:spacing w:after="0" w:line="271" w:lineRule="auto"/>
        <w:rPr>
          <w:sz w:val="20"/>
          <w:szCs w:val="20"/>
          <w:color w:val="auto"/>
        </w:rPr>
      </w:pPr>
      <w:r>
        <w:rPr>
          <w:rFonts w:ascii="Arial" w:cs="Arial" w:eastAsia="Arial" w:hAnsi="Arial"/>
          <w:sz w:val="17"/>
          <w:szCs w:val="17"/>
          <w:color w:val="32406B"/>
        </w:rPr>
        <w:t xml:space="preserve">Plato is our gene therapy platform designed to provide the foundation for the potential worldwide commercialization of our gene therapies, if approved. It is an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gene therapy platform incorporating multiple upgrades including a four-plasmid lentiviral vector designed to optimize vector copy number, transduction efficiency and resulting enzyme activity, a closed, automated manufacturing system designed to improve manufacturing consistency and predictability of the drug product, and a personalized approach to conditioning using busulfan with targeted concentration intervention, or TCI, which is designed to optimize safety and the potential reach of our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investigational lentiviral gene therapies. TCI builds on therapeutic drug monitoring, or TDM. While TDM was designed to aim for the right dose range of busulfan, TCI aims for the right target dose. By targeting busulfan exposure to an area under the curve of 90 mg x hr/L over four days, TCI is designed to maximize the likelihood of engraftment while minimizing the risk of out-of-range side effects.</w:t>
      </w:r>
    </w:p>
    <w:p>
      <w:pPr>
        <w:spacing w:after="0" w:line="178" w:lineRule="exact"/>
        <w:rPr>
          <w:sz w:val="20"/>
          <w:szCs w:val="20"/>
          <w:color w:val="auto"/>
        </w:rPr>
      </w:pPr>
    </w:p>
    <w:p>
      <w:pPr>
        <w:ind w:left="200" w:firstLine="434"/>
        <w:spacing w:after="0" w:line="275" w:lineRule="auto"/>
        <w:rPr>
          <w:sz w:val="20"/>
          <w:szCs w:val="20"/>
          <w:color w:val="auto"/>
        </w:rPr>
      </w:pPr>
      <w:r>
        <w:rPr>
          <w:rFonts w:ascii="Arial" w:cs="Arial" w:eastAsia="Arial" w:hAnsi="Arial"/>
          <w:sz w:val="17"/>
          <w:szCs w:val="17"/>
          <w:color w:val="32406B"/>
        </w:rPr>
        <w:t>The three upgrades described above were cleared by applicable regulatory bodies in the United States, Canada and Australia for use in the Phase 2 clinical trial of AVR-RD-01 for Fabry disease and the Phase 1/2 Guard1 clinical trial of AVR-RD-02 for Gaucher disease type 1. We intend to utilize the plato platform for all future patients enrolling in our Phase 2 clinical trial of AVR-RD-01 for Fabry disease and our Guard1 clinical trial for Gaucher disease type 1. To date, two patients have been dosed with our plato platform – the fourth patient in our ongoing Phase 2 clinical trial of AVR-RD-01 and the first patient in our Phase 1/2 Guard1 clinical trial of AVR-RD-02.</w:t>
      </w:r>
    </w:p>
    <w:p>
      <w:pPr>
        <w:spacing w:after="0" w:line="176" w:lineRule="exact"/>
        <w:rPr>
          <w:sz w:val="20"/>
          <w:szCs w:val="20"/>
          <w:color w:val="auto"/>
        </w:rPr>
      </w:pPr>
    </w:p>
    <w:p>
      <w:pPr>
        <w:ind w:left="200" w:right="720" w:firstLine="434"/>
        <w:spacing w:after="0" w:line="263" w:lineRule="auto"/>
        <w:rPr>
          <w:sz w:val="20"/>
          <w:szCs w:val="20"/>
          <w:color w:val="auto"/>
        </w:rPr>
      </w:pPr>
      <w:r>
        <w:rPr>
          <w:rFonts w:ascii="Arial" w:cs="Arial" w:eastAsia="Arial" w:hAnsi="Arial"/>
          <w:sz w:val="18"/>
          <w:szCs w:val="18"/>
          <w:color w:val="32406B"/>
        </w:rPr>
        <w:t>In addition, we are developing a universal VCN assay that is designed to be transferred to multiple regulatory jurisdictions and may be leveraged across our portfolio. We have also focused on advancing next-generation analytics and whole transcriptome profiling, such as characterization of tens of thousands of single cells in our apheresis starting material.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S-23</w:t>
      </w:r>
    </w:p>
    <w:p>
      <w:pPr>
        <w:sectPr>
          <w:pgSz w:w="11900" w:h="16838" w:orient="portrait"/>
          <w:cols w:equalWidth="0" w:num="1">
            <w:col w:w="11040"/>
          </w:cols>
          <w:pgMar w:left="320" w:top="459"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19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6"/>
          <w:szCs w:val="16"/>
          <w:color w:val="32406B"/>
        </w:rPr>
        <w:t>In November 2020, we presented data on our plato platform highlighting potential advances in chemistry, manufacturing and controls (CMC).</w:t>
      </w:r>
    </w:p>
    <w:p>
      <w:pPr>
        <w:spacing w:after="0" w:line="150" w:lineRule="exact"/>
        <w:rPr>
          <w:sz w:val="20"/>
          <w:szCs w:val="20"/>
          <w:color w:val="auto"/>
        </w:rPr>
      </w:pPr>
    </w:p>
    <w:p>
      <w:pPr>
        <w:ind w:left="1600" w:right="180" w:hanging="434"/>
        <w:spacing w:after="0" w:line="303" w:lineRule="auto"/>
        <w:tabs>
          <w:tab w:leader="none" w:pos="1600" w:val="left"/>
        </w:tabs>
        <w:numPr>
          <w:ilvl w:val="0"/>
          <w:numId w:val="26"/>
        </w:numPr>
        <w:rPr>
          <w:rFonts w:ascii="Arial" w:cs="Arial" w:eastAsia="Arial" w:hAnsi="Arial"/>
          <w:sz w:val="16"/>
          <w:szCs w:val="16"/>
          <w:color w:val="32406B"/>
        </w:rPr>
      </w:pPr>
      <w:r>
        <w:rPr>
          <w:rFonts w:ascii="Arial" w:cs="Arial" w:eastAsia="Arial" w:hAnsi="Arial"/>
          <w:sz w:val="16"/>
          <w:szCs w:val="16"/>
          <w:b w:val="1"/>
          <w:bCs w:val="1"/>
          <w:color w:val="32406B"/>
        </w:rPr>
        <w:t xml:space="preserve">High titers. </w:t>
      </w:r>
      <w:r>
        <w:rPr>
          <w:rFonts w:ascii="Arial" w:cs="Arial" w:eastAsia="Arial" w:hAnsi="Arial"/>
          <w:sz w:val="16"/>
          <w:szCs w:val="16"/>
          <w:color w:val="32406B"/>
        </w:rPr>
        <w:t>The graph below summarizes vector titer results from multiple 50L and 200L serum-free suspension batches across</w:t>
      </w:r>
      <w:r>
        <w:rPr>
          <w:rFonts w:ascii="Arial" w:cs="Arial" w:eastAsia="Arial" w:hAnsi="Arial"/>
          <w:sz w:val="16"/>
          <w:szCs w:val="16"/>
          <w:b w:val="1"/>
          <w:bCs w:val="1"/>
          <w:color w:val="32406B"/>
        </w:rPr>
        <w:t xml:space="preserve"> </w:t>
      </w:r>
      <w:r>
        <w:rPr>
          <w:rFonts w:ascii="Arial" w:cs="Arial" w:eastAsia="Arial" w:hAnsi="Arial"/>
          <w:sz w:val="16"/>
          <w:szCs w:val="16"/>
          <w:color w:val="32406B"/>
        </w:rPr>
        <w:t>our AVR-RD-01 program for Fabry disease and our AVR-RD-02 program for Gaucher disease type 1. The titers from both production processes are above the industry standard of 100,000,000 to 500,000,000 transducing titers per ml. We believe that a high titer vector batch may translate into a higher yield and subsequently fewer vector batches required to fulfill patient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00" w:right="580" w:hanging="434"/>
        <w:spacing w:after="0" w:line="282" w:lineRule="auto"/>
        <w:tabs>
          <w:tab w:leader="none" w:pos="1600" w:val="left"/>
        </w:tabs>
        <w:numPr>
          <w:ilvl w:val="0"/>
          <w:numId w:val="27"/>
        </w:numPr>
        <w:rPr>
          <w:rFonts w:ascii="Arial" w:cs="Arial" w:eastAsia="Arial" w:hAnsi="Arial"/>
          <w:sz w:val="18"/>
          <w:szCs w:val="18"/>
          <w:color w:val="32406B"/>
        </w:rPr>
      </w:pPr>
      <w:r>
        <w:rPr>
          <w:rFonts w:ascii="Arial" w:cs="Arial" w:eastAsia="Arial" w:hAnsi="Arial"/>
          <w:sz w:val="18"/>
          <w:szCs w:val="18"/>
          <w:b w:val="1"/>
          <w:bCs w:val="1"/>
          <w:color w:val="32406B"/>
        </w:rPr>
        <w:t xml:space="preserve">Potency assay candidate. </w:t>
      </w:r>
      <w:r>
        <w:rPr>
          <w:rFonts w:ascii="Arial" w:cs="Arial" w:eastAsia="Arial" w:hAnsi="Arial"/>
          <w:sz w:val="18"/>
          <w:szCs w:val="18"/>
          <w:color w:val="32406B"/>
        </w:rPr>
        <w:t>The graphs below summarize AGA enzyme activity, a potency assay candidate, before and after</w:t>
      </w:r>
      <w:r>
        <w:rPr>
          <w:rFonts w:ascii="Arial" w:cs="Arial" w:eastAsia="Arial" w:hAnsi="Arial"/>
          <w:sz w:val="18"/>
          <w:szCs w:val="18"/>
          <w:b w:val="1"/>
          <w:bCs w:val="1"/>
          <w:color w:val="32406B"/>
        </w:rPr>
        <w:t xml:space="preserve"> </w:t>
      </w:r>
      <w:r>
        <w:rPr>
          <w:rFonts w:ascii="Arial" w:cs="Arial" w:eastAsia="Arial" w:hAnsi="Arial"/>
          <w:sz w:val="18"/>
          <w:szCs w:val="18"/>
          <w:color w:val="32406B"/>
        </w:rPr>
        <w:t>transduction. The data exhibit an increase in activity post-transduction, as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0" w:hanging="434"/>
        <w:spacing w:after="0" w:line="298" w:lineRule="auto"/>
        <w:tabs>
          <w:tab w:leader="none" w:pos="1600" w:val="left"/>
        </w:tabs>
        <w:numPr>
          <w:ilvl w:val="0"/>
          <w:numId w:val="28"/>
        </w:numPr>
        <w:rPr>
          <w:rFonts w:ascii="Arial" w:cs="Arial" w:eastAsia="Arial" w:hAnsi="Arial"/>
          <w:sz w:val="16"/>
          <w:szCs w:val="16"/>
          <w:color w:val="32406B"/>
        </w:rPr>
      </w:pPr>
      <w:r>
        <w:rPr>
          <w:rFonts w:ascii="Arial" w:cs="Arial" w:eastAsia="Arial" w:hAnsi="Arial"/>
          <w:sz w:val="16"/>
          <w:szCs w:val="16"/>
          <w:b w:val="1"/>
          <w:bCs w:val="1"/>
          <w:color w:val="32406B"/>
        </w:rPr>
        <w:t xml:space="preserve">VCN consistency. </w:t>
      </w:r>
      <w:r>
        <w:rPr>
          <w:rFonts w:ascii="Arial" w:cs="Arial" w:eastAsia="Arial" w:hAnsi="Arial"/>
          <w:sz w:val="16"/>
          <w:szCs w:val="16"/>
          <w:color w:val="32406B"/>
        </w:rPr>
        <w:t>The graphs below summarize VCN data across our AVR-RD-01 program for Fabry disease and AVR-RD-02</w:t>
      </w:r>
      <w:r>
        <w:rPr>
          <w:rFonts w:ascii="Arial" w:cs="Arial" w:eastAsia="Arial" w:hAnsi="Arial"/>
          <w:sz w:val="16"/>
          <w:szCs w:val="16"/>
          <w:b w:val="1"/>
          <w:bCs w:val="1"/>
          <w:color w:val="32406B"/>
        </w:rPr>
        <w:t xml:space="preserve"> </w:t>
      </w:r>
      <w:r>
        <w:rPr>
          <w:rFonts w:ascii="Arial" w:cs="Arial" w:eastAsia="Arial" w:hAnsi="Arial"/>
          <w:sz w:val="16"/>
          <w:szCs w:val="16"/>
          <w:color w:val="32406B"/>
        </w:rPr>
        <w:t>for Gaucher disease type 1, as measured by several different contract manufacturing sites around the world. VCN refers to the average number of copies of the lentiviral-vector inserted gene that are integrated into the genome of a cell, and is another measure that can be used to help assess potency. The data suggest comparable results for the assay, as shown by the overlapping box plots across the charts, for both disease indications at our global contract manufacturing organization sites.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S-24</w:t>
      </w:r>
    </w:p>
    <w:p>
      <w:pPr>
        <w:sectPr>
          <w:pgSz w:w="11900" w:h="16838" w:orient="portrait"/>
          <w:cols w:equalWidth="0" w:num="1">
            <w:col w:w="11040"/>
          </w:cols>
          <w:pgMar w:left="320" w:top="459"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5676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556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00" w:right="280" w:hanging="434"/>
        <w:spacing w:after="0" w:line="281" w:lineRule="auto"/>
        <w:tabs>
          <w:tab w:leader="none" w:pos="1600" w:val="left"/>
        </w:tabs>
        <w:numPr>
          <w:ilvl w:val="0"/>
          <w:numId w:val="29"/>
        </w:numPr>
        <w:rPr>
          <w:rFonts w:ascii="Arial" w:cs="Arial" w:eastAsia="Arial" w:hAnsi="Arial"/>
          <w:sz w:val="17"/>
          <w:szCs w:val="17"/>
          <w:color w:val="32406B"/>
        </w:rPr>
      </w:pPr>
      <w:r>
        <w:rPr>
          <w:rFonts w:ascii="Arial" w:cs="Arial" w:eastAsia="Arial" w:hAnsi="Arial"/>
          <w:sz w:val="17"/>
          <w:szCs w:val="17"/>
          <w:b w:val="1"/>
          <w:bCs w:val="1"/>
          <w:color w:val="32406B"/>
        </w:rPr>
        <w:t xml:space="preserve">Rapid transduction. </w:t>
      </w:r>
      <w:r>
        <w:rPr>
          <w:rFonts w:ascii="Arial" w:cs="Arial" w:eastAsia="Arial" w:hAnsi="Arial"/>
          <w:sz w:val="17"/>
          <w:szCs w:val="17"/>
          <w:color w:val="32406B"/>
        </w:rPr>
        <w:t>The plots below summarize data from our transduction assay which is designed to deliver results in days</w:t>
      </w:r>
      <w:r>
        <w:rPr>
          <w:rFonts w:ascii="Arial" w:cs="Arial" w:eastAsia="Arial" w:hAnsi="Arial"/>
          <w:sz w:val="17"/>
          <w:szCs w:val="17"/>
          <w:b w:val="1"/>
          <w:bCs w:val="1"/>
          <w:color w:val="32406B"/>
        </w:rPr>
        <w:t xml:space="preserve"> </w:t>
      </w:r>
      <w:r>
        <w:rPr>
          <w:rFonts w:ascii="Arial" w:cs="Arial" w:eastAsia="Arial" w:hAnsi="Arial"/>
          <w:sz w:val="17"/>
          <w:szCs w:val="17"/>
          <w:color w:val="32406B"/>
        </w:rPr>
        <w:t>rather than months. The plots show two samples – untransduced and transduced – and five assessments for each sample. We analyzed more than 30 thousand cells per sample in less than one week, which we believe would take months and potentially generate more variable data using traditional transduction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0" w:hanging="434"/>
        <w:spacing w:after="0" w:line="274" w:lineRule="auto"/>
        <w:tabs>
          <w:tab w:leader="none" w:pos="1600" w:val="left"/>
        </w:tabs>
        <w:numPr>
          <w:ilvl w:val="0"/>
          <w:numId w:val="30"/>
        </w:numPr>
        <w:rPr>
          <w:rFonts w:ascii="Arial" w:cs="Arial" w:eastAsia="Arial" w:hAnsi="Arial"/>
          <w:sz w:val="17"/>
          <w:szCs w:val="17"/>
          <w:color w:val="32406B"/>
        </w:rPr>
      </w:pPr>
      <w:r>
        <w:rPr>
          <w:rFonts w:ascii="Arial" w:cs="Arial" w:eastAsia="Arial" w:hAnsi="Arial"/>
          <w:sz w:val="17"/>
          <w:szCs w:val="17"/>
          <w:b w:val="1"/>
          <w:bCs w:val="1"/>
          <w:color w:val="32406B"/>
        </w:rPr>
        <w:t xml:space="preserve">Product characterization. </w:t>
      </w:r>
      <w:r>
        <w:rPr>
          <w:rFonts w:ascii="Arial" w:cs="Arial" w:eastAsia="Arial" w:hAnsi="Arial"/>
          <w:sz w:val="17"/>
          <w:szCs w:val="17"/>
          <w:color w:val="32406B"/>
        </w:rPr>
        <w:t>The charts and graphs below summarize product characterization and quality data. The illustrations on</w:t>
      </w:r>
      <w:r>
        <w:rPr>
          <w:rFonts w:ascii="Arial" w:cs="Arial" w:eastAsia="Arial" w:hAnsi="Arial"/>
          <w:sz w:val="17"/>
          <w:szCs w:val="17"/>
          <w:b w:val="1"/>
          <w:bCs w:val="1"/>
          <w:color w:val="32406B"/>
        </w:rPr>
        <w:t xml:space="preserve"> </w:t>
      </w:r>
      <w:r>
        <w:rPr>
          <w:rFonts w:ascii="Arial" w:cs="Arial" w:eastAsia="Arial" w:hAnsi="Arial"/>
          <w:sz w:val="17"/>
          <w:szCs w:val="17"/>
          <w:color w:val="32406B"/>
        </w:rPr>
        <w:t>the left demonstrate how VCN from the same sample can be assessed at two different levels – the top panel shows the distribution of VCN across the cell population and the bottom panel shows the average VCN. With respect to the images on the right, the smaller pie chart provides data first showing the untransduced and transduced cell proportion, and the larger pie chart represents a view of the transduced population, enabling us to evaluate proportion of cells with different VCN. We expect this level of resolution may help us with process optimization and control over manufacturing consistency.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S-25</w:t>
      </w:r>
    </w:p>
    <w:p>
      <w:pPr>
        <w:sectPr>
          <w:pgSz w:w="11900" w:h="16838" w:orient="portrait"/>
          <w:cols w:equalWidth="0" w:num="1">
            <w:col w:w="10980"/>
          </w:cols>
          <w:pgMar w:left="320" w:top="459" w:right="5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8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638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00"/>
        <w:spacing w:after="0" w:line="294" w:lineRule="auto"/>
        <w:rPr>
          <w:sz w:val="20"/>
          <w:szCs w:val="20"/>
          <w:color w:val="auto"/>
        </w:rPr>
      </w:pPr>
      <w:r>
        <w:rPr>
          <w:rFonts w:ascii="Arial" w:cs="Arial" w:eastAsia="Arial" w:hAnsi="Arial"/>
          <w:sz w:val="16"/>
          <w:szCs w:val="16"/>
          <w:b w:val="1"/>
          <w:bCs w:val="1"/>
          <w:color w:val="32406B"/>
        </w:rPr>
        <w:t xml:space="preserve">Tracking long-term engrafting cells. </w:t>
      </w:r>
      <w:r>
        <w:rPr>
          <w:rFonts w:ascii="Arial" w:cs="Arial" w:eastAsia="Arial" w:hAnsi="Arial"/>
          <w:sz w:val="16"/>
          <w:szCs w:val="16"/>
          <w:color w:val="32406B"/>
        </w:rPr>
        <w:t>We have developed a method that potentially enables us to assess attributes predictive of</w:t>
      </w:r>
      <w:r>
        <w:rPr>
          <w:rFonts w:ascii="Arial" w:cs="Arial" w:eastAsia="Arial" w:hAnsi="Arial"/>
          <w:sz w:val="16"/>
          <w:szCs w:val="16"/>
          <w:b w:val="1"/>
          <w:bCs w:val="1"/>
          <w:color w:val="32406B"/>
        </w:rPr>
        <w:t xml:space="preserve"> </w:t>
      </w:r>
      <w:r>
        <w:rPr>
          <w:rFonts w:ascii="Arial" w:cs="Arial" w:eastAsia="Arial" w:hAnsi="Arial"/>
          <w:sz w:val="16"/>
          <w:szCs w:val="16"/>
          <w:color w:val="32406B"/>
        </w:rPr>
        <w:t>durability by measuring levels of hematopoietic stem cells in the apheresis as well as manufactured drug product. The phenotypic maps shown below are generated from samples of 35,000 cells from the bone marrow, cord blood, peripheral blood, and plato apheresis. The blue color represents hematopoietic stem cells and shows that the plato apheresis sample has a similar proportion of hematopoietic stem cells when compared to all other samples. We believe this method could enable us to run experiments to confirm the cellular composition of our starting material – and, in the future, drug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S-26</w:t>
      </w:r>
    </w:p>
    <w:p>
      <w:pPr>
        <w:sectPr>
          <w:pgSz w:w="11900" w:h="16838" w:orient="portrait"/>
          <w:cols w:equalWidth="0" w:num="1">
            <w:col w:w="11020"/>
          </w:cols>
          <w:pgMar w:left="320" w:top="459" w:right="5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96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COMPANY INFORMATION</w:t>
      </w:r>
    </w:p>
    <w:p>
      <w:pPr>
        <w:spacing w:after="0" w:line="229" w:lineRule="exact"/>
        <w:rPr>
          <w:sz w:val="20"/>
          <w:szCs w:val="20"/>
          <w:color w:val="auto"/>
        </w:rPr>
      </w:pPr>
    </w:p>
    <w:p>
      <w:pPr>
        <w:ind w:left="200" w:right="20" w:firstLine="434"/>
        <w:spacing w:after="0" w:line="273" w:lineRule="auto"/>
        <w:rPr>
          <w:sz w:val="20"/>
          <w:szCs w:val="20"/>
          <w:color w:val="auto"/>
        </w:rPr>
      </w:pPr>
      <w:r>
        <w:rPr>
          <w:rFonts w:ascii="Arial" w:cs="Arial" w:eastAsia="Arial" w:hAnsi="Arial"/>
          <w:sz w:val="17"/>
          <w:szCs w:val="17"/>
          <w:color w:val="32406B"/>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Massachusetts 02139 and our telephone number is (617) 914-8420. Our website address is www.avrobio.com. We do not incorporate the information on or accessible through our website into this this prospectus supplement or the accompanying prospectus, and you should not consider any information on, or that can be accessed through, our website as part of this prospectus. Our common stock trades on The Nasdaq Global Select Market under the symbol “AVRO”.</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SUMMARY OF THE MATERIAL RISKS ASSOCIATED WITH OUR BUSINESS</w:t>
      </w:r>
    </w:p>
    <w:p>
      <w:pPr>
        <w:spacing w:after="0" w:line="229" w:lineRule="exact"/>
        <w:rPr>
          <w:sz w:val="20"/>
          <w:szCs w:val="20"/>
          <w:color w:val="auto"/>
        </w:rPr>
      </w:pPr>
    </w:p>
    <w:p>
      <w:pPr>
        <w:ind w:left="200" w:right="380" w:firstLine="434"/>
        <w:spacing w:after="0" w:line="286" w:lineRule="auto"/>
        <w:rPr>
          <w:rFonts w:ascii="Arial" w:cs="Arial" w:eastAsia="Arial" w:hAnsi="Arial"/>
          <w:sz w:val="17"/>
          <w:szCs w:val="17"/>
          <w:color w:val="32406B"/>
        </w:rPr>
      </w:pPr>
      <w:r>
        <w:rPr>
          <w:rFonts w:ascii="Arial" w:cs="Arial" w:eastAsia="Arial" w:hAnsi="Arial"/>
          <w:sz w:val="17"/>
          <w:szCs w:val="17"/>
          <w:color w:val="32406B"/>
        </w:rPr>
        <w:t>Our business is subject to a number of risks of which you should be aware before making an investment decision. These risks are discussed more fully in the “</w:t>
      </w:r>
      <w:hyperlink w:anchor="page34">
        <w:r>
          <w:rPr>
            <w:rFonts w:ascii="Arial" w:cs="Arial" w:eastAsia="Arial" w:hAnsi="Arial"/>
            <w:sz w:val="17"/>
            <w:szCs w:val="17"/>
            <w:u w:val="single" w:color="auto"/>
            <w:color w:val="0000EE"/>
          </w:rPr>
          <w:t>Risk Factors</w:t>
        </w:r>
      </w:hyperlink>
      <w:r>
        <w:rPr>
          <w:rFonts w:ascii="Arial" w:cs="Arial" w:eastAsia="Arial" w:hAnsi="Arial"/>
          <w:sz w:val="17"/>
          <w:szCs w:val="17"/>
          <w:color w:val="32406B"/>
        </w:rPr>
        <w:t>” section on page S-32 of this prospectus supplement or otherwise incorporated by reference in this prospectus supplement and the accompanying prospectus. These risks include, but are not limited to, the following:</w:t>
      </w:r>
    </w:p>
    <w:p>
      <w:pPr>
        <w:spacing w:after="0" w:line="71" w:lineRule="exact"/>
        <w:rPr>
          <w:sz w:val="20"/>
          <w:szCs w:val="20"/>
          <w:color w:val="auto"/>
        </w:rPr>
      </w:pPr>
    </w:p>
    <w:p>
      <w:pPr>
        <w:ind w:left="1160" w:right="140" w:hanging="534"/>
        <w:spacing w:after="0" w:line="277" w:lineRule="auto"/>
        <w:tabs>
          <w:tab w:leader="none" w:pos="11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32406B"/>
        </w:rPr>
      </w:pPr>
    </w:p>
    <w:p>
      <w:pPr>
        <w:ind w:left="1160" w:right="100" w:hanging="534"/>
        <w:spacing w:after="0" w:line="277" w:lineRule="auto"/>
        <w:tabs>
          <w:tab w:leader="none" w:pos="11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75" w:lineRule="exact"/>
        <w:rPr>
          <w:rFonts w:ascii="Arial" w:cs="Arial" w:eastAsia="Arial" w:hAnsi="Arial"/>
          <w:sz w:val="18"/>
          <w:szCs w:val="18"/>
          <w:color w:val="32406B"/>
        </w:rPr>
      </w:pPr>
    </w:p>
    <w:p>
      <w:pPr>
        <w:ind w:left="1160" w:hanging="534"/>
        <w:spacing w:after="0" w:line="308" w:lineRule="auto"/>
        <w:tabs>
          <w:tab w:leader="none" w:pos="1160" w:val="left"/>
        </w:tabs>
        <w:numPr>
          <w:ilvl w:val="0"/>
          <w:numId w:val="31"/>
        </w:numPr>
        <w:rPr>
          <w:rFonts w:ascii="Arial" w:cs="Arial" w:eastAsia="Arial" w:hAnsi="Arial"/>
          <w:sz w:val="17"/>
          <w:szCs w:val="17"/>
          <w:color w:val="32406B"/>
        </w:rPr>
      </w:pPr>
      <w:r>
        <w:rPr>
          <w:rFonts w:ascii="Arial" w:cs="Arial" w:eastAsia="Arial" w:hAnsi="Arial"/>
          <w:sz w:val="17"/>
          <w:szCs w:val="17"/>
          <w:color w:val="32406B"/>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51" w:lineRule="exact"/>
        <w:rPr>
          <w:rFonts w:ascii="Arial" w:cs="Arial" w:eastAsia="Arial" w:hAnsi="Arial"/>
          <w:sz w:val="17"/>
          <w:szCs w:val="17"/>
          <w:color w:val="32406B"/>
        </w:rPr>
      </w:pPr>
    </w:p>
    <w:p>
      <w:pPr>
        <w:ind w:left="1160" w:right="260" w:hanging="534"/>
        <w:spacing w:after="0" w:line="277" w:lineRule="auto"/>
        <w:tabs>
          <w:tab w:leader="none" w:pos="11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32406B"/>
        </w:rPr>
      </w:pPr>
    </w:p>
    <w:p>
      <w:pPr>
        <w:ind w:left="1160" w:right="540" w:hanging="534"/>
        <w:spacing w:after="0" w:line="263" w:lineRule="auto"/>
        <w:tabs>
          <w:tab w:leader="none" w:pos="11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9" w:lineRule="exact"/>
        <w:rPr>
          <w:rFonts w:ascii="Arial" w:cs="Arial" w:eastAsia="Arial" w:hAnsi="Arial"/>
          <w:sz w:val="18"/>
          <w:szCs w:val="18"/>
          <w:color w:val="32406B"/>
        </w:rPr>
      </w:pPr>
    </w:p>
    <w:p>
      <w:pPr>
        <w:ind w:left="1160" w:right="160" w:hanging="534"/>
        <w:spacing w:after="0" w:line="277" w:lineRule="auto"/>
        <w:tabs>
          <w:tab w:leader="none" w:pos="11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Success in preclinical studies or early clinical trials may not be indicative of results obtained in later trials and preliminary results from studies and trials may not be indicative of final results from those studies and trials.</w:t>
      </w:r>
    </w:p>
    <w:p>
      <w:pPr>
        <w:spacing w:after="0" w:line="75" w:lineRule="exact"/>
        <w:rPr>
          <w:rFonts w:ascii="Arial" w:cs="Arial" w:eastAsia="Arial" w:hAnsi="Arial"/>
          <w:sz w:val="18"/>
          <w:szCs w:val="18"/>
          <w:color w:val="32406B"/>
        </w:rPr>
      </w:pPr>
    </w:p>
    <w:p>
      <w:pPr>
        <w:ind w:left="1160" w:right="20" w:hanging="534"/>
        <w:spacing w:after="0" w:line="277" w:lineRule="auto"/>
        <w:tabs>
          <w:tab w:leader="none" w:pos="11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32406B"/>
        </w:rPr>
      </w:pPr>
    </w:p>
    <w:p>
      <w:pPr>
        <w:ind w:left="1160" w:right="660" w:hanging="534"/>
        <w:spacing w:after="0" w:line="277" w:lineRule="auto"/>
        <w:tabs>
          <w:tab w:leader="none" w:pos="11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We may encounter substantial delays in our clinical trials or we may fail to demonstrate safety and efficacy to the satisfaction of applicable regulatory authorities.</w:t>
      </w:r>
    </w:p>
    <w:p>
      <w:pPr>
        <w:spacing w:after="0" w:line="75" w:lineRule="exact"/>
        <w:rPr>
          <w:rFonts w:ascii="Arial" w:cs="Arial" w:eastAsia="Arial" w:hAnsi="Arial"/>
          <w:sz w:val="18"/>
          <w:szCs w:val="18"/>
          <w:color w:val="32406B"/>
        </w:rPr>
      </w:pPr>
    </w:p>
    <w:p>
      <w:pPr>
        <w:ind w:left="1160" w:right="280" w:hanging="534"/>
        <w:spacing w:after="0" w:line="277" w:lineRule="auto"/>
        <w:tabs>
          <w:tab w:leader="none" w:pos="11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Even if we complete the necessary preclinical and clinical studies, we cannot predict when or if we will obtain regulatory approval to commercialize a product candidate and the approval may be for a narrower indication than we seek.</w:t>
      </w:r>
    </w:p>
    <w:p>
      <w:pPr>
        <w:spacing w:after="0" w:line="75" w:lineRule="exact"/>
        <w:rPr>
          <w:rFonts w:ascii="Arial" w:cs="Arial" w:eastAsia="Arial" w:hAnsi="Arial"/>
          <w:sz w:val="18"/>
          <w:szCs w:val="18"/>
          <w:color w:val="32406B"/>
        </w:rPr>
      </w:pPr>
    </w:p>
    <w:p>
      <w:pPr>
        <w:ind w:left="1160" w:right="460" w:hanging="534"/>
        <w:spacing w:after="0" w:line="277" w:lineRule="auto"/>
        <w:tabs>
          <w:tab w:leader="none" w:pos="11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Certain of our clinical trials, including the ongoing investigator-sponsored clinical trial of AVR-RD-01, a portion of our Company-sponsored clinical trial of AVR-RD-01, and the investigator-sponsored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S-27</w:t>
      </w:r>
    </w:p>
    <w:p>
      <w:pPr>
        <w:sectPr>
          <w:pgSz w:w="11900" w:h="16838" w:orient="portrait"/>
          <w:cols w:equalWidth="0" w:num="1">
            <w:col w:w="11040"/>
          </w:cols>
          <w:pgMar w:left="320" w:top="459"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53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53530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line="254" w:lineRule="auto"/>
        <w:rPr>
          <w:sz w:val="20"/>
          <w:szCs w:val="20"/>
          <w:color w:val="auto"/>
        </w:rPr>
      </w:pPr>
      <w:r>
        <w:rPr>
          <w:rFonts w:ascii="Arial" w:cs="Arial" w:eastAsia="Arial" w:hAnsi="Arial"/>
          <w:sz w:val="18"/>
          <w:szCs w:val="18"/>
          <w:color w:val="32406B"/>
        </w:rPr>
        <w:t>clinical trial of AVR-RD-04, do not utilize our commercial-scale plato platform. In addition, the planned investigator-sponsored clinical trial of AVR-RD-05 will not utilize the plato platform. While we have submitted and intend to continue to submit comparability studies to the FDA and other regulatory agencies, as needed, with respect to our implementation of our commercial-scale plato platform, there can be no assurance that the FDA or other regulatory agencies will not in the future require us to conduct additional preclinical studies or clinical trials with respect to these programs or our other product candidates that could result in delays in our development or commercialization programs of our product candidates, if approved, and additional expenses and otherwise could adversely affect our business.</w:t>
      </w:r>
    </w:p>
    <w:p>
      <w:pPr>
        <w:spacing w:after="0" w:line="100" w:lineRule="exact"/>
        <w:rPr>
          <w:sz w:val="20"/>
          <w:szCs w:val="20"/>
          <w:color w:val="auto"/>
        </w:rPr>
      </w:pPr>
    </w:p>
    <w:p>
      <w:pPr>
        <w:ind w:left="1160" w:right="100" w:hanging="534"/>
        <w:spacing w:after="0" w:line="311" w:lineRule="auto"/>
        <w:tabs>
          <w:tab w:leader="none" w:pos="1160" w:val="left"/>
        </w:tabs>
        <w:numPr>
          <w:ilvl w:val="0"/>
          <w:numId w:val="32"/>
        </w:numPr>
        <w:rPr>
          <w:rFonts w:ascii="Arial" w:cs="Arial" w:eastAsia="Arial" w:hAnsi="Arial"/>
          <w:sz w:val="16"/>
          <w:szCs w:val="16"/>
          <w:color w:val="32406B"/>
        </w:rPr>
      </w:pPr>
      <w:r>
        <w:rPr>
          <w:rFonts w:ascii="Arial" w:cs="Arial" w:eastAsia="Arial" w:hAnsi="Arial"/>
          <w:sz w:val="16"/>
          <w:szCs w:val="16"/>
          <w:color w:val="32406B"/>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54" w:lineRule="exact"/>
        <w:rPr>
          <w:rFonts w:ascii="Arial" w:cs="Arial" w:eastAsia="Arial" w:hAnsi="Arial"/>
          <w:sz w:val="16"/>
          <w:szCs w:val="16"/>
          <w:color w:val="32406B"/>
        </w:rPr>
      </w:pPr>
    </w:p>
    <w:p>
      <w:pPr>
        <w:ind w:left="1160" w:right="280" w:hanging="534"/>
        <w:spacing w:after="0" w:line="277" w:lineRule="auto"/>
        <w:tabs>
          <w:tab w:leader="none" w:pos="116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32406B"/>
        </w:rPr>
      </w:pPr>
    </w:p>
    <w:p>
      <w:pPr>
        <w:ind w:left="1160" w:right="40" w:hanging="534"/>
        <w:spacing w:after="0" w:line="277" w:lineRule="auto"/>
        <w:tabs>
          <w:tab w:leader="none" w:pos="116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75" w:lineRule="exact"/>
        <w:rPr>
          <w:rFonts w:ascii="Arial" w:cs="Arial" w:eastAsia="Arial" w:hAnsi="Arial"/>
          <w:sz w:val="18"/>
          <w:szCs w:val="18"/>
          <w:color w:val="32406B"/>
        </w:rPr>
      </w:pPr>
    </w:p>
    <w:p>
      <w:pPr>
        <w:ind w:left="1160" w:hanging="534"/>
        <w:spacing w:after="0"/>
        <w:tabs>
          <w:tab w:leader="none" w:pos="1160" w:val="left"/>
        </w:tabs>
        <w:numPr>
          <w:ilvl w:val="0"/>
          <w:numId w:val="32"/>
        </w:numPr>
        <w:rPr>
          <w:rFonts w:ascii="Arial" w:cs="Arial" w:eastAsia="Arial" w:hAnsi="Arial"/>
          <w:sz w:val="17"/>
          <w:szCs w:val="17"/>
          <w:color w:val="32406B"/>
        </w:rPr>
      </w:pPr>
      <w:r>
        <w:rPr>
          <w:rFonts w:ascii="Arial" w:cs="Arial" w:eastAsia="Arial" w:hAnsi="Arial"/>
          <w:sz w:val="17"/>
          <w:szCs w:val="17"/>
          <w:color w:val="32406B"/>
        </w:rPr>
        <w:t>We are dependent on a limited number of suppliers for some of our components and materials used in our product candidates.</w:t>
      </w:r>
    </w:p>
    <w:p>
      <w:pPr>
        <w:spacing w:after="0" w:line="142" w:lineRule="exact"/>
        <w:rPr>
          <w:rFonts w:ascii="Arial" w:cs="Arial" w:eastAsia="Arial" w:hAnsi="Arial"/>
          <w:sz w:val="17"/>
          <w:szCs w:val="17"/>
          <w:color w:val="32406B"/>
        </w:rPr>
      </w:pPr>
    </w:p>
    <w:p>
      <w:pPr>
        <w:ind w:left="1160" w:hanging="534"/>
        <w:spacing w:after="0"/>
        <w:tabs>
          <w:tab w:leader="none" w:pos="116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Third-party claims of intellectual property infringement may prevent or delay our development and commercialization efforts.</w:t>
      </w:r>
    </w:p>
    <w:p>
      <w:pPr>
        <w:spacing w:after="0" w:line="130" w:lineRule="exact"/>
        <w:rPr>
          <w:rFonts w:ascii="Arial" w:cs="Arial" w:eastAsia="Arial" w:hAnsi="Arial"/>
          <w:sz w:val="18"/>
          <w:szCs w:val="18"/>
          <w:color w:val="32406B"/>
        </w:rPr>
      </w:pPr>
    </w:p>
    <w:p>
      <w:pPr>
        <w:ind w:left="1160" w:right="60" w:hanging="534"/>
        <w:spacing w:after="0" w:line="259" w:lineRule="auto"/>
        <w:tabs>
          <w:tab w:leader="none" w:pos="116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Our rights to develop and commercialize our product candidates are subject, in part, to the terms and conditions of licenses granted to us by others. In particular, we have in-licensed certain intellectual property rights and know-how relevant to AVR-RD-01 for our Fabry program and AVR-RD-02 for our Gaucher program, but do not own or license any patents or patent applications covering these product candidates.</w:t>
      </w:r>
    </w:p>
    <w:p>
      <w:pPr>
        <w:spacing w:after="0" w:line="92" w:lineRule="exact"/>
        <w:rPr>
          <w:rFonts w:ascii="Arial" w:cs="Arial" w:eastAsia="Arial" w:hAnsi="Arial"/>
          <w:sz w:val="18"/>
          <w:szCs w:val="18"/>
          <w:color w:val="32406B"/>
        </w:rPr>
      </w:pPr>
    </w:p>
    <w:p>
      <w:pPr>
        <w:ind w:left="1160" w:right="400" w:hanging="534"/>
        <w:spacing w:after="0" w:line="296" w:lineRule="auto"/>
        <w:tabs>
          <w:tab w:leader="none" w:pos="1160" w:val="left"/>
        </w:tabs>
        <w:numPr>
          <w:ilvl w:val="0"/>
          <w:numId w:val="32"/>
        </w:numPr>
        <w:rPr>
          <w:rFonts w:ascii="Arial" w:cs="Arial" w:eastAsia="Arial" w:hAnsi="Arial"/>
          <w:sz w:val="16"/>
          <w:szCs w:val="16"/>
          <w:color w:val="32406B"/>
        </w:rPr>
      </w:pPr>
      <w:r>
        <w:rPr>
          <w:rFonts w:ascii="Arial" w:cs="Arial" w:eastAsia="Arial" w:hAnsi="Arial"/>
          <w:sz w:val="16"/>
          <w:szCs w:val="16"/>
          <w:color w:val="32406B"/>
        </w:rPr>
        <w:t>We and our independent registered public accounting firm have identified material weaknesses in our internal control over financial reporting. While we have taken numerous steps to address these material weaknesses and believe we have made progress toward remediating them,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61" w:lineRule="exact"/>
        <w:rPr>
          <w:sz w:val="20"/>
          <w:szCs w:val="20"/>
          <w:color w:val="auto"/>
        </w:rPr>
      </w:pPr>
    </w:p>
    <w:p>
      <w:pPr>
        <w:ind w:left="200" w:right="100" w:firstLine="434"/>
        <w:spacing w:after="0" w:line="291" w:lineRule="auto"/>
        <w:rPr>
          <w:rFonts w:ascii="Arial" w:cs="Arial" w:eastAsia="Arial" w:hAnsi="Arial"/>
          <w:sz w:val="16"/>
          <w:szCs w:val="16"/>
          <w:color w:val="32406B"/>
        </w:rPr>
      </w:pPr>
      <w:r>
        <w:rPr>
          <w:rFonts w:ascii="Arial" w:cs="Arial" w:eastAsia="Arial" w:hAnsi="Arial"/>
          <w:sz w:val="16"/>
          <w:szCs w:val="16"/>
          <w:color w:val="32406B"/>
        </w:rPr>
        <w:t>The summary risk factors described above should be read together with the text of the full risk factors in the section entitled “</w:t>
      </w:r>
      <w:hyperlink w:anchor="page34">
        <w:r>
          <w:rPr>
            <w:rFonts w:ascii="Arial" w:cs="Arial" w:eastAsia="Arial" w:hAnsi="Arial"/>
            <w:sz w:val="16"/>
            <w:szCs w:val="16"/>
            <w:u w:val="single" w:color="auto"/>
            <w:color w:val="0000EE"/>
          </w:rPr>
          <w:t>Risk Factors</w:t>
        </w:r>
      </w:hyperlink>
      <w:r>
        <w:rPr>
          <w:rFonts w:ascii="Arial" w:cs="Arial" w:eastAsia="Arial" w:hAnsi="Arial"/>
          <w:sz w:val="16"/>
          <w:szCs w:val="16"/>
          <w:color w:val="32406B"/>
        </w:rPr>
        <w:t>” on page S-32 of this prospectus supplement or otherwise incorporated by reference in this prospectus supplement and the accompanying prospectus, and the other information set forth in this prospectus supplement or otherwise incorporated by reference in this prospectus supplement and the accompanying prospectus, including our consolidated financial statements and the related notes, as well as in other documents that we file with the Securities and Exchange Commission, or the SEC. The risks summarized above or described below or incorporated by reference herein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S-28</w:t>
      </w:r>
    </w:p>
    <w:p>
      <w:pPr>
        <w:sectPr>
          <w:pgSz w:w="11900" w:h="16838" w:orient="portrait"/>
          <w:cols w:equalWidth="0" w:num="1">
            <w:col w:w="11040"/>
          </w:cols>
          <w:pgMar w:left="320" w:top="459" w:right="5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10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4101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32406B"/>
        </w:rPr>
        <w:t>IMPLICATIONS OF BEING AN EMERGING GROWTH COMPANY</w:t>
      </w:r>
    </w:p>
    <w:p>
      <w:pPr>
        <w:spacing w:after="0" w:line="229" w:lineRule="exact"/>
        <w:rPr>
          <w:sz w:val="20"/>
          <w:szCs w:val="20"/>
          <w:color w:val="auto"/>
        </w:rPr>
      </w:pPr>
    </w:p>
    <w:p>
      <w:pPr>
        <w:ind w:left="200" w:right="560" w:firstLine="434"/>
        <w:spacing w:after="0" w:line="342" w:lineRule="auto"/>
        <w:rPr>
          <w:sz w:val="20"/>
          <w:szCs w:val="20"/>
          <w:color w:val="auto"/>
        </w:rPr>
      </w:pPr>
      <w:r>
        <w:rPr>
          <w:rFonts w:ascii="Arial" w:cs="Arial" w:eastAsia="Arial" w:hAnsi="Arial"/>
          <w:sz w:val="16"/>
          <w:szCs w:val="16"/>
          <w:color w:val="32406B"/>
        </w:rPr>
        <w:t>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29" w:lineRule="exact"/>
        <w:rPr>
          <w:sz w:val="20"/>
          <w:szCs w:val="20"/>
          <w:color w:val="auto"/>
        </w:rPr>
      </w:pPr>
    </w:p>
    <w:p>
      <w:pPr>
        <w:ind w:left="1160" w:right="120" w:hanging="534"/>
        <w:spacing w:after="0" w:line="308" w:lineRule="auto"/>
        <w:tabs>
          <w:tab w:leader="none" w:pos="1160" w:val="left"/>
        </w:tabs>
        <w:numPr>
          <w:ilvl w:val="0"/>
          <w:numId w:val="33"/>
        </w:numPr>
        <w:rPr>
          <w:rFonts w:ascii="Arial" w:cs="Arial" w:eastAsia="Arial" w:hAnsi="Arial"/>
          <w:sz w:val="17"/>
          <w:szCs w:val="17"/>
          <w:color w:val="32406B"/>
        </w:rPr>
      </w:pPr>
      <w:r>
        <w:rPr>
          <w:rFonts w:ascii="Arial" w:cs="Arial" w:eastAsia="Arial" w:hAnsi="Arial"/>
          <w:sz w:val="17"/>
          <w:szCs w:val="17"/>
          <w:color w:val="32406B"/>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32406B"/>
        </w:rPr>
      </w:pPr>
    </w:p>
    <w:p>
      <w:pPr>
        <w:ind w:left="1160" w:hanging="534"/>
        <w:spacing w:after="0"/>
        <w:tabs>
          <w:tab w:leader="none" w:pos="116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Reduced disclosure about our executive compensation arrangements;</w:t>
      </w:r>
    </w:p>
    <w:p>
      <w:pPr>
        <w:spacing w:after="0" w:line="130" w:lineRule="exact"/>
        <w:rPr>
          <w:rFonts w:ascii="Arial" w:cs="Arial" w:eastAsia="Arial" w:hAnsi="Arial"/>
          <w:sz w:val="18"/>
          <w:szCs w:val="18"/>
          <w:color w:val="32406B"/>
        </w:rPr>
      </w:pPr>
    </w:p>
    <w:p>
      <w:pPr>
        <w:ind w:left="1160" w:hanging="534"/>
        <w:spacing w:after="0"/>
        <w:tabs>
          <w:tab w:leader="none" w:pos="116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No advisory votes on executive compensation or golden parachute arrangements;</w:t>
      </w:r>
    </w:p>
    <w:p>
      <w:pPr>
        <w:spacing w:after="0" w:line="130" w:lineRule="exact"/>
        <w:rPr>
          <w:rFonts w:ascii="Arial" w:cs="Arial" w:eastAsia="Arial" w:hAnsi="Arial"/>
          <w:sz w:val="18"/>
          <w:szCs w:val="18"/>
          <w:color w:val="32406B"/>
        </w:rPr>
      </w:pPr>
    </w:p>
    <w:p>
      <w:pPr>
        <w:ind w:left="1160" w:hanging="534"/>
        <w:spacing w:after="0"/>
        <w:tabs>
          <w:tab w:leader="none" w:pos="116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Exemption from the auditor attestation requirement in the assessment of our internal control over financial reporting; and</w:t>
      </w:r>
    </w:p>
    <w:p>
      <w:pPr>
        <w:spacing w:after="0" w:line="130" w:lineRule="exact"/>
        <w:rPr>
          <w:rFonts w:ascii="Arial" w:cs="Arial" w:eastAsia="Arial" w:hAnsi="Arial"/>
          <w:sz w:val="18"/>
          <w:szCs w:val="18"/>
          <w:color w:val="32406B"/>
        </w:rPr>
      </w:pPr>
    </w:p>
    <w:p>
      <w:pPr>
        <w:ind w:left="1160" w:right="260" w:hanging="534"/>
        <w:spacing w:after="0" w:line="342" w:lineRule="auto"/>
        <w:tabs>
          <w:tab w:leader="none" w:pos="1160" w:val="left"/>
        </w:tabs>
        <w:numPr>
          <w:ilvl w:val="0"/>
          <w:numId w:val="33"/>
        </w:numPr>
        <w:rPr>
          <w:rFonts w:ascii="Arial" w:cs="Arial" w:eastAsia="Arial" w:hAnsi="Arial"/>
          <w:sz w:val="16"/>
          <w:szCs w:val="16"/>
          <w:color w:val="32406B"/>
        </w:rPr>
      </w:pPr>
      <w:r>
        <w:rPr>
          <w:rFonts w:ascii="Arial" w:cs="Arial" w:eastAsia="Arial" w:hAnsi="Arial"/>
          <w:sz w:val="16"/>
          <w:szCs w:val="16"/>
          <w:color w:val="32406B"/>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24" w:lineRule="exact"/>
        <w:rPr>
          <w:sz w:val="20"/>
          <w:szCs w:val="20"/>
          <w:color w:val="auto"/>
        </w:rPr>
      </w:pPr>
    </w:p>
    <w:p>
      <w:pPr>
        <w:ind w:left="200" w:firstLine="434"/>
        <w:spacing w:after="0" w:line="270" w:lineRule="auto"/>
        <w:rPr>
          <w:sz w:val="20"/>
          <w:szCs w:val="20"/>
          <w:color w:val="auto"/>
        </w:rPr>
      </w:pPr>
      <w:r>
        <w:rPr>
          <w:rFonts w:ascii="Arial" w:cs="Arial" w:eastAsia="Arial" w:hAnsi="Arial"/>
          <w:sz w:val="17"/>
          <w:szCs w:val="17"/>
          <w:color w:val="32406B"/>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181" w:lineRule="exact"/>
        <w:rPr>
          <w:sz w:val="20"/>
          <w:szCs w:val="20"/>
          <w:color w:val="auto"/>
        </w:rPr>
      </w:pPr>
    </w:p>
    <w:p>
      <w:pPr>
        <w:jc w:val="both"/>
        <w:ind w:left="200" w:right="80" w:firstLine="434"/>
        <w:spacing w:after="0" w:line="286" w:lineRule="auto"/>
        <w:rPr>
          <w:sz w:val="20"/>
          <w:szCs w:val="20"/>
          <w:color w:val="auto"/>
        </w:rPr>
      </w:pPr>
      <w:r>
        <w:rPr>
          <w:rFonts w:ascii="Arial" w:cs="Arial" w:eastAsia="Arial" w:hAnsi="Arial"/>
          <w:sz w:val="17"/>
          <w:szCs w:val="17"/>
          <w:color w:val="32406B"/>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00" w:lineRule="exact"/>
        <w:rPr>
          <w:sz w:val="20"/>
          <w:szCs w:val="20"/>
          <w:color w:val="auto"/>
        </w:rPr>
      </w:pPr>
    </w:p>
    <w:p>
      <w:pPr>
        <w:spacing w:after="0" w:line="3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S-29</w:t>
      </w:r>
    </w:p>
    <w:p>
      <w:pPr>
        <w:sectPr>
          <w:pgSz w:w="11900" w:h="16838" w:orient="portrait"/>
          <w:cols w:equalWidth="0" w:num="1">
            <w:col w:w="10960"/>
          </w:cols>
          <w:pgMar w:left="320" w:top="459" w:right="6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73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54730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6160" w:type="dxa"/>
            <w:vAlign w:val="bottom"/>
          </w:tcPr>
          <w:p>
            <w:pPr>
              <w:ind w:left="60"/>
              <w:spacing w:after="0"/>
              <w:rPr>
                <w:sz w:val="20"/>
                <w:szCs w:val="20"/>
                <w:color w:val="auto"/>
              </w:rPr>
            </w:pPr>
            <w:r>
              <w:rPr>
                <w:rFonts w:ascii="Arial" w:cs="Arial" w:eastAsia="Arial" w:hAnsi="Arial"/>
                <w:sz w:val="18"/>
                <w:szCs w:val="18"/>
                <w:b w:val="1"/>
                <w:bCs w:val="1"/>
                <w:color w:val="32406B"/>
              </w:rPr>
              <w:t>THE OFFERING</w:t>
            </w:r>
          </w:p>
        </w:tc>
        <w:tc>
          <w:tcPr>
            <w:tcW w:w="0" w:type="dxa"/>
            <w:vAlign w:val="bottom"/>
          </w:tcPr>
          <w:p>
            <w:pPr>
              <w:spacing w:after="0"/>
              <w:rPr>
                <w:sz w:val="1"/>
                <w:szCs w:val="1"/>
                <w:color w:val="auto"/>
              </w:rPr>
            </w:pPr>
          </w:p>
        </w:tc>
      </w:tr>
      <w:tr>
        <w:trPr>
          <w:trHeight w:val="459"/>
        </w:trPr>
        <w:tc>
          <w:tcPr>
            <w:tcW w:w="4680" w:type="dxa"/>
            <w:vAlign w:val="bottom"/>
          </w:tcPr>
          <w:p>
            <w:pPr>
              <w:spacing w:after="0"/>
              <w:rPr>
                <w:sz w:val="20"/>
                <w:szCs w:val="20"/>
                <w:color w:val="auto"/>
              </w:rPr>
            </w:pPr>
            <w:r>
              <w:rPr>
                <w:rFonts w:ascii="Arial" w:cs="Arial" w:eastAsia="Arial" w:hAnsi="Arial"/>
                <w:sz w:val="18"/>
                <w:szCs w:val="18"/>
                <w:color w:val="32406B"/>
              </w:rPr>
              <w:t>Common stock offered by us</w:t>
            </w:r>
          </w:p>
        </w:tc>
        <w:tc>
          <w:tcPr>
            <w:tcW w:w="6160" w:type="dxa"/>
            <w:vAlign w:val="bottom"/>
          </w:tcPr>
          <w:p>
            <w:pPr>
              <w:ind w:left="980"/>
              <w:spacing w:after="0"/>
              <w:rPr>
                <w:sz w:val="20"/>
                <w:szCs w:val="20"/>
                <w:color w:val="auto"/>
              </w:rPr>
            </w:pPr>
            <w:r>
              <w:rPr>
                <w:rFonts w:ascii="Arial" w:cs="Arial" w:eastAsia="Arial" w:hAnsi="Arial"/>
                <w:sz w:val="18"/>
                <w:szCs w:val="18"/>
                <w:color w:val="32406B"/>
              </w:rPr>
              <w:t>5,000,000 shares of common stock</w:t>
            </w:r>
          </w:p>
        </w:tc>
        <w:tc>
          <w:tcPr>
            <w:tcW w:w="0" w:type="dxa"/>
            <w:vAlign w:val="bottom"/>
          </w:tcPr>
          <w:p>
            <w:pPr>
              <w:spacing w:after="0"/>
              <w:rPr>
                <w:sz w:val="1"/>
                <w:szCs w:val="1"/>
                <w:color w:val="auto"/>
              </w:rPr>
            </w:pPr>
          </w:p>
        </w:tc>
      </w:tr>
      <w:tr>
        <w:trPr>
          <w:trHeight w:val="283"/>
        </w:trPr>
        <w:tc>
          <w:tcPr>
            <w:tcW w:w="4680" w:type="dxa"/>
            <w:vAlign w:val="bottom"/>
          </w:tcPr>
          <w:p>
            <w:pPr>
              <w:spacing w:after="0"/>
              <w:rPr>
                <w:sz w:val="20"/>
                <w:szCs w:val="20"/>
                <w:color w:val="auto"/>
              </w:rPr>
            </w:pPr>
            <w:r>
              <w:rPr>
                <w:rFonts w:ascii="Arial" w:cs="Arial" w:eastAsia="Arial" w:hAnsi="Arial"/>
                <w:sz w:val="18"/>
                <w:szCs w:val="18"/>
                <w:color w:val="32406B"/>
                <w:w w:val="92"/>
              </w:rPr>
              <w:t>Common stock to be outstanding immediately after this offering</w:t>
            </w:r>
          </w:p>
        </w:tc>
        <w:tc>
          <w:tcPr>
            <w:tcW w:w="6160" w:type="dxa"/>
            <w:vAlign w:val="bottom"/>
            <w:vMerge w:val="restart"/>
          </w:tcPr>
          <w:p>
            <w:pPr>
              <w:ind w:left="980"/>
              <w:spacing w:after="0"/>
              <w:rPr>
                <w:sz w:val="20"/>
                <w:szCs w:val="20"/>
                <w:color w:val="auto"/>
              </w:rPr>
            </w:pPr>
            <w:r>
              <w:rPr>
                <w:rFonts w:ascii="Arial" w:cs="Arial" w:eastAsia="Arial" w:hAnsi="Arial"/>
                <w:sz w:val="18"/>
                <w:szCs w:val="18"/>
                <w:color w:val="32406B"/>
                <w:w w:val="93"/>
              </w:rPr>
              <w:t>41,449,153 shares (or 42,199,153 shares if the underwriters exercise</w:t>
            </w:r>
          </w:p>
        </w:tc>
        <w:tc>
          <w:tcPr>
            <w:tcW w:w="0" w:type="dxa"/>
            <w:vAlign w:val="bottom"/>
          </w:tcPr>
          <w:p>
            <w:pPr>
              <w:spacing w:after="0"/>
              <w:rPr>
                <w:sz w:val="1"/>
                <w:szCs w:val="1"/>
                <w:color w:val="auto"/>
              </w:rPr>
            </w:pPr>
          </w:p>
        </w:tc>
      </w:tr>
      <w:tr>
        <w:trPr>
          <w:trHeight w:val="202"/>
        </w:trPr>
        <w:tc>
          <w:tcPr>
            <w:tcW w:w="4680" w:type="dxa"/>
            <w:vAlign w:val="bottom"/>
          </w:tcPr>
          <w:p>
            <w:pPr>
              <w:spacing w:after="0"/>
              <w:rPr>
                <w:sz w:val="17"/>
                <w:szCs w:val="17"/>
                <w:color w:val="auto"/>
              </w:rPr>
            </w:pPr>
          </w:p>
        </w:tc>
        <w:tc>
          <w:tcPr>
            <w:tcW w:w="6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rPr>
              <w:t>their option to purchase additional shares in full).</w:t>
            </w:r>
          </w:p>
        </w:tc>
        <w:tc>
          <w:tcPr>
            <w:tcW w:w="0" w:type="dxa"/>
            <w:vAlign w:val="bottom"/>
          </w:tcPr>
          <w:p>
            <w:pPr>
              <w:spacing w:after="0"/>
              <w:rPr>
                <w:sz w:val="1"/>
                <w:szCs w:val="1"/>
                <w:color w:val="auto"/>
              </w:rPr>
            </w:pPr>
          </w:p>
        </w:tc>
      </w:tr>
      <w:tr>
        <w:trPr>
          <w:trHeight w:val="269"/>
        </w:trPr>
        <w:tc>
          <w:tcPr>
            <w:tcW w:w="4680" w:type="dxa"/>
            <w:vAlign w:val="bottom"/>
          </w:tcPr>
          <w:p>
            <w:pPr>
              <w:spacing w:after="0"/>
              <w:rPr>
                <w:sz w:val="20"/>
                <w:szCs w:val="20"/>
                <w:color w:val="auto"/>
              </w:rPr>
            </w:pPr>
            <w:r>
              <w:rPr>
                <w:rFonts w:ascii="Arial" w:cs="Arial" w:eastAsia="Arial" w:hAnsi="Arial"/>
                <w:sz w:val="18"/>
                <w:szCs w:val="18"/>
                <w:color w:val="32406B"/>
              </w:rPr>
              <w:t>Underwriters’ option to purchase additional shares</w:t>
            </w:r>
          </w:p>
        </w:tc>
        <w:tc>
          <w:tcPr>
            <w:tcW w:w="6160" w:type="dxa"/>
            <w:vAlign w:val="bottom"/>
          </w:tcPr>
          <w:p>
            <w:pPr>
              <w:ind w:left="980"/>
              <w:spacing w:after="0"/>
              <w:rPr>
                <w:sz w:val="20"/>
                <w:szCs w:val="20"/>
                <w:color w:val="auto"/>
              </w:rPr>
            </w:pPr>
            <w:r>
              <w:rPr>
                <w:rFonts w:ascii="Arial" w:cs="Arial" w:eastAsia="Arial" w:hAnsi="Arial"/>
                <w:sz w:val="18"/>
                <w:szCs w:val="18"/>
                <w:color w:val="32406B"/>
                <w:w w:val="93"/>
              </w:rPr>
              <w:t>We have granted the underwriters an option for a period of 30 days to</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rPr>
              <w:t>purchase up to 750,000 additional shares of common stock.</w:t>
            </w:r>
          </w:p>
        </w:tc>
        <w:tc>
          <w:tcPr>
            <w:tcW w:w="0" w:type="dxa"/>
            <w:vAlign w:val="bottom"/>
          </w:tcPr>
          <w:p>
            <w:pPr>
              <w:spacing w:after="0"/>
              <w:rPr>
                <w:sz w:val="1"/>
                <w:szCs w:val="1"/>
                <w:color w:val="auto"/>
              </w:rPr>
            </w:pPr>
          </w:p>
        </w:tc>
      </w:tr>
      <w:tr>
        <w:trPr>
          <w:trHeight w:val="269"/>
        </w:trPr>
        <w:tc>
          <w:tcPr>
            <w:tcW w:w="4680" w:type="dxa"/>
            <w:vAlign w:val="bottom"/>
          </w:tcPr>
          <w:p>
            <w:pPr>
              <w:spacing w:after="0"/>
              <w:rPr>
                <w:sz w:val="20"/>
                <w:szCs w:val="20"/>
                <w:color w:val="auto"/>
              </w:rPr>
            </w:pPr>
            <w:r>
              <w:rPr>
                <w:rFonts w:ascii="Arial" w:cs="Arial" w:eastAsia="Arial" w:hAnsi="Arial"/>
                <w:sz w:val="18"/>
                <w:szCs w:val="18"/>
                <w:color w:val="32406B"/>
              </w:rPr>
              <w:t>Use of proceeds</w:t>
            </w:r>
          </w:p>
        </w:tc>
        <w:tc>
          <w:tcPr>
            <w:tcW w:w="6160" w:type="dxa"/>
            <w:vAlign w:val="bottom"/>
          </w:tcPr>
          <w:p>
            <w:pPr>
              <w:ind w:left="980"/>
              <w:spacing w:after="0"/>
              <w:rPr>
                <w:sz w:val="20"/>
                <w:szCs w:val="20"/>
                <w:color w:val="auto"/>
              </w:rPr>
            </w:pPr>
            <w:r>
              <w:rPr>
                <w:rFonts w:ascii="Arial" w:cs="Arial" w:eastAsia="Arial" w:hAnsi="Arial"/>
                <w:sz w:val="18"/>
                <w:szCs w:val="18"/>
                <w:color w:val="32406B"/>
              </w:rPr>
              <w:t>We intend to use the proceeds from this offering, after deducting</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rPr>
              <w:t>underwriting discounts and commissions and estimated offering</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w w:val="90"/>
              </w:rPr>
              <w:t>expenses payable by us, to fund our current programs in Fabry disease,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w w:val="92"/>
              </w:rPr>
              <w:t>cystinosis, Gaucher disease type 1, Hunter syndrome, Pompe disease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w w:val="92"/>
              </w:rPr>
              <w:t>and Gaucher disease type 3, fund external and internal manufacturing</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rPr>
              <w:t>and process development activities and to fund research and</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w w:val="93"/>
              </w:rPr>
              <w:t>development activities that relate to our current and future clinical and</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w w:val="95"/>
              </w:rPr>
              <w:t>preclinical activities, including the cost of research and development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w w:val="96"/>
              </w:rPr>
              <w:t>personnel. We intend to use the remainder for planned general and</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w w:val="93"/>
              </w:rPr>
              <w:t>administrative expenses, working capital and other general corporate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w w:val="93"/>
              </w:rPr>
              <w:t>purposes. For a more complete description of our intended use of the</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w w:val="99"/>
              </w:rPr>
              <w:t>proceeds from this offering, see “Use of Proceeds” on page S-38.</w:t>
            </w:r>
          </w:p>
        </w:tc>
        <w:tc>
          <w:tcPr>
            <w:tcW w:w="0" w:type="dxa"/>
            <w:vAlign w:val="bottom"/>
          </w:tcPr>
          <w:p>
            <w:pPr>
              <w:spacing w:after="0"/>
              <w:rPr>
                <w:sz w:val="1"/>
                <w:szCs w:val="1"/>
                <w:color w:val="auto"/>
              </w:rPr>
            </w:pPr>
          </w:p>
        </w:tc>
      </w:tr>
      <w:tr>
        <w:trPr>
          <w:trHeight w:val="269"/>
        </w:trPr>
        <w:tc>
          <w:tcPr>
            <w:tcW w:w="4680" w:type="dxa"/>
            <w:vAlign w:val="bottom"/>
          </w:tcPr>
          <w:p>
            <w:pPr>
              <w:spacing w:after="0"/>
              <w:rPr>
                <w:sz w:val="20"/>
                <w:szCs w:val="20"/>
                <w:color w:val="auto"/>
              </w:rPr>
            </w:pPr>
            <w:r>
              <w:rPr>
                <w:rFonts w:ascii="Arial" w:cs="Arial" w:eastAsia="Arial" w:hAnsi="Arial"/>
                <w:sz w:val="18"/>
                <w:szCs w:val="18"/>
                <w:color w:val="32406B"/>
              </w:rPr>
              <w:t>Risk factors</w:t>
            </w:r>
          </w:p>
        </w:tc>
        <w:tc>
          <w:tcPr>
            <w:tcW w:w="6160" w:type="dxa"/>
            <w:vAlign w:val="bottom"/>
          </w:tcPr>
          <w:p>
            <w:pPr>
              <w:ind w:left="980"/>
              <w:spacing w:after="0"/>
              <w:rPr>
                <w:sz w:val="20"/>
                <w:szCs w:val="20"/>
                <w:color w:val="auto"/>
              </w:rPr>
            </w:pPr>
            <w:r>
              <w:rPr>
                <w:rFonts w:ascii="Arial" w:cs="Arial" w:eastAsia="Arial" w:hAnsi="Arial"/>
                <w:sz w:val="18"/>
                <w:szCs w:val="18"/>
                <w:color w:val="32406B"/>
                <w:w w:val="96"/>
              </w:rPr>
              <w:t>This investment involves a high degree of risk. You should carefully</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w w:val="97"/>
              </w:rPr>
              <w:t>read “Risk Factors” on page S-32 of this prospectus supplement or</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w w:val="91"/>
              </w:rPr>
              <w:t>otherwise incorporated by reference in this prospectus supplement and</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w w:val="89"/>
              </w:rPr>
              <w:t>the accompanying prospectus for a discussion of factors that you should</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6160" w:type="dxa"/>
            <w:vAlign w:val="bottom"/>
          </w:tcPr>
          <w:p>
            <w:pPr>
              <w:ind w:left="980"/>
              <w:spacing w:after="0"/>
              <w:rPr>
                <w:sz w:val="20"/>
                <w:szCs w:val="20"/>
                <w:color w:val="auto"/>
              </w:rPr>
            </w:pPr>
            <w:r>
              <w:rPr>
                <w:rFonts w:ascii="Arial" w:cs="Arial" w:eastAsia="Arial" w:hAnsi="Arial"/>
                <w:sz w:val="18"/>
                <w:szCs w:val="18"/>
                <w:color w:val="32406B"/>
              </w:rPr>
              <w:t>consider before deciding to invest in our common stock.</w:t>
            </w:r>
          </w:p>
        </w:tc>
        <w:tc>
          <w:tcPr>
            <w:tcW w:w="0" w:type="dxa"/>
            <w:vAlign w:val="bottom"/>
          </w:tcPr>
          <w:p>
            <w:pPr>
              <w:spacing w:after="0"/>
              <w:rPr>
                <w:sz w:val="1"/>
                <w:szCs w:val="1"/>
                <w:color w:val="auto"/>
              </w:rPr>
            </w:pPr>
          </w:p>
        </w:tc>
      </w:tr>
      <w:tr>
        <w:trPr>
          <w:trHeight w:val="283"/>
        </w:trPr>
        <w:tc>
          <w:tcPr>
            <w:tcW w:w="4680" w:type="dxa"/>
            <w:vAlign w:val="bottom"/>
          </w:tcPr>
          <w:p>
            <w:pPr>
              <w:spacing w:after="0"/>
              <w:rPr>
                <w:sz w:val="20"/>
                <w:szCs w:val="20"/>
                <w:color w:val="auto"/>
              </w:rPr>
            </w:pPr>
            <w:r>
              <w:rPr>
                <w:rFonts w:ascii="Arial" w:cs="Arial" w:eastAsia="Arial" w:hAnsi="Arial"/>
                <w:sz w:val="18"/>
                <w:szCs w:val="18"/>
                <w:color w:val="32406B"/>
              </w:rPr>
              <w:t>Nasdaq Global Select Market symbol</w:t>
            </w:r>
          </w:p>
        </w:tc>
        <w:tc>
          <w:tcPr>
            <w:tcW w:w="6160" w:type="dxa"/>
            <w:vAlign w:val="bottom"/>
          </w:tcPr>
          <w:p>
            <w:pPr>
              <w:ind w:left="980"/>
              <w:spacing w:after="0"/>
              <w:rPr>
                <w:sz w:val="20"/>
                <w:szCs w:val="20"/>
                <w:color w:val="auto"/>
              </w:rPr>
            </w:pPr>
            <w:r>
              <w:rPr>
                <w:rFonts w:ascii="Arial" w:cs="Arial" w:eastAsia="Arial" w:hAnsi="Arial"/>
                <w:sz w:val="18"/>
                <w:szCs w:val="18"/>
                <w:color w:val="32406B"/>
              </w:rPr>
              <w:t>“AVRO”</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firstLine="434"/>
        <w:spacing w:after="0" w:line="263" w:lineRule="auto"/>
        <w:rPr>
          <w:sz w:val="20"/>
          <w:szCs w:val="20"/>
          <w:color w:val="auto"/>
        </w:rPr>
      </w:pPr>
      <w:r>
        <w:rPr>
          <w:rFonts w:ascii="Arial" w:cs="Arial" w:eastAsia="Arial" w:hAnsi="Arial"/>
          <w:sz w:val="18"/>
          <w:szCs w:val="18"/>
          <w:color w:val="32406B"/>
        </w:rPr>
        <w:t>All information in this prospectus supplement related to the number of shares of our common stock to be outstanding immediately after this offering is based on 36,449,153 shares of our common stock outstanding as of September 30, 2020 and gives effect to the sale of 5,000,000 shares of common stock at the public offering price of $15.00 per share, and does not include:</w:t>
      </w:r>
    </w:p>
    <w:p>
      <w:pPr>
        <w:spacing w:after="0" w:line="89" w:lineRule="exact"/>
        <w:rPr>
          <w:sz w:val="20"/>
          <w:szCs w:val="20"/>
          <w:color w:val="auto"/>
        </w:rPr>
      </w:pPr>
    </w:p>
    <w:p>
      <w:pPr>
        <w:ind w:left="1160" w:right="40" w:hanging="534"/>
        <w:spacing w:after="0" w:line="259" w:lineRule="auto"/>
        <w:tabs>
          <w:tab w:leader="none" w:pos="116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4,088,676 shares of common stock issuable upon the exercise of stock options outstanding as of September 30, 2020 under our 2018 Stock Option and Incentive Plan, as amended by the First Amendment to the AVROBIO, Inc. 2018 Stock Option and Incentive Plan (the “2018 Plan”) and our Amended and Restated 2015 Stock Option and Grant Plan (the “2015 Plan”), at a weighted-average exercise price of $14.05 per share;</w:t>
      </w:r>
    </w:p>
    <w:p>
      <w:pPr>
        <w:spacing w:after="0" w:line="92" w:lineRule="exact"/>
        <w:rPr>
          <w:rFonts w:ascii="Arial" w:cs="Arial" w:eastAsia="Arial" w:hAnsi="Arial"/>
          <w:sz w:val="18"/>
          <w:szCs w:val="18"/>
          <w:color w:val="32406B"/>
        </w:rPr>
      </w:pPr>
    </w:p>
    <w:p>
      <w:pPr>
        <w:ind w:left="1160" w:hanging="534"/>
        <w:spacing w:after="0"/>
        <w:tabs>
          <w:tab w:leader="none" w:pos="116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1,342 shares of common stock issuable upon the vesting of restricted stock units outstanding as of September 30,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S-30</w:t>
      </w:r>
    </w:p>
    <w:p>
      <w:pPr>
        <w:sectPr>
          <w:pgSz w:w="11900" w:h="16838" w:orient="portrait"/>
          <w:cols w:equalWidth="0" w:num="1">
            <w:col w:w="11040"/>
          </w:cols>
          <w:pgMar w:left="320" w:top="459"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3787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23787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220" w:hanging="534"/>
        <w:spacing w:after="0" w:line="263" w:lineRule="auto"/>
        <w:tabs>
          <w:tab w:leader="none" w:pos="11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968,450 shares of common stock issuable upon the exercise of stock options outstanding as of September 30, 2020 under our 2019 Inducement Plan, at a weighted-average exercise price of $17.56 per share, which excludes 443,250 additional stock options that were issued after September 30, 2020;</w:t>
      </w:r>
    </w:p>
    <w:p>
      <w:pPr>
        <w:spacing w:after="0" w:line="89" w:lineRule="exact"/>
        <w:rPr>
          <w:rFonts w:ascii="Arial" w:cs="Arial" w:eastAsia="Arial" w:hAnsi="Arial"/>
          <w:sz w:val="18"/>
          <w:szCs w:val="18"/>
          <w:color w:val="32406B"/>
        </w:rPr>
      </w:pPr>
    </w:p>
    <w:p>
      <w:pPr>
        <w:ind w:left="1160" w:right="320" w:hanging="534"/>
        <w:spacing w:after="0" w:line="277" w:lineRule="auto"/>
        <w:tabs>
          <w:tab w:leader="none" w:pos="11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601,764 shares of common stock issuable upon the exercise of stock options issued outside of our 2018 Plan and our 2015 Plan as of September 30, 2020, at a weighted-average exercise price of $19.70 per share;</w:t>
      </w:r>
    </w:p>
    <w:p>
      <w:pPr>
        <w:spacing w:after="0" w:line="75" w:lineRule="exact"/>
        <w:rPr>
          <w:rFonts w:ascii="Arial" w:cs="Arial" w:eastAsia="Arial" w:hAnsi="Arial"/>
          <w:sz w:val="18"/>
          <w:szCs w:val="18"/>
          <w:color w:val="32406B"/>
        </w:rPr>
      </w:pPr>
    </w:p>
    <w:p>
      <w:pPr>
        <w:ind w:left="1160" w:hanging="534"/>
        <w:spacing w:after="0"/>
        <w:tabs>
          <w:tab w:leader="none" w:pos="11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3,541,042 shares of common stock reserved for future issuance under our 2018 Plan as of September 30, 2020;</w:t>
      </w:r>
    </w:p>
    <w:p>
      <w:pPr>
        <w:spacing w:after="0" w:line="130" w:lineRule="exact"/>
        <w:rPr>
          <w:rFonts w:ascii="Arial" w:cs="Arial" w:eastAsia="Arial" w:hAnsi="Arial"/>
          <w:sz w:val="18"/>
          <w:szCs w:val="18"/>
          <w:color w:val="32406B"/>
        </w:rPr>
      </w:pPr>
    </w:p>
    <w:p>
      <w:pPr>
        <w:ind w:left="1160" w:right="100" w:hanging="534"/>
        <w:spacing w:after="0" w:line="277" w:lineRule="auto"/>
        <w:tabs>
          <w:tab w:leader="none" w:pos="11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774,088 shares of common stock reserved for future issuance under our 2018 Employee Stock Purchase Plan as of September 30, 2020; and</w:t>
      </w:r>
    </w:p>
    <w:p>
      <w:pPr>
        <w:spacing w:after="0" w:line="75" w:lineRule="exact"/>
        <w:rPr>
          <w:rFonts w:ascii="Arial" w:cs="Arial" w:eastAsia="Arial" w:hAnsi="Arial"/>
          <w:sz w:val="18"/>
          <w:szCs w:val="18"/>
          <w:color w:val="32406B"/>
        </w:rPr>
      </w:pPr>
    </w:p>
    <w:p>
      <w:pPr>
        <w:ind w:left="1160" w:hanging="534"/>
        <w:spacing w:after="0"/>
        <w:tabs>
          <w:tab w:leader="none" w:pos="116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831,550 shares of common stock reserved for future issuance under our 2019 Inducement Plan.</w:t>
      </w:r>
    </w:p>
    <w:p>
      <w:pPr>
        <w:spacing w:after="0" w:line="225" w:lineRule="exact"/>
        <w:rPr>
          <w:sz w:val="20"/>
          <w:szCs w:val="20"/>
          <w:color w:val="auto"/>
        </w:rPr>
      </w:pPr>
    </w:p>
    <w:p>
      <w:pPr>
        <w:ind w:left="200" w:firstLine="434"/>
        <w:spacing w:after="0" w:line="263" w:lineRule="auto"/>
        <w:rPr>
          <w:sz w:val="20"/>
          <w:szCs w:val="20"/>
          <w:color w:val="auto"/>
        </w:rPr>
      </w:pPr>
      <w:r>
        <w:rPr>
          <w:rFonts w:ascii="Arial" w:cs="Arial" w:eastAsia="Arial" w:hAnsi="Arial"/>
          <w:sz w:val="18"/>
          <w:szCs w:val="18"/>
          <w:color w:val="32406B"/>
        </w:rPr>
        <w:t>Except as otherwise indicated, we have presented the information in this prospectus supplement assuming no exercise by the underwriters in this offering of their option to purchase additional shares of common stock and no exercise of outstanding options or settlement of the restricted stock units described above.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S-31</w:t>
      </w:r>
    </w:p>
    <w:p>
      <w:pPr>
        <w:sectPr>
          <w:pgSz w:w="11900" w:h="16838" w:orient="portrait"/>
          <w:cols w:equalWidth="0" w:num="1">
            <w:col w:w="11040"/>
          </w:cols>
          <w:pgMar w:left="320" w:top="459"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RISK FACTORS</w:t>
      </w:r>
    </w:p>
    <w:p>
      <w:pPr>
        <w:spacing w:after="0" w:line="22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i w:val="1"/>
          <w:iCs w:val="1"/>
          <w:color w:val="32406B"/>
        </w:rPr>
        <w:t>Investing in our common stock involves a high degree of risk. Before deciding whether to invest in our common stock, you should consider carefully the risks and uncertainties described below. You should also consider the risks, uncertainties and assumptions discussed under the heading “Risk Factors” included in our most recent annual report on Form 10-K and our subsequent quarterly reports on Form 10-Q, each of which is on file with the SEC and are incorporated herein by reference, and which may be amended, supplemented or superseded from time to time by other reports we file with the SEC in the future. There may be other unknown or unpredictable economic, business, competitive, regulatory or other factors that could have material adverse effects on our future results.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Risks Related to This Offering and Our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32406B"/>
        </w:rPr>
        <w:t>The market price of our common stock may be highly volatile, and you may not be able to resell your shares at or above the offering price.</w:t>
      </w:r>
    </w:p>
    <w:p>
      <w:pPr>
        <w:spacing w:after="0" w:line="140"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32406B"/>
        </w:rPr>
        <w:t>Our stock price is likely to be volatile. Since our initial public offering in June 2018, or our IPO, the trading price of our common stock has ranged from $9.76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 shares. The market price for our common stock may be influenced by many factors, including:</w:t>
      </w:r>
    </w:p>
    <w:p>
      <w:pPr>
        <w:spacing w:after="0" w:line="63" w:lineRule="exact"/>
        <w:rPr>
          <w:sz w:val="20"/>
          <w:szCs w:val="20"/>
          <w:color w:val="auto"/>
        </w:rPr>
      </w:pPr>
    </w:p>
    <w:p>
      <w:pPr>
        <w:ind w:left="1000" w:hanging="547"/>
        <w:spacing w:after="0"/>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adverse results or delays in preclinical studies or clinical trials;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reports of adverse events in other gene therapy products or clinical studies of such products;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an inability to obtain additional funding;</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failure by us to successfully develop and commercialize our product candidates;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failure by us to maintain our existing strategic collaborations or enter into new collaborations;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changes in laws or regulations applicable to future products;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adverse regulatory decisions;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the introduction of new products, services or technologies by our competitors;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failure by us to meet or exceed financial projections we may provide to the public;</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failure by us to meet or exceed the financial projections of the investment community;</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the perception of the pharmaceutical industry by the public, legislatures, regulators and the investment community;</w:t>
      </w:r>
    </w:p>
    <w:p>
      <w:pPr>
        <w:spacing w:after="0" w:line="130" w:lineRule="exact"/>
        <w:rPr>
          <w:rFonts w:ascii="Arial" w:cs="Arial" w:eastAsia="Arial" w:hAnsi="Arial"/>
          <w:sz w:val="18"/>
          <w:szCs w:val="18"/>
          <w:color w:val="32406B"/>
        </w:rPr>
      </w:pPr>
    </w:p>
    <w:p>
      <w:pPr>
        <w:ind w:left="1000" w:right="320" w:hanging="547"/>
        <w:spacing w:after="0" w:line="277" w:lineRule="auto"/>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32406B"/>
        </w:rPr>
      </w:pPr>
    </w:p>
    <w:p>
      <w:pPr>
        <w:ind w:left="1000" w:right="240" w:hanging="547"/>
        <w:spacing w:after="0" w:line="277" w:lineRule="auto"/>
        <w:tabs>
          <w:tab w:leader="none" w:pos="10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disputes or other developments relating to proprietary rights, including patents, litigation matters and our ability to obtain patent protection for our technologies;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S-32</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additions or departures of key scientific or management personnel;</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significant lawsuits, including patent or stockholder litigation;</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changes in the market valuations of similar companies;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sales of our common stock by us or our stockholders in the future; and</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the trading volume of our common stock.</w:t>
      </w:r>
    </w:p>
    <w:p>
      <w:pPr>
        <w:spacing w:after="0" w:line="225" w:lineRule="exact"/>
        <w:rPr>
          <w:sz w:val="20"/>
          <w:szCs w:val="20"/>
          <w:color w:val="auto"/>
        </w:rPr>
      </w:pPr>
    </w:p>
    <w:p>
      <w:pPr>
        <w:jc w:val="both"/>
        <w:ind w:right="260" w:firstLine="449"/>
        <w:spacing w:after="0" w:line="286" w:lineRule="auto"/>
        <w:rPr>
          <w:sz w:val="20"/>
          <w:szCs w:val="20"/>
          <w:color w:val="auto"/>
        </w:rPr>
      </w:pPr>
      <w:r>
        <w:rPr>
          <w:rFonts w:ascii="Arial" w:cs="Arial" w:eastAsia="Arial" w:hAnsi="Arial"/>
          <w:sz w:val="17"/>
          <w:szCs w:val="17"/>
          <w:color w:val="32406B"/>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32406B"/>
        </w:rPr>
        <w:t>We could be subject to securities class action litigation.</w:t>
      </w:r>
    </w:p>
    <w:p>
      <w:pPr>
        <w:spacing w:after="0" w:line="117"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32406B"/>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32406B"/>
        </w:rPr>
        <w:t>An active trading market for our common stock may not be sustained.</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32406B"/>
        </w:rPr>
        <w:t>Although our common stock is listed on The Nasdaq Global Select Market, an active trading market for our shares may never be sustained. If an active market for our common stock is not sustained, it may be difficult for you to sell shares you purchase in this offering without depressing the market price for the shares, or at all.</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32406B"/>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8"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32406B"/>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32406B"/>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4"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b w:val="1"/>
          <w:bCs w:val="1"/>
          <w:i w:val="1"/>
          <w:iCs w:val="1"/>
          <w:color w:val="32406B"/>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32406B"/>
        </w:rPr>
        <w:t>Based on shares outstanding as of September 30, 2020, our executive officers, directors, five percent stockholders and their affiliates beneficially owned approximately 28% of our outstanding voting stock. As a result, if these stockholders were to act together, they would be able to control all matters submitted to our stockholders for approval, as well as our management and affairs.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S-33</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32406B"/>
        </w:rPr>
        <w:t>many of these stockholders purchased their shares at prices substantially below the price at which you may purchase our shares and have held their shares for a longer period, they may be more interested in selling our company to an acquirer than other investors or they may want us to pursue strategies that deviate from the interests of other stockholders.</w:t>
      </w:r>
    </w:p>
    <w:p>
      <w:pPr>
        <w:spacing w:after="0" w:line="292"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b w:val="1"/>
          <w:bCs w:val="1"/>
          <w:i w:val="1"/>
          <w:iCs w:val="1"/>
          <w:color w:val="32406B"/>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32406B"/>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100" w:lineRule="exact"/>
        <w:rPr>
          <w:sz w:val="20"/>
          <w:szCs w:val="20"/>
          <w:color w:val="auto"/>
        </w:rPr>
      </w:pPr>
    </w:p>
    <w:p>
      <w:pPr>
        <w:ind w:left="1000" w:hanging="547"/>
        <w:spacing w:after="0"/>
        <w:tabs>
          <w:tab w:leader="none" w:pos="100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not being required to comply with the auditor attestation requirements of Section 404 of the Sarbanes-Oxley Act, or Section 404;</w:t>
      </w:r>
    </w:p>
    <w:p>
      <w:pPr>
        <w:spacing w:after="0" w:line="130" w:lineRule="exact"/>
        <w:rPr>
          <w:rFonts w:ascii="Arial" w:cs="Arial" w:eastAsia="Arial" w:hAnsi="Arial"/>
          <w:sz w:val="18"/>
          <w:szCs w:val="18"/>
          <w:color w:val="32406B"/>
        </w:rPr>
      </w:pPr>
    </w:p>
    <w:p>
      <w:pPr>
        <w:ind w:left="1000" w:right="460" w:hanging="547"/>
        <w:spacing w:after="0" w:line="263" w:lineRule="auto"/>
        <w:tabs>
          <w:tab w:leader="none" w:pos="100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9" w:lineRule="exact"/>
        <w:rPr>
          <w:rFonts w:ascii="Arial" w:cs="Arial" w:eastAsia="Arial" w:hAnsi="Arial"/>
          <w:sz w:val="18"/>
          <w:szCs w:val="18"/>
          <w:color w:val="32406B"/>
        </w:rPr>
      </w:pPr>
    </w:p>
    <w:p>
      <w:pPr>
        <w:ind w:left="1000" w:right="100" w:hanging="547"/>
        <w:spacing w:after="0" w:line="342" w:lineRule="auto"/>
        <w:tabs>
          <w:tab w:leader="none" w:pos="1000" w:val="left"/>
        </w:tabs>
        <w:numPr>
          <w:ilvl w:val="0"/>
          <w:numId w:val="38"/>
        </w:numPr>
        <w:rPr>
          <w:rFonts w:ascii="Arial" w:cs="Arial" w:eastAsia="Arial" w:hAnsi="Arial"/>
          <w:sz w:val="16"/>
          <w:szCs w:val="16"/>
          <w:color w:val="32406B"/>
        </w:rPr>
      </w:pPr>
      <w:r>
        <w:rPr>
          <w:rFonts w:ascii="Arial" w:cs="Arial" w:eastAsia="Arial" w:hAnsi="Arial"/>
          <w:sz w:val="16"/>
          <w:szCs w:val="16"/>
          <w:color w:val="32406B"/>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32406B"/>
        </w:rPr>
      </w:pPr>
    </w:p>
    <w:p>
      <w:pPr>
        <w:ind w:left="1000" w:hanging="547"/>
        <w:spacing w:after="0"/>
        <w:tabs>
          <w:tab w:leader="none" w:pos="100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reduced disclosure obligations regarding executive compensation; and</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38"/>
        </w:numPr>
        <w:rPr>
          <w:rFonts w:ascii="Arial" w:cs="Arial" w:eastAsia="Arial" w:hAnsi="Arial"/>
          <w:sz w:val="17"/>
          <w:szCs w:val="17"/>
          <w:color w:val="32406B"/>
        </w:rPr>
      </w:pPr>
      <w:r>
        <w:rPr>
          <w:rFonts w:ascii="Arial" w:cs="Arial" w:eastAsia="Arial" w:hAnsi="Arial"/>
          <w:sz w:val="17"/>
          <w:szCs w:val="17"/>
          <w:color w:val="32406B"/>
        </w:rPr>
        <w:t>an exemption from the requirement to seek nonbinding advisory votes on executive compensation or golden parachute arrangements.</w:t>
      </w:r>
    </w:p>
    <w:p>
      <w:pPr>
        <w:spacing w:after="0" w:line="23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32406B"/>
        </w:rPr>
        <w:t>We may choose to take advantage of some, but not all, of the available exemptions. We have taken advantage of reduced reporting burdens.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reduced or more volatile.</w:t>
      </w:r>
    </w:p>
    <w:p>
      <w:pPr>
        <w:spacing w:after="0" w:line="171"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32406B"/>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1"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32406B"/>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S-34</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If you purchase our common stock in this offering, you will incur immediate and substantial dilution in the book value of your shares.</w:t>
      </w:r>
    </w:p>
    <w:p>
      <w:pPr>
        <w:spacing w:after="0" w:line="1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32406B"/>
        </w:rPr>
        <w:t>Investors purchasing shares of common stock in this offering will pay a price per share that substantially exceeds the as adjusted book value per share of our tangible assets after subtracting our liabilities. As a result, investors purchasing shares of common stock in this offering will incur immediate dilution of $8.29 per share, based on the public offering price of $15.00 per share, and our as adjusted net tangible book value as of September 30, 2020. Further, based on these assumptions, investors purchasing shares of common stock in this offering will contribute approximately 14.3% of the total amount invested by stockholders since our inception, but will own only approximately 12.1% of the shares of common stock outstanding. For information on how the foregoing amounts were calculated, see “Dilution.”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32406B"/>
        </w:rPr>
        <w:t>You may experience future dilution as a result of future equity offerings.</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32406B"/>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those of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32406B"/>
        </w:rPr>
        <w:t>Sales of a substantial number of shares of our common stock in the public market could cause our stock price to fall.</w:t>
      </w:r>
    </w:p>
    <w:p>
      <w:pPr>
        <w:spacing w:after="0" w:line="11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32406B"/>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In addition, the sale of substantial amounts of our common stock could adversely impact its price. As of September 30, 2020, we had outstanding 36,449,153 shares of our common stock, options to purchase 5,658,890 shares of our common stock (of which 1,754,340 were exercisable as of that date) and 1,342 shares of common stock issuable upon the vesting of restricted stock units (none of which were vested as of that date). The sale or the availability for sale of a large number of shares of our common stock in the public market could cause the price of our common stock to decline. While our directors and officers and certain stockholders affiliated with one of our directors have entered into lock-up agreements in connection with this offering, these lock-up agreements include, among other exceptions, an exception for sales or other dispositions of shares of our common stock pursuant to 10b5-1 plans in place on the date of this prospectus, and as a result, a significant number of shares of our common stock currently held by such parties could be sold in the public market during the applicable restricted period under such agreements. See “Underwriting”.</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32406B"/>
        </w:rPr>
        <w:t>We have broad discretion in the use of the net proceeds from this offering and may not use them effectively.</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32406B"/>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S-35</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32406B"/>
        </w:rPr>
        <w:t>We do not intend to pay dividends on our common stock so any returns will be limited to the value of our stock.</w:t>
      </w:r>
    </w:p>
    <w:p>
      <w:pPr>
        <w:spacing w:after="0" w:line="117"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32406B"/>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32406B"/>
        </w:rPr>
        <w:t>Changes in tax law could adversely affect our business and financial condition.</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32406B"/>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69"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b w:val="1"/>
          <w:bCs w:val="1"/>
          <w:i w:val="1"/>
          <w:iCs w:val="1"/>
          <w:color w:val="32406B"/>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32406B"/>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w:t>
      </w:r>
    </w:p>
    <w:p>
      <w:pPr>
        <w:spacing w:after="0" w:line="2" w:lineRule="exact"/>
        <w:rPr>
          <w:sz w:val="20"/>
          <w:szCs w:val="20"/>
          <w:color w:val="auto"/>
        </w:rPr>
      </w:pPr>
    </w:p>
    <w:p>
      <w:pPr>
        <w:ind w:firstLine="8"/>
        <w:spacing w:after="0" w:line="251" w:lineRule="auto"/>
        <w:tabs>
          <w:tab w:leader="none" w:pos="255"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9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32406B"/>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S-36</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32406B"/>
        </w:rPr>
        <w:t>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32406B"/>
        </w:rPr>
        <w:t>S-37</w:t>
      </w:r>
    </w:p>
    <w:p>
      <w:pPr>
        <w:sectPr>
          <w:pgSz w:w="11900" w:h="16838" w:orient="portrait"/>
          <w:cols w:equalWidth="0" w:num="1">
            <w:col w:w="11180"/>
          </w:cols>
          <w:pgMar w:left="320" w:top="459"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USE OF PROCEEDS</w:t>
      </w:r>
    </w:p>
    <w:p>
      <w:pPr>
        <w:spacing w:after="0" w:line="229"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32406B"/>
        </w:rPr>
        <w:t>We estimate that the net proceeds from this offering, after deducting underwriting discounts and commissions and estimated offering expenses payable by us, will be approximately $70.2 million, based on the public offering price of $15.00 per share. If the underwriters exercise in full their option to purchase additional shares, we estimate that our net proceeds from this offering will be approximately $80.8 million.</w:t>
      </w:r>
    </w:p>
    <w:p>
      <w:pPr>
        <w:spacing w:after="0" w:line="165"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32406B"/>
        </w:rPr>
        <w:t>The principal purpose of this offering is to obtain additional capital to support our operations. We expect to use the net proceeds of this offering, in addition to our existing cash resources, as follows:</w:t>
      </w:r>
    </w:p>
    <w:p>
      <w:pPr>
        <w:spacing w:after="0" w:line="76" w:lineRule="exact"/>
        <w:rPr>
          <w:sz w:val="20"/>
          <w:szCs w:val="20"/>
          <w:color w:val="auto"/>
        </w:rPr>
      </w:pPr>
    </w:p>
    <w:p>
      <w:pPr>
        <w:ind w:left="1000" w:hanging="547"/>
        <w:spacing w:after="0" w:line="277" w:lineRule="auto"/>
        <w:tabs>
          <w:tab w:leader="none" w:pos="100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to fund our current programs in Fabry disease, cystinosis, Gaucher disease type 1, Hunter syndrome, Pompe disease and Gaucher disease type 3;</w:t>
      </w:r>
    </w:p>
    <w:p>
      <w:pPr>
        <w:spacing w:after="0" w:line="75" w:lineRule="exact"/>
        <w:rPr>
          <w:rFonts w:ascii="Arial" w:cs="Arial" w:eastAsia="Arial" w:hAnsi="Arial"/>
          <w:sz w:val="18"/>
          <w:szCs w:val="18"/>
          <w:color w:val="32406B"/>
        </w:rPr>
      </w:pPr>
    </w:p>
    <w:p>
      <w:pPr>
        <w:ind w:left="1000" w:right="120" w:hanging="547"/>
        <w:spacing w:after="0" w:line="308" w:lineRule="auto"/>
        <w:tabs>
          <w:tab w:leader="none" w:pos="1000" w:val="left"/>
        </w:tabs>
        <w:numPr>
          <w:ilvl w:val="0"/>
          <w:numId w:val="40"/>
        </w:numPr>
        <w:rPr>
          <w:rFonts w:ascii="Arial" w:cs="Arial" w:eastAsia="Arial" w:hAnsi="Arial"/>
          <w:sz w:val="17"/>
          <w:szCs w:val="17"/>
          <w:color w:val="32406B"/>
        </w:rPr>
      </w:pPr>
      <w:r>
        <w:rPr>
          <w:rFonts w:ascii="Arial" w:cs="Arial" w:eastAsia="Arial" w:hAnsi="Arial"/>
          <w:sz w:val="17"/>
          <w:szCs w:val="17"/>
          <w:color w:val="32406B"/>
        </w:rPr>
        <w:t>to fund external and internal manufacturing and process development activities and to fund research and development activities that relate to our current and future clinical and preclinical activities, including the cost of research and development personnel; and</w:t>
      </w:r>
    </w:p>
    <w:p>
      <w:pPr>
        <w:spacing w:after="0" w:line="51" w:lineRule="exact"/>
        <w:rPr>
          <w:rFonts w:ascii="Arial" w:cs="Arial" w:eastAsia="Arial" w:hAnsi="Arial"/>
          <w:sz w:val="17"/>
          <w:szCs w:val="17"/>
          <w:color w:val="32406B"/>
        </w:rPr>
      </w:pPr>
    </w:p>
    <w:p>
      <w:pPr>
        <w:ind w:left="1000" w:hanging="547"/>
        <w:spacing w:after="0"/>
        <w:tabs>
          <w:tab w:leader="none" w:pos="100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the remainder for planned general and administrative expenses, working capital and other general corporate purposes.</w:t>
      </w:r>
    </w:p>
    <w:p>
      <w:pPr>
        <w:spacing w:after="0" w:line="22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32406B"/>
        </w:rPr>
        <w:t>Based on our current plans, we believe our existing cash and cash equivalents, together with the net proceeds from this offering, will be sufficient to fund our operations into the first quarter of 2023.</w:t>
      </w:r>
    </w:p>
    <w:p>
      <w:pPr>
        <w:spacing w:after="0" w:line="17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32406B"/>
        </w:rPr>
        <w:t>The amounts and timing of our use of the remaining net proceeds from this offering will depend on a number of factors, such as the timing and plans for initiation of our planned clinical trials, the progress of our research and development, the status of and results from non-clinical studies or clinical trials we may commence in the future, as well as any collaborations that we may enter into with third parties for our product candidates or strategic opportunities that become available to us, and any unforeseen cash needs. As of the date of this prospectus supplement, we cannot specify with certainty all of the particular uses for the net proceeds to us from this offering. Accordingly, our management will have broad discretion in the timing and application of these proceeds. Pending application of the net proceeds as described above, we intend to temporarily invest the proceeds in short-term, interest-bearing instruments.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S-38</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32406B"/>
        </w:rPr>
        <w:t>MARKET FOR COMMON STOCK</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32406B"/>
        </w:rPr>
        <w:t>Our common stock has been listed on The Nasdaq Global Select Market under the symbol “AVRO” since June 21, 2018. Prior to that time, there was no public market for our common stock.</w:t>
      </w:r>
    </w:p>
    <w:p>
      <w:pPr>
        <w:spacing w:after="0" w:line="170"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32406B"/>
        </w:rPr>
        <w:t>On November 19, 2020, the closing price of our common stock as reported on The Nasdaq Global Select Market was $16.98 per share. As of</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32406B"/>
        </w:rPr>
        <w:t>November 19, 2020, we had approximately 8 record holders of our common stock (not including beneficial owners whose shares are held in street name).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32406B"/>
        </w:rPr>
        <w:t>S-39</w:t>
      </w:r>
    </w:p>
    <w:p>
      <w:pPr>
        <w:sectPr>
          <w:pgSz w:w="11900" w:h="16838" w:orient="portrait"/>
          <w:cols w:equalWidth="0" w:num="1">
            <w:col w:w="11200"/>
          </w:cols>
          <w:pgMar w:left="32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32406B"/>
        </w:rPr>
        <w:t>DIVIDEND POLICY</w:t>
      </w:r>
    </w:p>
    <w:p>
      <w:pPr>
        <w:spacing w:after="0" w:line="22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32406B"/>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S-40</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The following table sets forth our cash, cash equivalents and capitalization as of September 30, 2020:</w:t>
      </w:r>
    </w:p>
    <w:p>
      <w:pPr>
        <w:spacing w:after="0" w:line="131" w:lineRule="exact"/>
        <w:rPr>
          <w:sz w:val="20"/>
          <w:szCs w:val="20"/>
          <w:color w:val="auto"/>
        </w:rPr>
      </w:pPr>
    </w:p>
    <w:p>
      <w:pPr>
        <w:ind w:left="1000" w:hanging="547"/>
        <w:spacing w:after="0"/>
        <w:tabs>
          <w:tab w:leader="none" w:pos="100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on an actual basis; and</w:t>
      </w:r>
    </w:p>
    <w:p>
      <w:pPr>
        <w:spacing w:after="0" w:line="130" w:lineRule="exact"/>
        <w:rPr>
          <w:rFonts w:ascii="Arial" w:cs="Arial" w:eastAsia="Arial" w:hAnsi="Arial"/>
          <w:sz w:val="18"/>
          <w:szCs w:val="18"/>
          <w:color w:val="32406B"/>
        </w:rPr>
      </w:pPr>
    </w:p>
    <w:p>
      <w:pPr>
        <w:ind w:left="1000" w:right="380" w:hanging="547"/>
        <w:spacing w:after="0" w:line="342" w:lineRule="auto"/>
        <w:tabs>
          <w:tab w:leader="none" w:pos="1000" w:val="left"/>
        </w:tabs>
        <w:numPr>
          <w:ilvl w:val="0"/>
          <w:numId w:val="41"/>
        </w:numPr>
        <w:rPr>
          <w:rFonts w:ascii="Arial" w:cs="Arial" w:eastAsia="Arial" w:hAnsi="Arial"/>
          <w:sz w:val="16"/>
          <w:szCs w:val="16"/>
          <w:color w:val="32406B"/>
        </w:rPr>
      </w:pPr>
      <w:r>
        <w:rPr>
          <w:rFonts w:ascii="Arial" w:cs="Arial" w:eastAsia="Arial" w:hAnsi="Arial"/>
          <w:sz w:val="16"/>
          <w:szCs w:val="16"/>
          <w:color w:val="32406B"/>
        </w:rPr>
        <w:t>on an as adjusted basis, giving effect to the sale of 5,000,000 shares of common stock by us in this offering at the public offering price of $15.00 per share, and after deducting the underwriting discounts and commissions and estimated offering expenses payable by us.</w:t>
      </w:r>
    </w:p>
    <w:p>
      <w:pPr>
        <w:spacing w:after="0" w:line="124"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32406B"/>
        </w:rPr>
        <w:t>You should read this table in conjunction with “Use of Proceeds” as well as our “Management’s Discussion and Analysis of Financial Condition and Results of Operations” and our consolidated financial statements, including the related notes, incorporated by reference into this prospectus supplement and the accompanying prospectus from our annual report on Form 10-K for the fiscal year ended December 31, 2019 and our subsequent quarterly reports on Form 10-Q, and incorporated by reference herein and therein.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tcPr>
          <w:p>
            <w:pPr>
              <w:spacing w:after="0"/>
              <w:rPr>
                <w:sz w:val="14"/>
                <w:szCs w:val="14"/>
                <w:color w:val="auto"/>
              </w:rPr>
            </w:pPr>
          </w:p>
        </w:tc>
        <w:tc>
          <w:tcPr>
            <w:tcW w:w="20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32406B"/>
                <w:w w:val="90"/>
              </w:rPr>
              <w:t>As of September 30, 2020</w:t>
            </w:r>
          </w:p>
        </w:tc>
        <w:tc>
          <w:tcPr>
            <w:tcW w:w="0" w:type="dxa"/>
            <w:vAlign w:val="bottom"/>
          </w:tcPr>
          <w:p>
            <w:pPr>
              <w:spacing w:after="0"/>
              <w:rPr>
                <w:sz w:val="1"/>
                <w:szCs w:val="1"/>
                <w:color w:val="auto"/>
              </w:rPr>
            </w:pPr>
          </w:p>
        </w:tc>
      </w:tr>
      <w:tr>
        <w:trPr>
          <w:trHeight w:val="119"/>
        </w:trPr>
        <w:tc>
          <w:tcPr>
            <w:tcW w:w="9220" w:type="dxa"/>
            <w:vAlign w:val="bottom"/>
          </w:tcPr>
          <w:p>
            <w:pPr>
              <w:spacing w:after="0"/>
              <w:rPr>
                <w:sz w:val="10"/>
                <w:szCs w:val="10"/>
                <w:color w:val="auto"/>
              </w:rPr>
            </w:pPr>
          </w:p>
        </w:tc>
        <w:tc>
          <w:tcPr>
            <w:tcW w:w="980" w:type="dxa"/>
            <w:vAlign w:val="bottom"/>
            <w:tcBorders>
              <w:top w:val="single" w:sz="8" w:color="auto"/>
            </w:tcBorders>
            <w:gridSpan w:val="3"/>
            <w:vMerge w:val="restart"/>
          </w:tcPr>
          <w:p>
            <w:pPr>
              <w:jc w:val="right"/>
              <w:ind w:right="400"/>
              <w:spacing w:after="0"/>
              <w:rPr>
                <w:sz w:val="20"/>
                <w:szCs w:val="20"/>
                <w:color w:val="auto"/>
              </w:rPr>
            </w:pPr>
            <w:r>
              <w:rPr>
                <w:rFonts w:ascii="Arial" w:cs="Arial" w:eastAsia="Arial" w:hAnsi="Arial"/>
                <w:sz w:val="14"/>
                <w:szCs w:val="14"/>
                <w:b w:val="1"/>
                <w:bCs w:val="1"/>
                <w:color w:val="32406B"/>
              </w:rPr>
              <w:t>Actual</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18"/>
              <w:spacing w:after="0" w:line="119" w:lineRule="exact"/>
              <w:rPr>
                <w:sz w:val="20"/>
                <w:szCs w:val="20"/>
                <w:color w:val="auto"/>
              </w:rPr>
            </w:pPr>
            <w:r>
              <w:rPr>
                <w:rFonts w:ascii="Arial" w:cs="Arial" w:eastAsia="Arial" w:hAnsi="Arial"/>
                <w:sz w:val="13"/>
                <w:szCs w:val="13"/>
                <w:b w:val="1"/>
                <w:bCs w:val="1"/>
                <w:color w:val="32406B"/>
              </w:rPr>
              <w:t>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32406B"/>
              </w:rPr>
              <w:t>Adjusted</w:t>
            </w:r>
          </w:p>
        </w:tc>
        <w:tc>
          <w:tcPr>
            <w:tcW w:w="0" w:type="dxa"/>
            <w:vAlign w:val="bottom"/>
          </w:tcPr>
          <w:p>
            <w:pPr>
              <w:spacing w:after="0"/>
              <w:rPr>
                <w:sz w:val="1"/>
                <w:szCs w:val="1"/>
                <w:color w:val="auto"/>
              </w:rPr>
            </w:pPr>
          </w:p>
        </w:tc>
      </w:tr>
      <w:tr>
        <w:trPr>
          <w:trHeight w:val="119"/>
        </w:trPr>
        <w:tc>
          <w:tcPr>
            <w:tcW w:w="9220" w:type="dxa"/>
            <w:vAlign w:val="bottom"/>
          </w:tcPr>
          <w:p>
            <w:pPr>
              <w:spacing w:after="0"/>
              <w:rPr>
                <w:sz w:val="10"/>
                <w:szCs w:val="10"/>
                <w:color w:val="auto"/>
              </w:rPr>
            </w:pPr>
          </w:p>
        </w:tc>
        <w:tc>
          <w:tcPr>
            <w:tcW w:w="192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32406B"/>
                <w:w w:val="97"/>
              </w:rPr>
              <w:t>(in thousands,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9220" w:type="dxa"/>
            <w:vAlign w:val="bottom"/>
          </w:tcPr>
          <w:p>
            <w:pPr>
              <w:spacing w:after="0"/>
              <w:rPr>
                <w:sz w:val="16"/>
                <w:szCs w:val="16"/>
                <w:color w:val="auto"/>
              </w:rPr>
            </w:pPr>
          </w:p>
        </w:tc>
        <w:tc>
          <w:tcPr>
            <w:tcW w:w="20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32406B"/>
                <w:w w:val="93"/>
              </w:rPr>
              <w:t>per share data)</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89"/>
              </w:rPr>
              <w:t>$ 219,546</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32406B"/>
              </w:rPr>
              <w:t>$ 289,746</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Arial" w:cs="Arial" w:eastAsia="Arial" w:hAnsi="Arial"/>
                <w:sz w:val="18"/>
                <w:szCs w:val="18"/>
                <w:color w:val="32406B"/>
              </w:rPr>
              <w:t>Stockholder’s equity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32406B"/>
                <w:w w:val="94"/>
              </w:rPr>
              <w:t>Preferred stock, $0.0001 par value, 10,000 shares authorized and no shares issued or outstanding, actual and as adjusted</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9220" w:type="dxa"/>
            <w:vAlign w:val="bottom"/>
          </w:tcPr>
          <w:p>
            <w:pPr>
              <w:spacing w:after="0" w:line="201" w:lineRule="exact"/>
              <w:rPr>
                <w:sz w:val="20"/>
                <w:szCs w:val="20"/>
                <w:color w:val="auto"/>
              </w:rPr>
            </w:pPr>
            <w:r>
              <w:rPr>
                <w:rFonts w:ascii="Arial" w:cs="Arial" w:eastAsia="Arial" w:hAnsi="Arial"/>
                <w:sz w:val="18"/>
                <w:szCs w:val="18"/>
                <w:color w:val="32406B"/>
                <w:w w:val="97"/>
              </w:rPr>
              <w:t>Common stock, $0.0001 par value; 150,000 shares authorized; 36,449 issued and outstanding, actual; 150,000 shares</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20" w:type="dxa"/>
            <w:vAlign w:val="bottom"/>
          </w:tcPr>
          <w:p>
            <w:pPr>
              <w:ind w:left="180"/>
              <w:spacing w:after="0"/>
              <w:rPr>
                <w:sz w:val="20"/>
                <w:szCs w:val="20"/>
                <w:color w:val="auto"/>
              </w:rPr>
            </w:pPr>
            <w:r>
              <w:rPr>
                <w:rFonts w:ascii="Arial" w:cs="Arial" w:eastAsia="Arial" w:hAnsi="Arial"/>
                <w:sz w:val="18"/>
                <w:szCs w:val="18"/>
                <w:color w:val="32406B"/>
              </w:rPr>
              <w:t>authorized; 41,449 issued and outstanding, adjusted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32406B"/>
              </w:rPr>
              <w:t>4</w:t>
            </w:r>
          </w:p>
        </w:tc>
        <w:tc>
          <w:tcPr>
            <w:tcW w:w="22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32406B"/>
              </w:rPr>
              <w:t>4</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32406B"/>
              </w:rPr>
              <w:t>Additional paid-in capital</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444,153</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32406B"/>
              </w:rPr>
              <w:t>514,353</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32406B"/>
              </w:rPr>
              <w:t>Accumulated deficit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32406B"/>
              </w:rPr>
              <w:t>(236,285)</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32406B"/>
              </w:rPr>
              <w:t>(236,285)</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32406B"/>
              </w:rPr>
              <w:t>Total stockholders’ equity</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207,872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278,072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32406B"/>
              </w:rPr>
              <w:t>Total capitalization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9"/>
              </w:rPr>
              <w:t>$ 207,872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2"/>
              </w:rPr>
              <w:t>$ 278,072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The actual and adjusted information set forth in the table above excludes the following:</w:t>
      </w:r>
    </w:p>
    <w:p>
      <w:pPr>
        <w:spacing w:after="0" w:line="131" w:lineRule="exact"/>
        <w:rPr>
          <w:sz w:val="20"/>
          <w:szCs w:val="20"/>
          <w:color w:val="auto"/>
        </w:rPr>
      </w:pPr>
    </w:p>
    <w:p>
      <w:pPr>
        <w:ind w:left="1000" w:right="20" w:hanging="547"/>
        <w:spacing w:after="0" w:line="277" w:lineRule="auto"/>
        <w:tabs>
          <w:tab w:leader="none" w:pos="100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4,088,676 shares of common stock issuable upon the exercise of stock options outstanding as of September 30, 2020 under our 2018 Plan and our 2015 Plan, at a weighted-average exercise price of $14.05 per share;</w:t>
      </w:r>
    </w:p>
    <w:p>
      <w:pPr>
        <w:spacing w:after="0" w:line="75" w:lineRule="exact"/>
        <w:rPr>
          <w:rFonts w:ascii="Arial" w:cs="Arial" w:eastAsia="Arial" w:hAnsi="Arial"/>
          <w:sz w:val="18"/>
          <w:szCs w:val="18"/>
          <w:color w:val="32406B"/>
        </w:rPr>
      </w:pPr>
    </w:p>
    <w:p>
      <w:pPr>
        <w:ind w:left="1000" w:hanging="547"/>
        <w:spacing w:after="0"/>
        <w:tabs>
          <w:tab w:leader="none" w:pos="100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1,342 shares of common stock issuable upon the vesting of restricted stock units outstanding as of September 30, 2020;</w:t>
      </w:r>
    </w:p>
    <w:p>
      <w:pPr>
        <w:spacing w:after="0" w:line="130" w:lineRule="exact"/>
        <w:rPr>
          <w:rFonts w:ascii="Arial" w:cs="Arial" w:eastAsia="Arial" w:hAnsi="Arial"/>
          <w:sz w:val="18"/>
          <w:szCs w:val="18"/>
          <w:color w:val="32406B"/>
        </w:rPr>
      </w:pPr>
    </w:p>
    <w:p>
      <w:pPr>
        <w:ind w:left="1000" w:right="80" w:hanging="547"/>
        <w:spacing w:after="0" w:line="263" w:lineRule="auto"/>
        <w:tabs>
          <w:tab w:leader="none" w:pos="100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968,450 shares of common stock issuable upon the exercise of stock options outstanding as of September 30, 2020 under our 2019 Inducement Plan, at a weighted-average exercise price of $17.56 per share, which excludes 443,250 additional stock options that were issued after September 30, 2020;</w:t>
      </w:r>
    </w:p>
    <w:p>
      <w:pPr>
        <w:spacing w:after="0" w:line="89" w:lineRule="exact"/>
        <w:rPr>
          <w:rFonts w:ascii="Arial" w:cs="Arial" w:eastAsia="Arial" w:hAnsi="Arial"/>
          <w:sz w:val="18"/>
          <w:szCs w:val="18"/>
          <w:color w:val="32406B"/>
        </w:rPr>
      </w:pPr>
    </w:p>
    <w:p>
      <w:pPr>
        <w:ind w:left="1000" w:right="680" w:hanging="547"/>
        <w:spacing w:after="0" w:line="277" w:lineRule="auto"/>
        <w:tabs>
          <w:tab w:leader="none" w:pos="100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601,764 shares of common stock issuable upon the exercise of stock options issued outside of our 2018 Plan and our 2015 Plan as of September 30, 2020, at a weighted-average exercise price of $19.70 per share;</w:t>
      </w:r>
    </w:p>
    <w:p>
      <w:pPr>
        <w:spacing w:after="0" w:line="75" w:lineRule="exact"/>
        <w:rPr>
          <w:rFonts w:ascii="Arial" w:cs="Arial" w:eastAsia="Arial" w:hAnsi="Arial"/>
          <w:sz w:val="18"/>
          <w:szCs w:val="18"/>
          <w:color w:val="32406B"/>
        </w:rPr>
      </w:pPr>
    </w:p>
    <w:p>
      <w:pPr>
        <w:ind w:left="1000" w:hanging="547"/>
        <w:spacing w:after="0"/>
        <w:tabs>
          <w:tab w:leader="none" w:pos="100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3,541,042 shares of common stock reserved for future issuance under our 2018 Plan as of September 30, 2020;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3"/>
        </w:numPr>
        <w:rPr>
          <w:rFonts w:ascii="Arial" w:cs="Arial" w:eastAsia="Arial" w:hAnsi="Arial"/>
          <w:sz w:val="16"/>
          <w:szCs w:val="16"/>
          <w:color w:val="32406B"/>
        </w:rPr>
      </w:pPr>
      <w:r>
        <w:rPr>
          <w:rFonts w:ascii="Arial" w:cs="Arial" w:eastAsia="Arial" w:hAnsi="Arial"/>
          <w:sz w:val="16"/>
          <w:szCs w:val="16"/>
          <w:color w:val="32406B"/>
        </w:rPr>
        <w:t>774,088 shares of common stock reserved for future issuance under our 2018 Employee Stock Purchase Plan as of September 30, 2020; and</w:t>
      </w:r>
    </w:p>
    <w:p>
      <w:pPr>
        <w:spacing w:after="0" w:line="153" w:lineRule="exact"/>
        <w:rPr>
          <w:rFonts w:ascii="Arial" w:cs="Arial" w:eastAsia="Arial" w:hAnsi="Arial"/>
          <w:sz w:val="16"/>
          <w:szCs w:val="16"/>
          <w:color w:val="32406B"/>
        </w:rPr>
      </w:pPr>
    </w:p>
    <w:p>
      <w:pPr>
        <w:ind w:left="1000" w:hanging="547"/>
        <w:spacing w:after="0"/>
        <w:tabs>
          <w:tab w:leader="none" w:pos="100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831,550 shares of common stock reserved for future issuance under our 2019 Inducement Plan.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S-42</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DILUTION</w:t>
      </w:r>
    </w:p>
    <w:p>
      <w:pPr>
        <w:spacing w:after="0" w:line="22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32406B"/>
        </w:rPr>
        <w:t>If you purchase shares of our common stock in this offering, your interest will be diluted to the extent of the difference between the public offering price per share of our common stock and the net tangible book value per share of our common stock after this offering. Our net tangible book value as of September 30, 2020 was approximately $207.9 million, or approximately $5.70 per share of common stock. “Net tangible book value” is total assets minus the sum of liabilities and intangible assets. “Net tangible book value per share” is net tangible book value divided by the total number of shares of common stock outstanding.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After giving effect to the sale by us of 5,000,000 shares of our common stock in this offering at the public offering price of $15.00 per share,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32406B"/>
        </w:rPr>
        <w:t>after deducting the underwriting discounts and commissions and estimated offering expenses payable by us, our net tangible book value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2406B"/>
        </w:rPr>
        <w:t>September 30, 2020 would have been approximately $278.1 million, or $6.71 per share of common stock. This amount represents an immediate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32406B"/>
        </w:rPr>
        <w:t>net tangible book value of $1.01 per share to existing stockholders and an immediate dilution of $8.29 per share to purchasers in this offering.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460"/>
              <w:spacing w:after="0"/>
              <w:rPr>
                <w:sz w:val="20"/>
                <w:szCs w:val="20"/>
                <w:color w:val="auto"/>
              </w:rPr>
            </w:pPr>
            <w:r>
              <w:rPr>
                <w:rFonts w:ascii="Arial" w:cs="Arial" w:eastAsia="Arial" w:hAnsi="Arial"/>
                <w:sz w:val="18"/>
                <w:szCs w:val="18"/>
                <w:color w:val="32406B"/>
              </w:rPr>
              <w:t>The following table illustrates the dilution:</w:t>
            </w:r>
          </w:p>
        </w:tc>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6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32406B"/>
              </w:rPr>
              <w:t>Public offering price per share of common stock</w:t>
            </w:r>
          </w:p>
        </w:tc>
        <w:tc>
          <w:tcPr>
            <w:tcW w:w="3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88"/>
              </w:rPr>
              <w:t>15.00</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32406B"/>
              </w:rPr>
              <w:t>Net tangible book value per share as of September 30, 2020</w:t>
            </w:r>
          </w:p>
        </w:tc>
        <w:tc>
          <w:tcPr>
            <w:tcW w:w="3080" w:type="dxa"/>
            <w:vAlign w:val="bottom"/>
            <w:gridSpan w:val="3"/>
          </w:tcPr>
          <w:p>
            <w:pPr>
              <w:jc w:val="right"/>
              <w:ind w:right="190"/>
              <w:spacing w:after="0"/>
              <w:rPr>
                <w:sz w:val="20"/>
                <w:szCs w:val="20"/>
                <w:color w:val="auto"/>
              </w:rPr>
            </w:pPr>
            <w:r>
              <w:rPr>
                <w:rFonts w:ascii="Arial" w:cs="Arial" w:eastAsia="Arial" w:hAnsi="Arial"/>
                <w:sz w:val="18"/>
                <w:szCs w:val="18"/>
                <w:color w:val="32406B"/>
              </w:rPr>
              <w:t>$5.70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32406B"/>
              </w:rPr>
              <w:t>Increase in net tangible book value per share attributable to this offering</w:t>
            </w:r>
          </w:p>
        </w:tc>
        <w:tc>
          <w:tcPr>
            <w:tcW w:w="30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32406B"/>
              </w:rPr>
              <w:t>$1.01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32406B"/>
              </w:rPr>
              <w:t>As adjusted net tangible book value per share after this offering</w:t>
            </w:r>
          </w:p>
        </w:tc>
        <w:tc>
          <w:tcPr>
            <w:tcW w:w="2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32406B"/>
              </w:rPr>
              <w:t>6.71</w:t>
            </w:r>
          </w:p>
        </w:tc>
      </w:tr>
      <w:tr>
        <w:trPr>
          <w:trHeight w:val="27"/>
        </w:trPr>
        <w:tc>
          <w:tcPr>
            <w:tcW w:w="7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32406B"/>
              </w:rPr>
              <w:t>Dilution per share to new investors</w:t>
            </w:r>
          </w:p>
        </w:tc>
        <w:tc>
          <w:tcPr>
            <w:tcW w:w="3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8.29</w:t>
            </w:r>
          </w:p>
        </w:tc>
      </w:tr>
      <w:tr>
        <w:trPr>
          <w:trHeight w:val="20"/>
        </w:trPr>
        <w:tc>
          <w:tcPr>
            <w:tcW w:w="7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49"/>
        <w:spacing w:after="0" w:line="311" w:lineRule="auto"/>
        <w:rPr>
          <w:sz w:val="20"/>
          <w:szCs w:val="20"/>
          <w:color w:val="auto"/>
        </w:rPr>
      </w:pPr>
      <w:r>
        <w:rPr>
          <w:rFonts w:ascii="Arial" w:cs="Arial" w:eastAsia="Arial" w:hAnsi="Arial"/>
          <w:sz w:val="16"/>
          <w:szCs w:val="16"/>
          <w:color w:val="32406B"/>
        </w:rPr>
        <w:t>If the underwriters exercise their option to purchase 750,000 additional shares, the as adjusted net tangible book value per share after this offering would be $6.84 per share, and the dilution in as adjusted net tangible book value per share to new investors purchasing common shares in this offering would be $8.16 per share, after deducting underwriting discounts and commissions and estimated offering expenses payable by us.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S-43</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32406B"/>
        </w:rPr>
        <w:t>The information above and in the foregoing table is based upon 36,449,153 shares of our common stock outstanding as of September 30, 2020. The information above and in the foregoing table excludes:</w:t>
      </w:r>
    </w:p>
    <w:p>
      <w:pPr>
        <w:spacing w:after="0" w:line="76" w:lineRule="exact"/>
        <w:rPr>
          <w:sz w:val="20"/>
          <w:szCs w:val="20"/>
          <w:color w:val="auto"/>
        </w:rPr>
      </w:pPr>
    </w:p>
    <w:p>
      <w:pPr>
        <w:ind w:left="1000" w:hanging="547"/>
        <w:spacing w:after="0" w:line="277" w:lineRule="auto"/>
        <w:tabs>
          <w:tab w:leader="none" w:pos="100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4,088,676 shares of common stock issuable upon the exercise of stock options outstanding as of September 30, 2020 under our 2018 Plan and our 2015 Plan, at a weighted-average exercise price of $14.05 per share;</w:t>
      </w:r>
    </w:p>
    <w:p>
      <w:pPr>
        <w:spacing w:after="0" w:line="75" w:lineRule="exact"/>
        <w:rPr>
          <w:rFonts w:ascii="Arial" w:cs="Arial" w:eastAsia="Arial" w:hAnsi="Arial"/>
          <w:sz w:val="18"/>
          <w:szCs w:val="18"/>
          <w:color w:val="32406B"/>
        </w:rPr>
      </w:pPr>
    </w:p>
    <w:p>
      <w:pPr>
        <w:ind w:left="1000" w:hanging="547"/>
        <w:spacing w:after="0"/>
        <w:tabs>
          <w:tab w:leader="none" w:pos="100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1,342 shares of common stock issuable upon the vesting of restricted stock units outstanding as of September 30, 2020;</w:t>
      </w:r>
    </w:p>
    <w:p>
      <w:pPr>
        <w:spacing w:after="0" w:line="130" w:lineRule="exact"/>
        <w:rPr>
          <w:rFonts w:ascii="Arial" w:cs="Arial" w:eastAsia="Arial" w:hAnsi="Arial"/>
          <w:sz w:val="18"/>
          <w:szCs w:val="18"/>
          <w:color w:val="32406B"/>
        </w:rPr>
      </w:pPr>
    </w:p>
    <w:p>
      <w:pPr>
        <w:ind w:left="1000" w:right="60" w:hanging="547"/>
        <w:spacing w:after="0" w:line="263" w:lineRule="auto"/>
        <w:tabs>
          <w:tab w:leader="none" w:pos="100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968,450 shares of common stock issuable upon the exercise of stock options outstanding as of September 30, 2020 under our 2019 Inducement Plan, at a weighted-average exercise price of $17.56 per share, which excludes 443,250 additional stock options that were issued after September 30, 2020;</w:t>
      </w:r>
    </w:p>
    <w:p>
      <w:pPr>
        <w:spacing w:after="0" w:line="89" w:lineRule="exact"/>
        <w:rPr>
          <w:rFonts w:ascii="Arial" w:cs="Arial" w:eastAsia="Arial" w:hAnsi="Arial"/>
          <w:sz w:val="18"/>
          <w:szCs w:val="18"/>
          <w:color w:val="32406B"/>
        </w:rPr>
      </w:pPr>
    </w:p>
    <w:p>
      <w:pPr>
        <w:ind w:left="1000" w:right="660" w:hanging="547"/>
        <w:spacing w:after="0" w:line="277" w:lineRule="auto"/>
        <w:tabs>
          <w:tab w:leader="none" w:pos="100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601,764 shares of common stock issuable upon the exercise of stock options issued outside of our 2018 Plan and our 2015 Plan as of September 30, 2020, at a weighted-average exercise price of $19.70 per share;</w:t>
      </w:r>
    </w:p>
    <w:p>
      <w:pPr>
        <w:spacing w:after="0" w:line="75" w:lineRule="exact"/>
        <w:rPr>
          <w:rFonts w:ascii="Arial" w:cs="Arial" w:eastAsia="Arial" w:hAnsi="Arial"/>
          <w:sz w:val="18"/>
          <w:szCs w:val="18"/>
          <w:color w:val="32406B"/>
        </w:rPr>
      </w:pPr>
    </w:p>
    <w:p>
      <w:pPr>
        <w:ind w:left="1000" w:hanging="547"/>
        <w:spacing w:after="0"/>
        <w:tabs>
          <w:tab w:leader="none" w:pos="100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3,541,042 shares of common stock reserved for future issuance under our 2018 Plan as of September 30, 2020;</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44"/>
        </w:numPr>
        <w:rPr>
          <w:rFonts w:ascii="Arial" w:cs="Arial" w:eastAsia="Arial" w:hAnsi="Arial"/>
          <w:sz w:val="16"/>
          <w:szCs w:val="16"/>
          <w:color w:val="32406B"/>
        </w:rPr>
      </w:pPr>
      <w:r>
        <w:rPr>
          <w:rFonts w:ascii="Arial" w:cs="Arial" w:eastAsia="Arial" w:hAnsi="Arial"/>
          <w:sz w:val="16"/>
          <w:szCs w:val="16"/>
          <w:color w:val="32406B"/>
        </w:rPr>
        <w:t>774,088 shares of common stock reserved for future issuance under our 2018 Employee Stock Purchase Plan as of September 30, 2020; and</w:t>
      </w:r>
    </w:p>
    <w:p>
      <w:pPr>
        <w:spacing w:after="0" w:line="153" w:lineRule="exact"/>
        <w:rPr>
          <w:rFonts w:ascii="Arial" w:cs="Arial" w:eastAsia="Arial" w:hAnsi="Arial"/>
          <w:sz w:val="16"/>
          <w:szCs w:val="16"/>
          <w:color w:val="32406B"/>
        </w:rPr>
      </w:pPr>
    </w:p>
    <w:p>
      <w:pPr>
        <w:ind w:left="1000" w:hanging="547"/>
        <w:spacing w:after="0"/>
        <w:tabs>
          <w:tab w:leader="none" w:pos="100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831,550 shares of common stock reserved for future issuance under our 2019 Inducement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2406B"/>
        </w:rPr>
        <w:t>S-44</w:t>
      </w:r>
    </w:p>
    <w:p>
      <w:pPr>
        <w:sectPr>
          <w:pgSz w:w="11900" w:h="16838" w:orient="portrait"/>
          <w:cols w:equalWidth="0" w:num="1">
            <w:col w:w="11220"/>
          </w:cols>
          <w:pgMar w:left="32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UNDERWRITING</w:t>
      </w:r>
    </w:p>
    <w:p>
      <w:pPr>
        <w:spacing w:after="0" w:line="229"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32406B"/>
        </w:rPr>
        <w:t>Under the terms and subject to the conditions in an underwriting agreement dated the date of this prospectus supplement, the underwriters named below, for whom Morgan Stanley &amp; Co. LLC and Cowen and Company, LLC are acting as representatives, have severally agreed to purchase, and we have agreed to sell to them, severally, the number of shares indicated below:</w:t>
      </w:r>
    </w:p>
    <w:p>
      <w:pPr>
        <w:spacing w:after="0" w:line="190"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840" w:type="dxa"/>
            <w:vAlign w:val="bottom"/>
            <w:gridSpan w:val="2"/>
            <w:vMerge w:val="restart"/>
          </w:tcPr>
          <w:p>
            <w:pPr>
              <w:ind w:left="3480"/>
              <w:spacing w:after="0"/>
              <w:rPr>
                <w:sz w:val="20"/>
                <w:szCs w:val="20"/>
                <w:color w:val="auto"/>
              </w:rPr>
            </w:pPr>
            <w:r>
              <w:rPr>
                <w:rFonts w:ascii="Arial" w:cs="Arial" w:eastAsia="Arial" w:hAnsi="Arial"/>
                <w:sz w:val="14"/>
                <w:szCs w:val="14"/>
                <w:b w:val="1"/>
                <w:bCs w:val="1"/>
                <w:color w:val="32406B"/>
                <w:w w:val="89"/>
              </w:rPr>
              <w:t>Name</w:t>
            </w:r>
          </w:p>
        </w:tc>
        <w:tc>
          <w:tcPr>
            <w:tcW w:w="3640" w:type="dxa"/>
            <w:vAlign w:val="bottom"/>
          </w:tcPr>
          <w:p>
            <w:pPr>
              <w:spacing w:after="0"/>
              <w:rPr>
                <w:sz w:val="14"/>
                <w:szCs w:val="14"/>
                <w:color w:val="auto"/>
              </w:rPr>
            </w:pPr>
          </w:p>
        </w:tc>
        <w:tc>
          <w:tcPr>
            <w:tcW w:w="9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32406B"/>
                <w:w w:val="94"/>
              </w:rPr>
              <w:t>Number of</w:t>
            </w: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32406B"/>
                <w:w w:val="89"/>
              </w:rPr>
              <w:t>Shares</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32406B"/>
              </w:rPr>
              <w:t>Morgan Stanley &amp; Co. LLC</w:t>
            </w:r>
          </w:p>
        </w:tc>
        <w:tc>
          <w:tcPr>
            <w:tcW w:w="36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w w:val="92"/>
              </w:rPr>
              <w:t>2,050,000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32406B"/>
              </w:rPr>
              <w:t>Cowen and Company, LLC</w:t>
            </w:r>
          </w:p>
        </w:tc>
        <w:tc>
          <w:tcPr>
            <w:tcW w:w="4520" w:type="dxa"/>
            <w:vAlign w:val="bottom"/>
            <w:gridSpan w:val="5"/>
          </w:tcPr>
          <w:p>
            <w:pPr>
              <w:jc w:val="right"/>
              <w:ind w:right="20"/>
              <w:spacing w:after="0"/>
              <w:rPr>
                <w:sz w:val="20"/>
                <w:szCs w:val="20"/>
                <w:color w:val="auto"/>
              </w:rPr>
            </w:pPr>
            <w:r>
              <w:rPr>
                <w:rFonts w:ascii="Arial" w:cs="Arial" w:eastAsia="Arial" w:hAnsi="Arial"/>
                <w:sz w:val="18"/>
                <w:szCs w:val="18"/>
                <w:color w:val="32406B"/>
              </w:rPr>
              <w:t>1,350,000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Wells Fargo Securities, LLC</w:t>
            </w:r>
          </w:p>
        </w:tc>
        <w:tc>
          <w:tcPr>
            <w:tcW w:w="45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32406B"/>
              </w:rPr>
              <w:t>650,000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32406B"/>
              </w:rPr>
              <w:t>Barclays Capital Inc.</w:t>
            </w:r>
          </w:p>
        </w:tc>
        <w:tc>
          <w:tcPr>
            <w:tcW w:w="4520" w:type="dxa"/>
            <w:vAlign w:val="bottom"/>
            <w:gridSpan w:val="5"/>
          </w:tcPr>
          <w:p>
            <w:pPr>
              <w:jc w:val="right"/>
              <w:ind w:right="20"/>
              <w:spacing w:after="0"/>
              <w:rPr>
                <w:sz w:val="20"/>
                <w:szCs w:val="20"/>
                <w:color w:val="auto"/>
              </w:rPr>
            </w:pPr>
            <w:r>
              <w:rPr>
                <w:rFonts w:ascii="Arial" w:cs="Arial" w:eastAsia="Arial" w:hAnsi="Arial"/>
                <w:sz w:val="18"/>
                <w:szCs w:val="18"/>
                <w:color w:val="32406B"/>
              </w:rPr>
              <w:t>637,500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Wedbush Securities Inc.</w:t>
            </w:r>
          </w:p>
        </w:tc>
        <w:tc>
          <w:tcPr>
            <w:tcW w:w="45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32406B"/>
              </w:rPr>
              <w:t>312,500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ind w:left="720"/>
              <w:spacing w:after="0"/>
              <w:rPr>
                <w:sz w:val="20"/>
                <w:szCs w:val="20"/>
                <w:color w:val="auto"/>
              </w:rPr>
            </w:pPr>
            <w:r>
              <w:rPr>
                <w:rFonts w:ascii="Arial" w:cs="Arial" w:eastAsia="Arial" w:hAnsi="Arial"/>
                <w:sz w:val="18"/>
                <w:szCs w:val="18"/>
                <w:color w:val="32406B"/>
              </w:rPr>
              <w:t>Total:</w:t>
            </w:r>
          </w:p>
        </w:tc>
        <w:tc>
          <w:tcPr>
            <w:tcW w:w="364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rPr>
              <w:t>5,000,000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32406B"/>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78" w:lineRule="exact"/>
        <w:rPr>
          <w:sz w:val="20"/>
          <w:szCs w:val="20"/>
          <w:color w:val="auto"/>
        </w:rPr>
      </w:pPr>
    </w:p>
    <w:p>
      <w:pPr>
        <w:ind w:right="920" w:firstLine="449"/>
        <w:spacing w:after="0" w:line="277" w:lineRule="auto"/>
        <w:rPr>
          <w:sz w:val="20"/>
          <w:szCs w:val="20"/>
          <w:color w:val="auto"/>
        </w:rPr>
      </w:pPr>
      <w:r>
        <w:rPr>
          <w:rFonts w:ascii="Arial" w:cs="Arial" w:eastAsia="Arial" w:hAnsi="Arial"/>
          <w:sz w:val="18"/>
          <w:szCs w:val="18"/>
          <w:color w:val="32406B"/>
        </w:rPr>
        <w:t>After the initial offering of the shares of common stock, the offering price and other selling terms may from time to time be varied by the representatives.</w:t>
      </w:r>
    </w:p>
    <w:p>
      <w:pPr>
        <w:spacing w:after="0" w:line="170"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32406B"/>
        </w:rPr>
        <w:t>We have granted to the underwriters an option, exercisable for 30 days from the date of this prospectus supplement, to purchase up to 750,000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6"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32406B"/>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750,000 shares of common stock.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32406B"/>
              </w:rPr>
              <w:t>Per</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32406B"/>
              </w:rPr>
              <w:t>Total</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32406B"/>
                <w:w w:val="87"/>
              </w:rPr>
              <w:t>Share</w:t>
            </w:r>
          </w:p>
        </w:tc>
        <w:tc>
          <w:tcPr>
            <w:tcW w:w="140" w:type="dxa"/>
            <w:vAlign w:val="bottom"/>
          </w:tcPr>
          <w:p>
            <w:pPr>
              <w:spacing w:after="0"/>
              <w:rPr>
                <w:sz w:val="12"/>
                <w:szCs w:val="12"/>
                <w:color w:val="auto"/>
              </w:rPr>
            </w:pPr>
          </w:p>
        </w:tc>
        <w:tc>
          <w:tcPr>
            <w:tcW w:w="10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32406B"/>
                <w:w w:val="92"/>
              </w:rPr>
              <w:t>No Exercise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32406B"/>
                <w:w w:val="92"/>
              </w:rPr>
              <w:t>Full Exercise</w:t>
            </w:r>
          </w:p>
        </w:tc>
        <w:tc>
          <w:tcPr>
            <w:tcW w:w="60" w:type="dxa"/>
            <w:vAlign w:val="bottom"/>
          </w:tcPr>
          <w:p>
            <w:pPr>
              <w:spacing w:after="0"/>
              <w:rPr>
                <w:sz w:val="12"/>
                <w:szCs w:val="12"/>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7"/>
              </w:rPr>
              <w:t>15.00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7"/>
              </w:rPr>
              <w:t>75,000,000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86,250,000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32406B"/>
              </w:rPr>
              <w:t>Underwriting discounts and commissions to be paid by us:</w:t>
            </w: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32406B"/>
              </w:rPr>
              <w:t>0.90</w:t>
            </w:r>
          </w:p>
        </w:tc>
        <w:tc>
          <w:tcPr>
            <w:tcW w:w="14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32406B"/>
              </w:rPr>
              <w:t>4,500,000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32406B"/>
              </w:rPr>
              <w:t>5,175,000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32406B"/>
              </w:rPr>
              <w:t>Proceeds, before expenses, to 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w w:val="97"/>
              </w:rPr>
              <w:t>14.10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7"/>
              </w:rPr>
              <w:t>70,500,000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81,075,000</w:t>
            </w:r>
          </w:p>
        </w:tc>
      </w:tr>
    </w:tbl>
    <w:p>
      <w:pPr>
        <w:spacing w:after="0" w:line="202"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32406B"/>
        </w:rPr>
        <w:t>The estimated offering expenses payable by us, exclusive of the underwriting discounts and commissions, are approximately $0.3 million. We have agreed to reimburse the underwriters for expenses relating to clearance of this offering with the Financial Industry Regulatory Authority up to $30,000.</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Our common stock is listed on The Nasdaq Global Select Market under the symbol “AVRO.”</w:t>
      </w:r>
    </w:p>
    <w:p>
      <w:pPr>
        <w:spacing w:after="0" w:line="22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32406B"/>
        </w:rPr>
        <w:t>We and all of our directors and officers and certain holders of our outstanding stock affiliated with one of our directors have agreed that, without the prior written consent of Morgan Stanley &amp; Co. LLC and Cowen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S-45</w:t>
      </w:r>
    </w:p>
    <w:p>
      <w:pPr>
        <w:sectPr>
          <w:pgSz w:w="11900" w:h="16838" w:orient="portrait"/>
          <w:cols w:equalWidth="0" w:num="1">
            <w:col w:w="11240"/>
          </w:cols>
          <w:pgMar w:left="32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32406B"/>
        </w:rPr>
        <w:t>Company, LLC, on behalf of the underwriters, we and they will not, during the period ending 90 days (with respect to us and our officers and directors) or 45 days (with respect to holders of our outstanding stock affiliated with one of our directors) after the date of this prospectus supplement (the “restricted period”):</w:t>
      </w:r>
    </w:p>
    <w:p>
      <w:pPr>
        <w:spacing w:after="0" w:line="89" w:lineRule="exact"/>
        <w:rPr>
          <w:sz w:val="20"/>
          <w:szCs w:val="20"/>
          <w:color w:val="auto"/>
        </w:rPr>
      </w:pPr>
    </w:p>
    <w:p>
      <w:pPr>
        <w:ind w:left="1000" w:right="140" w:hanging="547"/>
        <w:spacing w:after="0" w:line="263" w:lineRule="auto"/>
        <w:tabs>
          <w:tab w:leader="none" w:pos="1000" w:val="left"/>
        </w:tabs>
        <w:numPr>
          <w:ilvl w:val="0"/>
          <w:numId w:val="45"/>
        </w:numPr>
        <w:rPr>
          <w:rFonts w:ascii="Arial" w:cs="Arial" w:eastAsia="Arial" w:hAnsi="Arial"/>
          <w:sz w:val="18"/>
          <w:szCs w:val="18"/>
          <w:color w:val="32406B"/>
        </w:rPr>
      </w:pPr>
      <w:r>
        <w:rPr>
          <w:rFonts w:ascii="Arial" w:cs="Arial" w:eastAsia="Arial" w:hAnsi="Arial"/>
          <w:sz w:val="18"/>
          <w:szCs w:val="18"/>
          <w:color w:val="32406B"/>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32406B"/>
        </w:rPr>
      </w:pPr>
    </w:p>
    <w:p>
      <w:pPr>
        <w:ind w:left="1000" w:right="200" w:hanging="547"/>
        <w:spacing w:after="0" w:line="263" w:lineRule="auto"/>
        <w:tabs>
          <w:tab w:leader="none" w:pos="1000" w:val="left"/>
        </w:tabs>
        <w:numPr>
          <w:ilvl w:val="0"/>
          <w:numId w:val="45"/>
        </w:numPr>
        <w:rPr>
          <w:rFonts w:ascii="Arial" w:cs="Arial" w:eastAsia="Arial" w:hAnsi="Arial"/>
          <w:sz w:val="18"/>
          <w:szCs w:val="18"/>
          <w:color w:val="32406B"/>
        </w:rPr>
      </w:pPr>
      <w:r>
        <w:rPr>
          <w:rFonts w:ascii="Arial" w:cs="Arial" w:eastAsia="Arial" w:hAnsi="Arial"/>
          <w:sz w:val="18"/>
          <w:szCs w:val="18"/>
          <w:color w:val="32406B"/>
        </w:rPr>
        <w:t>with respect to us, file any registration statement with the SEC relating to the offering of any shares of common stock or any securities convertible into or exercisable or exchangeable for common stock, other than a registration statement relating to securities under our equity incentive plans; or</w:t>
      </w:r>
    </w:p>
    <w:p>
      <w:pPr>
        <w:spacing w:after="0" w:line="89" w:lineRule="exact"/>
        <w:rPr>
          <w:rFonts w:ascii="Arial" w:cs="Arial" w:eastAsia="Arial" w:hAnsi="Arial"/>
          <w:sz w:val="18"/>
          <w:szCs w:val="18"/>
          <w:color w:val="32406B"/>
        </w:rPr>
      </w:pPr>
    </w:p>
    <w:p>
      <w:pPr>
        <w:ind w:left="1000" w:right="80" w:hanging="547"/>
        <w:spacing w:after="0" w:line="277" w:lineRule="auto"/>
        <w:tabs>
          <w:tab w:leader="none" w:pos="1000" w:val="left"/>
        </w:tabs>
        <w:numPr>
          <w:ilvl w:val="0"/>
          <w:numId w:val="45"/>
        </w:numPr>
        <w:rPr>
          <w:rFonts w:ascii="Arial" w:cs="Arial" w:eastAsia="Arial" w:hAnsi="Arial"/>
          <w:sz w:val="18"/>
          <w:szCs w:val="18"/>
          <w:color w:val="32406B"/>
        </w:rPr>
      </w:pPr>
      <w:r>
        <w:rPr>
          <w:rFonts w:ascii="Arial" w:cs="Arial" w:eastAsia="Arial" w:hAnsi="Arial"/>
          <w:sz w:val="18"/>
          <w:szCs w:val="18"/>
          <w:color w:val="32406B"/>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32406B"/>
        </w:rPr>
        <w:t>whether any such transaction described above is to be settled by delivery of common stock or such other securities, in cash or otherwise. In addition, we and each such person agrees that, without the prior written consent of Morgan Stanley &amp; Co. LLC and Cowen and Company, LLC, on behalf of the underwriters, we or such other person will not, during the applicable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32406B"/>
        </w:rPr>
        <w:t>The restrictions described in the immediately preceding paragraph do not apply to our directors and officers and holders of our outstanding stock affiliated with one of our directors with respect to the following:</w:t>
      </w:r>
    </w:p>
    <w:p>
      <w:pPr>
        <w:spacing w:after="0" w:line="76" w:lineRule="exact"/>
        <w:rPr>
          <w:sz w:val="20"/>
          <w:szCs w:val="20"/>
          <w:color w:val="auto"/>
        </w:rPr>
      </w:pPr>
    </w:p>
    <w:p>
      <w:pPr>
        <w:ind w:left="1000" w:right="120" w:hanging="547"/>
        <w:spacing w:after="0" w:line="277" w:lineRule="auto"/>
        <w:tabs>
          <w:tab w:leader="none" w:pos="100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transactions relating to shares of common stock or other securities acquired in this offering or acquired in open market transactions after this offering</w:t>
      </w:r>
    </w:p>
    <w:p>
      <w:pPr>
        <w:spacing w:after="0" w:line="75" w:lineRule="exact"/>
        <w:rPr>
          <w:rFonts w:ascii="Arial" w:cs="Arial" w:eastAsia="Arial" w:hAnsi="Arial"/>
          <w:sz w:val="18"/>
          <w:szCs w:val="18"/>
          <w:color w:val="32406B"/>
        </w:rPr>
      </w:pPr>
    </w:p>
    <w:p>
      <w:pPr>
        <w:ind w:left="1000" w:hanging="547"/>
        <w:spacing w:after="0"/>
        <w:tabs>
          <w:tab w:leader="none" w:pos="1000" w:val="left"/>
        </w:tabs>
        <w:numPr>
          <w:ilvl w:val="0"/>
          <w:numId w:val="46"/>
        </w:numPr>
        <w:rPr>
          <w:rFonts w:ascii="Arial" w:cs="Arial" w:eastAsia="Arial" w:hAnsi="Arial"/>
          <w:sz w:val="17"/>
          <w:szCs w:val="17"/>
          <w:color w:val="32406B"/>
        </w:rPr>
      </w:pPr>
      <w:r>
        <w:rPr>
          <w:rFonts w:ascii="Arial" w:cs="Arial" w:eastAsia="Arial" w:hAnsi="Arial"/>
          <w:sz w:val="17"/>
          <w:szCs w:val="17"/>
          <w:color w:val="32406B"/>
        </w:rPr>
        <w:t>transfers of shares of common stock or any security convertible or exercisable or exchangeable into common stock as a bona fide gift;</w:t>
      </w:r>
    </w:p>
    <w:p>
      <w:pPr>
        <w:spacing w:after="0" w:line="142" w:lineRule="exact"/>
        <w:rPr>
          <w:rFonts w:ascii="Arial" w:cs="Arial" w:eastAsia="Arial" w:hAnsi="Arial"/>
          <w:sz w:val="17"/>
          <w:szCs w:val="17"/>
          <w:color w:val="32406B"/>
        </w:rPr>
      </w:pPr>
    </w:p>
    <w:p>
      <w:pPr>
        <w:ind w:left="1000" w:right="80" w:hanging="547"/>
        <w:spacing w:after="0" w:line="279" w:lineRule="auto"/>
        <w:tabs>
          <w:tab w:leader="none" w:pos="1000" w:val="left"/>
        </w:tabs>
        <w:numPr>
          <w:ilvl w:val="0"/>
          <w:numId w:val="46"/>
        </w:numPr>
        <w:rPr>
          <w:rFonts w:ascii="Arial" w:cs="Arial" w:eastAsia="Arial" w:hAnsi="Arial"/>
          <w:sz w:val="17"/>
          <w:szCs w:val="17"/>
          <w:color w:val="32406B"/>
        </w:rPr>
      </w:pPr>
      <w:r>
        <w:rPr>
          <w:rFonts w:ascii="Arial" w:cs="Arial" w:eastAsia="Arial" w:hAnsi="Arial"/>
          <w:sz w:val="17"/>
          <w:szCs w:val="17"/>
          <w:color w:val="32406B"/>
        </w:rPr>
        <w:t>distributions of shares of common stock or any security convertible into common stock to limited partners or stockholders, members, general partners, managers, directors, officers or employees or trust beneficiaries of the signatory or of the signatory’s affiliates (as defined in Rule 405 promulgated under the Securities Act) or to any investment fund or other entity that is directly or indirectly controlling, controlled by, managing or managed by or under common control with the signatory or the signatory’s affiliates;</w:t>
      </w:r>
    </w:p>
    <w:p>
      <w:pPr>
        <w:spacing w:after="0" w:line="76" w:lineRule="exact"/>
        <w:rPr>
          <w:rFonts w:ascii="Arial" w:cs="Arial" w:eastAsia="Arial" w:hAnsi="Arial"/>
          <w:sz w:val="17"/>
          <w:szCs w:val="17"/>
          <w:color w:val="32406B"/>
        </w:rPr>
      </w:pPr>
    </w:p>
    <w:p>
      <w:pPr>
        <w:ind w:left="1000" w:right="40" w:hanging="547"/>
        <w:spacing w:after="0" w:line="277" w:lineRule="auto"/>
        <w:tabs>
          <w:tab w:leader="none" w:pos="100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the establishment of a trading plan pursuant to Rule 10b5-1 under the Exchange Act for the transfer of shares of common stock, provided that such plan does not provide for the transfer of shares of common stock during the applicable restricted period;</w:t>
      </w:r>
    </w:p>
    <w:p>
      <w:pPr>
        <w:spacing w:after="0" w:line="75" w:lineRule="exact"/>
        <w:rPr>
          <w:rFonts w:ascii="Arial" w:cs="Arial" w:eastAsia="Arial" w:hAnsi="Arial"/>
          <w:sz w:val="18"/>
          <w:szCs w:val="18"/>
          <w:color w:val="32406B"/>
        </w:rPr>
      </w:pPr>
    </w:p>
    <w:p>
      <w:pPr>
        <w:ind w:left="1000" w:right="260" w:hanging="547"/>
        <w:spacing w:after="0" w:line="263" w:lineRule="auto"/>
        <w:tabs>
          <w:tab w:leader="none" w:pos="100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transfers or dispositions of shares of common stock or other securities to any member of the immediate family of the signatory or any trust for the direct or indirect benefit of the signatory or the immediate family of the signatory in a transaction not involving a disposition for value;</w:t>
      </w:r>
    </w:p>
    <w:p>
      <w:pPr>
        <w:spacing w:after="0" w:line="89" w:lineRule="exact"/>
        <w:rPr>
          <w:rFonts w:ascii="Arial" w:cs="Arial" w:eastAsia="Arial" w:hAnsi="Arial"/>
          <w:sz w:val="18"/>
          <w:szCs w:val="18"/>
          <w:color w:val="32406B"/>
        </w:rPr>
      </w:pPr>
    </w:p>
    <w:p>
      <w:pPr>
        <w:ind w:left="1000" w:hanging="547"/>
        <w:spacing w:after="0" w:line="291" w:lineRule="auto"/>
        <w:tabs>
          <w:tab w:leader="none" w:pos="1000" w:val="left"/>
        </w:tabs>
        <w:numPr>
          <w:ilvl w:val="0"/>
          <w:numId w:val="46"/>
        </w:numPr>
        <w:rPr>
          <w:rFonts w:ascii="Arial" w:cs="Arial" w:eastAsia="Arial" w:hAnsi="Arial"/>
          <w:sz w:val="16"/>
          <w:szCs w:val="16"/>
          <w:color w:val="32406B"/>
        </w:rPr>
      </w:pPr>
      <w:r>
        <w:rPr>
          <w:rFonts w:ascii="Arial" w:cs="Arial" w:eastAsia="Arial" w:hAnsi="Arial"/>
          <w:sz w:val="16"/>
          <w:szCs w:val="16"/>
          <w:color w:val="32406B"/>
        </w:rPr>
        <w:t>transfers or dispositions of shares of common stock or any security convertible into or exercisable or exchangeable for common stock or other securities to any corporation, partnership, limited liability company or other entity that is directly or indirectly controlling, controlled by, managing or managed by or under common control with the signatory, or the signatory’s affiliates; including, for the avoidance of doubt, transfers or distributions of shares of common stock or any securities convertible into or exercisable or exchangeable for common stock to a fund managed by the same manager or managing member or general partner or management company or by an entity controlling, controlled by, or under common control with such manager or managing member or general partner or management company as the signatory or who shares a common investment advisor with the signatory in a transaction not involving a disposition for value;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S-46</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hanging="547"/>
        <w:spacing w:after="0" w:line="263" w:lineRule="auto"/>
        <w:tabs>
          <w:tab w:leader="none" w:pos="100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transfers or dispositions of shares for common stock or other securities (i) by will, other testamentary document or intestate succession to the legal representative, heir, beneficiary or a member of the immediate family of the signatory upon the death of the signatory, or (ii) by operation of law pursuant to a domestic order or negotiated divorce settlement;</w:t>
      </w:r>
    </w:p>
    <w:p>
      <w:pPr>
        <w:spacing w:after="0" w:line="89" w:lineRule="exact"/>
        <w:rPr>
          <w:rFonts w:ascii="Arial" w:cs="Arial" w:eastAsia="Arial" w:hAnsi="Arial"/>
          <w:sz w:val="18"/>
          <w:szCs w:val="18"/>
          <w:color w:val="32406B"/>
        </w:rPr>
      </w:pPr>
    </w:p>
    <w:p>
      <w:pPr>
        <w:ind w:left="1000" w:right="20" w:hanging="547"/>
        <w:spacing w:after="0" w:line="270" w:lineRule="auto"/>
        <w:tabs>
          <w:tab w:leader="none" w:pos="1000" w:val="left"/>
        </w:tabs>
        <w:numPr>
          <w:ilvl w:val="0"/>
          <w:numId w:val="47"/>
        </w:numPr>
        <w:rPr>
          <w:rFonts w:ascii="Arial" w:cs="Arial" w:eastAsia="Arial" w:hAnsi="Arial"/>
          <w:sz w:val="17"/>
          <w:szCs w:val="17"/>
          <w:color w:val="32406B"/>
        </w:rPr>
      </w:pPr>
      <w:r>
        <w:rPr>
          <w:rFonts w:ascii="Arial" w:cs="Arial" w:eastAsia="Arial" w:hAnsi="Arial"/>
          <w:sz w:val="17"/>
          <w:szCs w:val="17"/>
          <w:color w:val="32406B"/>
        </w:rPr>
        <w:t>transfers or dispositions of common stock or any security convertible into or exercisable or exchangeable for common stock to us pursuant to any contractual arrangement in effect prior to the date of this prospectus supplement and disclosed to Morgan Stanley &amp; Co. LLC and Cowen and Company, LLC, that provides for the repurchase of the signatory’s common stock or other securities by us or in connection with the termination of the signatory’s employment with or service to us, provided that the repurchase price for any such shares of common stock or other securities shall not exceed the original purchase price (subject to appropriate adjustment in the event of any stock dividend, stock split, combination or other similar recapitalization) paid by the signatory to us for such shares or securities, and, provided further that any public announcement or public filing under Section 16(a) of the Exchange Act required to be made during the applicable restricted period in connection with such transfer or disposition shall clearly indicate in the footnotes thereto or comments section thereof that such transfer or disposition was made solely to us pursuant to the circumstances described above;</w:t>
      </w:r>
    </w:p>
    <w:p>
      <w:pPr>
        <w:spacing w:after="0" w:line="86" w:lineRule="exact"/>
        <w:rPr>
          <w:rFonts w:ascii="Arial" w:cs="Arial" w:eastAsia="Arial" w:hAnsi="Arial"/>
          <w:sz w:val="17"/>
          <w:szCs w:val="17"/>
          <w:color w:val="32406B"/>
        </w:rPr>
      </w:pPr>
    </w:p>
    <w:p>
      <w:pPr>
        <w:ind w:left="1000" w:right="240" w:hanging="547"/>
        <w:spacing w:after="0" w:line="272" w:lineRule="auto"/>
        <w:tabs>
          <w:tab w:leader="none" w:pos="1000" w:val="left"/>
        </w:tabs>
        <w:numPr>
          <w:ilvl w:val="0"/>
          <w:numId w:val="47"/>
        </w:numPr>
        <w:rPr>
          <w:rFonts w:ascii="Arial" w:cs="Arial" w:eastAsia="Arial" w:hAnsi="Arial"/>
          <w:sz w:val="17"/>
          <w:szCs w:val="17"/>
          <w:color w:val="32406B"/>
        </w:rPr>
      </w:pPr>
      <w:r>
        <w:rPr>
          <w:rFonts w:ascii="Arial" w:cs="Arial" w:eastAsia="Arial" w:hAnsi="Arial"/>
          <w:sz w:val="17"/>
          <w:szCs w:val="17"/>
          <w:color w:val="32406B"/>
        </w:rPr>
        <w:t>the exercise of any option or warrant described in the prospectus supplement and outstanding as of the date hereof for shares of common stock, provided that any such shares of common stock received by the signatory shall be subject to the terms of the lock-up agreement; provided, further, that any public filing or public announcement under Section 16(a) of the Exchange Act required during the applicable restricted period in connection with the exercise of such stock option or warrant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this offering;</w:t>
      </w:r>
    </w:p>
    <w:p>
      <w:pPr>
        <w:spacing w:after="0" w:line="82" w:lineRule="exact"/>
        <w:rPr>
          <w:rFonts w:ascii="Arial" w:cs="Arial" w:eastAsia="Arial" w:hAnsi="Arial"/>
          <w:sz w:val="17"/>
          <w:szCs w:val="17"/>
          <w:color w:val="32406B"/>
        </w:rPr>
      </w:pPr>
    </w:p>
    <w:p>
      <w:pPr>
        <w:ind w:left="1000" w:right="20" w:hanging="547"/>
        <w:spacing w:after="0" w:line="263" w:lineRule="auto"/>
        <w:tabs>
          <w:tab w:leader="none" w:pos="100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transfers or dispositions of title to (but not beneficial ownership of) shares of common stock or other securities to a nominee or custodian of a person or entity to whom a disposition or transfer would be permissible under any of the foregoing clauses; provided that any such shares of common stock or other securities shall remain subject to the terms of the lock-up agreement;</w:t>
      </w:r>
    </w:p>
    <w:p>
      <w:pPr>
        <w:spacing w:after="0" w:line="89" w:lineRule="exact"/>
        <w:rPr>
          <w:rFonts w:ascii="Arial" w:cs="Arial" w:eastAsia="Arial" w:hAnsi="Arial"/>
          <w:sz w:val="18"/>
          <w:szCs w:val="18"/>
          <w:color w:val="32406B"/>
        </w:rPr>
      </w:pPr>
    </w:p>
    <w:p>
      <w:pPr>
        <w:ind w:left="1000" w:hanging="547"/>
        <w:spacing w:after="0" w:line="293" w:lineRule="auto"/>
        <w:tabs>
          <w:tab w:leader="none" w:pos="1000" w:val="left"/>
        </w:tabs>
        <w:numPr>
          <w:ilvl w:val="0"/>
          <w:numId w:val="47"/>
        </w:numPr>
        <w:rPr>
          <w:rFonts w:ascii="Arial" w:cs="Arial" w:eastAsia="Arial" w:hAnsi="Arial"/>
          <w:sz w:val="16"/>
          <w:szCs w:val="16"/>
          <w:color w:val="32406B"/>
        </w:rPr>
      </w:pPr>
      <w:r>
        <w:rPr>
          <w:rFonts w:ascii="Arial" w:cs="Arial" w:eastAsia="Arial" w:hAnsi="Arial"/>
          <w:sz w:val="16"/>
          <w:szCs w:val="16"/>
          <w:color w:val="32406B"/>
        </w:rPr>
        <w:t>transfers or dispositions of shares of common stock or such other securities pursuant to a bona fide tender offer for shares of our capital stock, merger, consolidation or other similar transaction made to all holders of our securities involving a change of control of us (including without limitation, the entering into of any lock-up, voting or similar agreement pursuant to which the undersigned may agree to transfer, sell, tender or otherwise dispose of shares of common stock or other securities in connection with such transaction) that has been approved by our board of directors, provided that, in the event that the change of control transaction is not consummated, this clause shall not be applicable to the lock-up signatory’s shares and other securities shall remain subject to the restrictions contained in the lock-up agreement; or</w:t>
      </w:r>
    </w:p>
    <w:p>
      <w:pPr>
        <w:spacing w:after="0" w:line="69" w:lineRule="exact"/>
        <w:rPr>
          <w:rFonts w:ascii="Arial" w:cs="Arial" w:eastAsia="Arial" w:hAnsi="Arial"/>
          <w:sz w:val="16"/>
          <w:szCs w:val="16"/>
          <w:color w:val="32406B"/>
        </w:rPr>
      </w:pPr>
    </w:p>
    <w:p>
      <w:pPr>
        <w:ind w:left="1000" w:hanging="547"/>
        <w:spacing w:after="0"/>
        <w:tabs>
          <w:tab w:leader="none" w:pos="100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for holders that have 10b5-1 plans in place on the date of this prospectus, sales or other dispositions under such plans;</w:t>
      </w:r>
    </w:p>
    <w:p>
      <w:pPr>
        <w:spacing w:after="0" w:line="225" w:lineRule="exact"/>
        <w:rPr>
          <w:sz w:val="20"/>
          <w:szCs w:val="20"/>
          <w:color w:val="auto"/>
        </w:rPr>
      </w:pPr>
    </w:p>
    <w:p>
      <w:pPr>
        <w:jc w:val="both"/>
        <w:ind w:right="120" w:firstLine="449"/>
        <w:spacing w:after="0" w:line="301" w:lineRule="auto"/>
        <w:rPr>
          <w:sz w:val="20"/>
          <w:szCs w:val="20"/>
          <w:color w:val="auto"/>
        </w:rPr>
      </w:pPr>
      <w:r>
        <w:rPr>
          <w:rFonts w:ascii="Arial" w:cs="Arial" w:eastAsia="Arial" w:hAnsi="Arial"/>
          <w:sz w:val="16"/>
          <w:szCs w:val="16"/>
          <w:color w:val="32406B"/>
        </w:rPr>
        <w:t>provided that, in the case of any transfer or distribution as described in the second, third, fifth, sixth or seventh bullet point above, the transferee or distributee shall agree to be subject to the restrictions described in the immediately preceding paragraph and (ii) in the case of any transfer or distribution described in the first, second, third, fourth, fifth, sixth, seventh or tenth bullet point above, no public announcement or public filing under Section 16(a) of the Exchange Act relating to such transfer or distribution shall be required or shall be voluntarily made during the applicable restricted period.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In addition, the restrictions described in the paragraph above relating to us do not apply to:</w:t>
      </w:r>
    </w:p>
    <w:p>
      <w:pPr>
        <w:spacing w:after="0" w:line="131" w:lineRule="exact"/>
        <w:rPr>
          <w:sz w:val="20"/>
          <w:szCs w:val="20"/>
          <w:color w:val="auto"/>
        </w:rPr>
      </w:pPr>
    </w:p>
    <w:p>
      <w:pPr>
        <w:ind w:left="1000" w:hanging="547"/>
        <w:spacing w:after="0"/>
        <w:tabs>
          <w:tab w:leader="none" w:pos="100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the shares to be sold in this offering;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S-47</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80" w:hanging="547"/>
        <w:spacing w:after="0" w:line="277" w:lineRule="auto"/>
        <w:tabs>
          <w:tab w:leader="none" w:pos="100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our issuance of shares of common stock upon the exercise of an option or warrant or the conversion of a security outstanding on the date of this prospectus supplement pursuant to stock plans disclosed in this prospectus supplement;</w:t>
      </w:r>
    </w:p>
    <w:p>
      <w:pPr>
        <w:spacing w:after="0" w:line="75" w:lineRule="exact"/>
        <w:rPr>
          <w:rFonts w:ascii="Arial" w:cs="Arial" w:eastAsia="Arial" w:hAnsi="Arial"/>
          <w:sz w:val="18"/>
          <w:szCs w:val="18"/>
          <w:color w:val="32406B"/>
        </w:rPr>
      </w:pPr>
    </w:p>
    <w:p>
      <w:pPr>
        <w:ind w:left="1000" w:right="20" w:hanging="547"/>
        <w:spacing w:after="0" w:line="259" w:lineRule="auto"/>
        <w:tabs>
          <w:tab w:leader="none" w:pos="100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the establishment of a trading plan pursuant to Rule 10b5-1 under the Exchange Act for the transfer of shares of common stock, provided that such plan does not provide for the transfer of shares of common stock during the applicable restricted period and to the extent a public announcement or filing under the Exchange Act is required of or voluntarily made by the Company regarding the establishment of such plan, such</w:t>
      </w:r>
    </w:p>
    <w:p>
      <w:pPr>
        <w:spacing w:after="0" w:line="92" w:lineRule="exact"/>
        <w:rPr>
          <w:rFonts w:ascii="Arial" w:cs="Arial" w:eastAsia="Arial" w:hAnsi="Arial"/>
          <w:sz w:val="18"/>
          <w:szCs w:val="18"/>
          <w:color w:val="32406B"/>
        </w:rPr>
      </w:pPr>
    </w:p>
    <w:p>
      <w:pPr>
        <w:ind w:left="1000" w:hanging="547"/>
        <w:spacing w:after="0" w:line="277" w:lineRule="auto"/>
        <w:tabs>
          <w:tab w:leader="none" w:pos="100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announcement or filing shall include a statement to the effect that no transfer of shares of common stock may be made under such plan during the applicable restricted period; or</w:t>
      </w:r>
    </w:p>
    <w:p>
      <w:pPr>
        <w:spacing w:after="0" w:line="75" w:lineRule="exact"/>
        <w:rPr>
          <w:rFonts w:ascii="Arial" w:cs="Arial" w:eastAsia="Arial" w:hAnsi="Arial"/>
          <w:sz w:val="18"/>
          <w:szCs w:val="18"/>
          <w:color w:val="32406B"/>
        </w:rPr>
      </w:pPr>
    </w:p>
    <w:p>
      <w:pPr>
        <w:ind w:left="1000" w:right="20" w:hanging="547"/>
        <w:spacing w:after="0" w:line="273" w:lineRule="auto"/>
        <w:tabs>
          <w:tab w:leader="none" w:pos="1000" w:val="left"/>
        </w:tabs>
        <w:numPr>
          <w:ilvl w:val="0"/>
          <w:numId w:val="49"/>
        </w:numPr>
        <w:rPr>
          <w:rFonts w:ascii="Arial" w:cs="Arial" w:eastAsia="Arial" w:hAnsi="Arial"/>
          <w:sz w:val="17"/>
          <w:szCs w:val="17"/>
          <w:color w:val="32406B"/>
        </w:rPr>
      </w:pPr>
      <w:r>
        <w:rPr>
          <w:rFonts w:ascii="Arial" w:cs="Arial" w:eastAsia="Arial" w:hAnsi="Arial"/>
          <w:sz w:val="17"/>
          <w:szCs w:val="17"/>
          <w:color w:val="32406B"/>
        </w:rPr>
        <w:t>the sale or issuance of or entry into an agreement to sell or issue shares of common stock or securities convertible into or exercisable for common stock in connection with any (i) merger, (ii) acquisition of securities, businesses, property or any other assets, (iii) joint ventures, (iv) strategic alliances, (v) equipment leasing arrangements or (vi) debt financing, provided that the aggregate number of shares of common stock or securities convertible into or exercisable for common stock (on an as converted or as exercised basis, as the case may be) that the Company may sell or issue or agree to sell or issue pursuant to this bullet shall not exceed 5% of the total number of shares of the Company’s common stock issued and outstanding immediately following the completion of this offering;</w:t>
      </w:r>
    </w:p>
    <w:p>
      <w:pPr>
        <w:spacing w:after="0" w:line="178"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32406B"/>
        </w:rPr>
        <w:t>provided that, in the case of any transfer or distribution as described in the fourth bullet point above, we shall agree to be subject to the restrictions described in the paragraph preceding the immediately preceding paragraph.</w:t>
      </w:r>
    </w:p>
    <w:p>
      <w:pPr>
        <w:spacing w:after="0" w:line="170"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32406B"/>
        </w:rPr>
        <w:t>Pursuant to the exceptions to the lock-up agreements described above, our directors and officers and holders of our outstanding stock affiliated with one of our directors have the ability to sell or dispose of shares of our common stock pursuant to 10b5-1 trading plans in place on the date of this prospectus, and as a result, a significant number of shares of our common stock currently held by such parties could be sold in the public market during the applicable restricted period. In addition, Morgan Stanley &amp; Co. LLC and Cowen and Company, LLC, in their sole discretion, may release the common stock and other securities subject to the lock-up agreements described above in whole or in part at any time.</w:t>
      </w:r>
    </w:p>
    <w:p>
      <w:pPr>
        <w:spacing w:after="0" w:line="176"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32406B"/>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We and the underwriters have agreed to indemnify each other against certain liabilities, including liabilities under the Securities Act.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32406B"/>
        </w:rPr>
        <w:t>S-48</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32406B"/>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32406B"/>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32406B"/>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jc w:val="center"/>
        <w:ind w:right="9740"/>
        <w:spacing w:after="0"/>
        <w:rPr>
          <w:sz w:val="20"/>
          <w:szCs w:val="20"/>
          <w:color w:val="auto"/>
        </w:rPr>
      </w:pPr>
      <w:r>
        <w:rPr>
          <w:rFonts w:ascii="Arial" w:cs="Arial" w:eastAsia="Arial" w:hAnsi="Arial"/>
          <w:sz w:val="16"/>
          <w:szCs w:val="16"/>
          <w:b w:val="1"/>
          <w:bCs w:val="1"/>
          <w:color w:val="32406B"/>
        </w:rPr>
        <w:t>Selling Restrictions</w:t>
      </w:r>
    </w:p>
    <w:p>
      <w:pPr>
        <w:spacing w:after="0" w:line="144" w:lineRule="exact"/>
        <w:rPr>
          <w:sz w:val="20"/>
          <w:szCs w:val="20"/>
          <w:color w:val="auto"/>
        </w:rPr>
      </w:pPr>
    </w:p>
    <w:p>
      <w:pPr>
        <w:jc w:val="center"/>
        <w:ind w:right="9760"/>
        <w:spacing w:after="0"/>
        <w:rPr>
          <w:sz w:val="20"/>
          <w:szCs w:val="20"/>
          <w:color w:val="auto"/>
        </w:rPr>
      </w:pPr>
      <w:r>
        <w:rPr>
          <w:rFonts w:ascii="Arial" w:cs="Arial" w:eastAsia="Arial" w:hAnsi="Arial"/>
          <w:sz w:val="18"/>
          <w:szCs w:val="18"/>
          <w:b w:val="1"/>
          <w:bCs w:val="1"/>
          <w:i w:val="1"/>
          <w:iCs w:val="1"/>
          <w:color w:val="32406B"/>
        </w:rPr>
        <w:t>Canada</w:t>
      </w:r>
    </w:p>
    <w:p>
      <w:pPr>
        <w:spacing w:after="0" w:line="117"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32406B"/>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32406B"/>
        </w:rPr>
        <w:t>Prospectus Exemptions</w:t>
      </w:r>
      <w:r>
        <w:rPr>
          <w:rFonts w:ascii="Arial" w:cs="Arial" w:eastAsia="Arial" w:hAnsi="Arial"/>
          <w:sz w:val="16"/>
          <w:szCs w:val="16"/>
          <w:color w:val="32406B"/>
        </w:rPr>
        <w:t xml:space="preserve"> or subsection 73.3(1) of the </w:t>
      </w:r>
      <w:r>
        <w:rPr>
          <w:rFonts w:ascii="Arial" w:cs="Arial" w:eastAsia="Arial" w:hAnsi="Arial"/>
          <w:sz w:val="16"/>
          <w:szCs w:val="16"/>
          <w:i w:val="1"/>
          <w:iCs w:val="1"/>
          <w:color w:val="32406B"/>
        </w:rPr>
        <w:t>Securities Act</w:t>
      </w:r>
      <w:r>
        <w:rPr>
          <w:rFonts w:ascii="Arial" w:cs="Arial" w:eastAsia="Arial" w:hAnsi="Arial"/>
          <w:sz w:val="16"/>
          <w:szCs w:val="16"/>
          <w:color w:val="32406B"/>
        </w:rPr>
        <w:t xml:space="preserve"> (Ontario), and are permitted clients, as defined in National Instrument 31-103 </w:t>
      </w:r>
      <w:r>
        <w:rPr>
          <w:rFonts w:ascii="Arial" w:cs="Arial" w:eastAsia="Arial" w:hAnsi="Arial"/>
          <w:sz w:val="16"/>
          <w:szCs w:val="16"/>
          <w:i w:val="1"/>
          <w:iCs w:val="1"/>
          <w:color w:val="32406B"/>
        </w:rPr>
        <w:t>Registration Requirements, Exemptions and Ongoing Registrant Obligations</w:t>
      </w:r>
      <w:r>
        <w:rPr>
          <w:rFonts w:ascii="Arial" w:cs="Arial" w:eastAsia="Arial" w:hAnsi="Arial"/>
          <w:sz w:val="16"/>
          <w:szCs w:val="16"/>
          <w:color w:val="32406B"/>
        </w:rPr>
        <w:t>. Any resale of shares of our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32406B"/>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32406B"/>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32406B"/>
        </w:rPr>
        <w:t>European Economic Area and the United Kingdom</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32406B"/>
        </w:rPr>
        <w:t>In relation to each Member State of the European Economic Area which has implemented the Prospectus Directive and the United Kingdom (each, a “Relevant State”), an offer to the public of any shares of our common stock may not be made in that Relevant State, except that an offer to the public in that Relevant State of any shares of our common stock may be made at any time under the following exemptions under the Prospectus Directive, if they have been implemented in that Relevant State:</w:t>
      </w:r>
    </w:p>
    <w:p>
      <w:pPr>
        <w:spacing w:after="0" w:line="92" w:lineRule="exact"/>
        <w:rPr>
          <w:sz w:val="20"/>
          <w:szCs w:val="20"/>
          <w:color w:val="auto"/>
        </w:rPr>
      </w:pPr>
    </w:p>
    <w:p>
      <w:pPr>
        <w:ind w:left="5460" w:right="4060" w:hanging="4882"/>
        <w:spacing w:after="0" w:line="449" w:lineRule="auto"/>
        <w:tabs>
          <w:tab w:leader="none" w:pos="999"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to any legal entity which is a qualified investor as defined in the Prospectus Directive; S-49</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60" w:hanging="432"/>
        <w:spacing w:after="0" w:line="263" w:lineRule="auto"/>
        <w:tabs>
          <w:tab w:leader="none" w:pos="1000" w:val="left"/>
        </w:tabs>
        <w:numPr>
          <w:ilvl w:val="0"/>
          <w:numId w:val="51"/>
        </w:numPr>
        <w:rPr>
          <w:rFonts w:ascii="Arial" w:cs="Arial" w:eastAsia="Arial" w:hAnsi="Arial"/>
          <w:sz w:val="18"/>
          <w:szCs w:val="18"/>
          <w:color w:val="32406B"/>
        </w:rPr>
      </w:pPr>
      <w:r>
        <w:rPr>
          <w:rFonts w:ascii="Arial" w:cs="Arial" w:eastAsia="Arial" w:hAnsi="Arial"/>
          <w:sz w:val="18"/>
          <w:szCs w:val="18"/>
          <w:color w:val="32406B"/>
        </w:rPr>
        <w:t>to fewer than 100 or, if the Relevant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9" w:lineRule="exact"/>
        <w:rPr>
          <w:rFonts w:ascii="Arial" w:cs="Arial" w:eastAsia="Arial" w:hAnsi="Arial"/>
          <w:sz w:val="18"/>
          <w:szCs w:val="18"/>
          <w:color w:val="32406B"/>
        </w:rPr>
      </w:pPr>
    </w:p>
    <w:p>
      <w:pPr>
        <w:ind w:left="1000" w:right="120" w:hanging="422"/>
        <w:spacing w:after="0" w:line="342" w:lineRule="auto"/>
        <w:tabs>
          <w:tab w:leader="none" w:pos="1000" w:val="left"/>
        </w:tabs>
        <w:numPr>
          <w:ilvl w:val="0"/>
          <w:numId w:val="51"/>
        </w:numPr>
        <w:rPr>
          <w:rFonts w:ascii="Arial" w:cs="Arial" w:eastAsia="Arial" w:hAnsi="Arial"/>
          <w:sz w:val="16"/>
          <w:szCs w:val="16"/>
          <w:color w:val="32406B"/>
        </w:rPr>
      </w:pPr>
      <w:r>
        <w:rPr>
          <w:rFonts w:ascii="Arial" w:cs="Arial" w:eastAsia="Arial" w:hAnsi="Arial"/>
          <w:sz w:val="16"/>
          <w:szCs w:val="16"/>
          <w:color w:val="32406B"/>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32406B"/>
        </w:rPr>
        <w:t>For the purposes of this provision, the expression an “offer to the public” in relation to any shares of our common stock in any Relevant State means the communication in any form and by any means of sufficient information on the terms of the offer and any shares of our common stock to be offered so as to enable an investor to decide to purchase any shares of our common stock, as the same may be varied in that Relevant State by any measure implementing the Prospectus Directive in that Relevant State, the expression “Prospectus Directive” means Directive 2003/71/EC (and amendments thereto, including the 2010 PD Amending Directive, to the extent implemented in the Relevant State), and includes any relevant implementing measure in the Relevant State, and the expression “2010 PD Amending Directive” means Directive 2010/73/EU. References to the Prospectus Directive include, in relation to the United Kingdom, the Prospectus Directive as it forms part of U.K. domestic law by virtue of the European Union (Withdrawal) Act 2018.</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32406B"/>
        </w:rPr>
        <w:t>Hong Kong</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32406B"/>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32406B"/>
        </w:rPr>
        <w:t>Israel</w:t>
      </w:r>
    </w:p>
    <w:p>
      <w:pPr>
        <w:spacing w:after="0" w:line="117"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32406B"/>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81"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32406B"/>
        </w:rPr>
        <w:t>Qualified Investors may have to submit written evidence that they meet the definitions set out in of the First Addendum to the Israeli Securities Law, 5728 – 1968. In particular, we may request, as a condition to be offered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S-50</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32406B"/>
        </w:rPr>
        <w:t>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32406B"/>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Each underwriter has represented and agreed that:</w:t>
      </w:r>
    </w:p>
    <w:p>
      <w:pPr>
        <w:spacing w:after="0" w:line="131" w:lineRule="exact"/>
        <w:rPr>
          <w:sz w:val="20"/>
          <w:szCs w:val="20"/>
          <w:color w:val="auto"/>
        </w:rPr>
      </w:pPr>
    </w:p>
    <w:p>
      <w:pPr>
        <w:ind w:left="1000" w:right="200" w:hanging="547"/>
        <w:spacing w:after="0" w:line="259" w:lineRule="auto"/>
        <w:tabs>
          <w:tab w:leader="none" w:pos="1000" w:val="left"/>
        </w:tabs>
        <w:numPr>
          <w:ilvl w:val="0"/>
          <w:numId w:val="52"/>
        </w:numPr>
        <w:rPr>
          <w:rFonts w:ascii="Arial" w:cs="Arial" w:eastAsia="Arial" w:hAnsi="Arial"/>
          <w:sz w:val="18"/>
          <w:szCs w:val="18"/>
          <w:color w:val="32406B"/>
        </w:rPr>
      </w:pPr>
      <w:r>
        <w:rPr>
          <w:rFonts w:ascii="Arial" w:cs="Arial" w:eastAsia="Arial" w:hAnsi="Arial"/>
          <w:sz w:val="18"/>
          <w:szCs w:val="18"/>
          <w:color w:val="32406B"/>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32406B"/>
        </w:rPr>
      </w:pPr>
    </w:p>
    <w:p>
      <w:pPr>
        <w:ind w:left="1000" w:hanging="547"/>
        <w:spacing w:after="0" w:line="277" w:lineRule="auto"/>
        <w:tabs>
          <w:tab w:leader="none" w:pos="1000" w:val="left"/>
        </w:tabs>
        <w:numPr>
          <w:ilvl w:val="0"/>
          <w:numId w:val="52"/>
        </w:numPr>
        <w:rPr>
          <w:rFonts w:ascii="Arial" w:cs="Arial" w:eastAsia="Arial" w:hAnsi="Arial"/>
          <w:sz w:val="18"/>
          <w:szCs w:val="18"/>
          <w:color w:val="32406B"/>
        </w:rPr>
      </w:pPr>
      <w:r>
        <w:rPr>
          <w:rFonts w:ascii="Arial" w:cs="Arial" w:eastAsia="Arial" w:hAnsi="Arial"/>
          <w:sz w:val="18"/>
          <w:szCs w:val="18"/>
          <w:color w:val="32406B"/>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S-51</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MATERIAL U.S. FEDERAL INCOME TAX CONSIDERATIONS FOR NON-U.S. HOLDERS</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32406B"/>
        </w:rPr>
        <w:t>The following discussion is a summary of certain material U.S. federal income tax considerations for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89" w:lineRule="exact"/>
        <w:rPr>
          <w:sz w:val="20"/>
          <w:szCs w:val="20"/>
          <w:color w:val="auto"/>
        </w:rPr>
      </w:pPr>
    </w:p>
    <w:p>
      <w:pPr>
        <w:ind w:left="1000" w:hanging="547"/>
        <w:spacing w:after="0"/>
        <w:tabs>
          <w:tab w:leader="none" w:pos="1000" w:val="left"/>
        </w:tabs>
        <w:numPr>
          <w:ilvl w:val="0"/>
          <w:numId w:val="53"/>
        </w:numPr>
        <w:rPr>
          <w:rFonts w:ascii="Arial" w:cs="Arial" w:eastAsia="Arial" w:hAnsi="Arial"/>
          <w:sz w:val="18"/>
          <w:szCs w:val="18"/>
          <w:color w:val="32406B"/>
        </w:rPr>
      </w:pPr>
      <w:r>
        <w:rPr>
          <w:rFonts w:ascii="Arial" w:cs="Arial" w:eastAsia="Arial" w:hAnsi="Arial"/>
          <w:sz w:val="18"/>
          <w:szCs w:val="18"/>
          <w:color w:val="32406B"/>
        </w:rPr>
        <w:t>a non-resident alien individual;</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53"/>
        </w:numPr>
        <w:rPr>
          <w:rFonts w:ascii="Arial" w:cs="Arial" w:eastAsia="Arial" w:hAnsi="Arial"/>
          <w:sz w:val="18"/>
          <w:szCs w:val="18"/>
          <w:color w:val="32406B"/>
        </w:rPr>
      </w:pPr>
      <w:r>
        <w:rPr>
          <w:rFonts w:ascii="Arial" w:cs="Arial" w:eastAsia="Arial" w:hAnsi="Arial"/>
          <w:sz w:val="18"/>
          <w:szCs w:val="18"/>
          <w:color w:val="32406B"/>
        </w:rPr>
        <w:t>a foreign corporation or any other foreign organization taxable as a corporation for U.S. federal income tax purposes; or</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53"/>
        </w:numPr>
        <w:rPr>
          <w:rFonts w:ascii="Arial" w:cs="Arial" w:eastAsia="Arial" w:hAnsi="Arial"/>
          <w:sz w:val="18"/>
          <w:szCs w:val="18"/>
          <w:color w:val="32406B"/>
        </w:rPr>
      </w:pPr>
      <w:r>
        <w:rPr>
          <w:rFonts w:ascii="Arial" w:cs="Arial" w:eastAsia="Arial" w:hAnsi="Arial"/>
          <w:sz w:val="18"/>
          <w:szCs w:val="18"/>
          <w:color w:val="32406B"/>
        </w:rPr>
        <w:t>a foreign estate or trust, the income of which is not subject to U.S. federal income tax on a net income basis.</w:t>
      </w:r>
    </w:p>
    <w:p>
      <w:pPr>
        <w:spacing w:after="0" w:line="22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32406B"/>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87"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32406B"/>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64"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32406B"/>
        </w:rPr>
        <w:t>This discussion does not address all aspects of U.S. federal income taxation that may be relevant to a particular non-U.S. holder in light of that non-U.S. holder’s individual circumstances nor does it address U.S. state, local or non-U.S. taxes, the alternative minimum tax, the rules regarding qualified small business stock within the meaning of Section 1202 of the Code, the Medicare tax on net investment income or any other aspect of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82" w:lineRule="exact"/>
        <w:rPr>
          <w:sz w:val="20"/>
          <w:szCs w:val="20"/>
          <w:color w:val="auto"/>
        </w:rPr>
      </w:pPr>
    </w:p>
    <w:p>
      <w:pPr>
        <w:ind w:left="1000" w:hanging="547"/>
        <w:spacing w:after="0"/>
        <w:tabs>
          <w:tab w:leader="none" w:pos="100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insurance companies;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tax-exempt or governmental organizations;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financial institutions;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brokers or dealers in securities;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regulated investment companies;</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pension plans;</w:t>
      </w:r>
    </w:p>
    <w:p>
      <w:pPr>
        <w:spacing w:after="0" w:line="130" w:lineRule="exact"/>
        <w:rPr>
          <w:rFonts w:ascii="Arial" w:cs="Arial" w:eastAsia="Arial" w:hAnsi="Arial"/>
          <w:sz w:val="18"/>
          <w:szCs w:val="18"/>
          <w:color w:val="32406B"/>
        </w:rPr>
      </w:pPr>
    </w:p>
    <w:p>
      <w:pPr>
        <w:ind w:left="1000" w:right="180" w:hanging="547"/>
        <w:spacing w:after="0" w:line="277" w:lineRule="auto"/>
        <w:tabs>
          <w:tab w:leader="none" w:pos="100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32406B"/>
        </w:rPr>
      </w:pPr>
    </w:p>
    <w:p>
      <w:pPr>
        <w:ind w:left="1000" w:right="280" w:hanging="547"/>
        <w:spacing w:after="0" w:line="277" w:lineRule="auto"/>
        <w:tabs>
          <w:tab w:leader="none" w:pos="100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“qualified foreign pension funds” as defined in Section 897(I)(2) of the Code and entities all of the interests of which are held by qualified foreign pension funds;</w:t>
      </w:r>
    </w:p>
    <w:p>
      <w:pPr>
        <w:spacing w:after="0" w:line="75" w:lineRule="exact"/>
        <w:rPr>
          <w:rFonts w:ascii="Arial" w:cs="Arial" w:eastAsia="Arial" w:hAnsi="Arial"/>
          <w:sz w:val="18"/>
          <w:szCs w:val="18"/>
          <w:color w:val="32406B"/>
        </w:rPr>
      </w:pPr>
    </w:p>
    <w:p>
      <w:pPr>
        <w:ind w:left="1000" w:hanging="547"/>
        <w:spacing w:after="0"/>
        <w:tabs>
          <w:tab w:leader="none" w:pos="100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persons that have a functional currency other than the U.S. dollar;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S-52</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5"/>
        </w:numPr>
        <w:rPr>
          <w:rFonts w:ascii="Arial" w:cs="Arial" w:eastAsia="Arial" w:hAnsi="Arial"/>
          <w:sz w:val="18"/>
          <w:szCs w:val="18"/>
          <w:color w:val="32406B"/>
        </w:rPr>
      </w:pPr>
      <w:r>
        <w:rPr>
          <w:rFonts w:ascii="Arial" w:cs="Arial" w:eastAsia="Arial" w:hAnsi="Arial"/>
          <w:sz w:val="18"/>
          <w:szCs w:val="18"/>
          <w:color w:val="32406B"/>
        </w:rPr>
        <w:t>persons deemed to sell our common stock under the constructive sale provisions of the Code;</w:t>
      </w:r>
    </w:p>
    <w:p>
      <w:pPr>
        <w:spacing w:after="0" w:line="130" w:lineRule="exact"/>
        <w:rPr>
          <w:rFonts w:ascii="Arial" w:cs="Arial" w:eastAsia="Arial" w:hAnsi="Arial"/>
          <w:sz w:val="18"/>
          <w:szCs w:val="18"/>
          <w:color w:val="32406B"/>
        </w:rPr>
      </w:pPr>
    </w:p>
    <w:p>
      <w:pPr>
        <w:ind w:left="1000" w:hanging="547"/>
        <w:spacing w:after="0"/>
        <w:tabs>
          <w:tab w:leader="none" w:pos="1000" w:val="left"/>
        </w:tabs>
        <w:numPr>
          <w:ilvl w:val="0"/>
          <w:numId w:val="55"/>
        </w:numPr>
        <w:rPr>
          <w:rFonts w:ascii="Arial" w:cs="Arial" w:eastAsia="Arial" w:hAnsi="Arial"/>
          <w:sz w:val="16"/>
          <w:szCs w:val="16"/>
          <w:color w:val="32406B"/>
        </w:rPr>
      </w:pPr>
      <w:r>
        <w:rPr>
          <w:rFonts w:ascii="Arial" w:cs="Arial" w:eastAsia="Arial" w:hAnsi="Arial"/>
          <w:sz w:val="16"/>
          <w:szCs w:val="16"/>
          <w:color w:val="32406B"/>
        </w:rPr>
        <w:t>persons that hold our common stock as part of a straddle, hedge, conversion transaction, synthetic security or other integrated investment;</w:t>
      </w:r>
    </w:p>
    <w:p>
      <w:pPr>
        <w:spacing w:after="0" w:line="153" w:lineRule="exact"/>
        <w:rPr>
          <w:rFonts w:ascii="Arial" w:cs="Arial" w:eastAsia="Arial" w:hAnsi="Arial"/>
          <w:sz w:val="16"/>
          <w:szCs w:val="16"/>
          <w:color w:val="32406B"/>
        </w:rPr>
      </w:pPr>
    </w:p>
    <w:p>
      <w:pPr>
        <w:ind w:left="1000" w:hanging="547"/>
        <w:spacing w:after="0"/>
        <w:tabs>
          <w:tab w:leader="none" w:pos="1000" w:val="left"/>
        </w:tabs>
        <w:numPr>
          <w:ilvl w:val="0"/>
          <w:numId w:val="55"/>
        </w:numPr>
        <w:rPr>
          <w:rFonts w:ascii="Arial" w:cs="Arial" w:eastAsia="Arial" w:hAnsi="Arial"/>
          <w:sz w:val="16"/>
          <w:szCs w:val="16"/>
          <w:color w:val="32406B"/>
        </w:rPr>
      </w:pPr>
      <w:r>
        <w:rPr>
          <w:rFonts w:ascii="Arial" w:cs="Arial" w:eastAsia="Arial" w:hAnsi="Arial"/>
          <w:sz w:val="16"/>
          <w:szCs w:val="16"/>
          <w:color w:val="32406B"/>
        </w:rPr>
        <w:t>persons who hold or receive our common stock pursuant to the exercise of any employee stock option or otherwise as compensation; and</w:t>
      </w:r>
    </w:p>
    <w:p>
      <w:pPr>
        <w:spacing w:after="0" w:line="153" w:lineRule="exact"/>
        <w:rPr>
          <w:rFonts w:ascii="Arial" w:cs="Arial" w:eastAsia="Arial" w:hAnsi="Arial"/>
          <w:sz w:val="16"/>
          <w:szCs w:val="16"/>
          <w:color w:val="32406B"/>
        </w:rPr>
      </w:pPr>
    </w:p>
    <w:p>
      <w:pPr>
        <w:ind w:left="1000" w:hanging="547"/>
        <w:spacing w:after="0"/>
        <w:tabs>
          <w:tab w:leader="none" w:pos="1000" w:val="left"/>
        </w:tabs>
        <w:numPr>
          <w:ilvl w:val="0"/>
          <w:numId w:val="55"/>
        </w:numPr>
        <w:rPr>
          <w:rFonts w:ascii="Arial" w:cs="Arial" w:eastAsia="Arial" w:hAnsi="Arial"/>
          <w:sz w:val="18"/>
          <w:szCs w:val="18"/>
          <w:color w:val="32406B"/>
        </w:rPr>
      </w:pPr>
      <w:r>
        <w:rPr>
          <w:rFonts w:ascii="Arial" w:cs="Arial" w:eastAsia="Arial" w:hAnsi="Arial"/>
          <w:sz w:val="18"/>
          <w:szCs w:val="18"/>
          <w:color w:val="32406B"/>
        </w:rPr>
        <w:t>certain U.S. expatriates.</w:t>
      </w:r>
    </w:p>
    <w:p>
      <w:pPr>
        <w:spacing w:after="0" w:line="225"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32406B"/>
        </w:rPr>
        <w:t>This discussion is for general information only and is not tax advice. Accordingly, all prospective non-U.S. holders of our common stock should consult their tax advisors with respect to the U.S. federal, state, local and non-U.S. tax consequences of the ownership and disposition of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Distributions on Our Common Stock</w:t>
      </w:r>
    </w:p>
    <w:p>
      <w:pPr>
        <w:spacing w:after="0" w:line="121" w:lineRule="exact"/>
        <w:rPr>
          <w:sz w:val="20"/>
          <w:szCs w:val="20"/>
          <w:color w:val="auto"/>
        </w:rPr>
      </w:pPr>
    </w:p>
    <w:p>
      <w:pPr>
        <w:ind w:right="200" w:firstLine="449"/>
        <w:spacing w:after="0" w:line="254" w:lineRule="auto"/>
        <w:rPr>
          <w:sz w:val="20"/>
          <w:szCs w:val="20"/>
          <w:color w:val="auto"/>
        </w:rPr>
      </w:pPr>
      <w:r>
        <w:rPr>
          <w:rFonts w:ascii="Arial" w:cs="Arial" w:eastAsia="Arial" w:hAnsi="Arial"/>
          <w:sz w:val="18"/>
          <w:szCs w:val="18"/>
          <w:color w:val="32406B"/>
        </w:rPr>
        <w:t>As described in the “Risk Factors” section above, we do not anticipate paying any cash dividends on our capital stock in the foreseeable future. 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“FATCA.”</w:t>
      </w:r>
    </w:p>
    <w:p>
      <w:pPr>
        <w:spacing w:after="0" w:line="195"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32406B"/>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32406B"/>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32406B"/>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2406B"/>
        </w:rPr>
        <w:t>S-53</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Gain on Sale or Other Taxable Disposition of Our Common Stock</w:t>
      </w:r>
    </w:p>
    <w:p>
      <w:pPr>
        <w:spacing w:after="0" w:line="121"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32406B"/>
        </w:rPr>
        <w:t>Subject to the discussions below under “Backup Withholding and Information Reporting” and “FATCA,” a non-U.S. holder generally will not be subject to any U.S. federal income or withholding tax on any gain realized upon such holder’s sale or other taxable disposition of shares of our common stock unless:</w:t>
      </w:r>
    </w:p>
    <w:p>
      <w:pPr>
        <w:spacing w:after="0" w:line="89" w:lineRule="exact"/>
        <w:rPr>
          <w:sz w:val="20"/>
          <w:szCs w:val="20"/>
          <w:color w:val="auto"/>
        </w:rPr>
      </w:pPr>
    </w:p>
    <w:p>
      <w:pPr>
        <w:ind w:left="1000" w:right="320" w:hanging="547"/>
        <w:spacing w:after="0" w:line="277" w:lineRule="auto"/>
        <w:tabs>
          <w:tab w:leader="none" w:pos="1000" w:val="left"/>
        </w:tabs>
        <w:numPr>
          <w:ilvl w:val="0"/>
          <w:numId w:val="56"/>
        </w:numPr>
        <w:rPr>
          <w:rFonts w:ascii="Arial" w:cs="Arial" w:eastAsia="Arial" w:hAnsi="Arial"/>
          <w:sz w:val="18"/>
          <w:szCs w:val="18"/>
          <w:color w:val="32406B"/>
        </w:rPr>
      </w:pPr>
      <w:r>
        <w:rPr>
          <w:rFonts w:ascii="Arial" w:cs="Arial" w:eastAsia="Arial" w:hAnsi="Arial"/>
          <w:sz w:val="18"/>
          <w:szCs w:val="18"/>
          <w:color w:val="32406B"/>
        </w:rPr>
        <w:t>the gain is effectively connected with the non-U.S. holder’s conduct of a U.S. trade or business and, if an applicable income tax treaty so provides, is attributable to a permanent establishment or a fixed base</w:t>
      </w:r>
    </w:p>
    <w:p>
      <w:pPr>
        <w:spacing w:after="0" w:line="75" w:lineRule="exact"/>
        <w:rPr>
          <w:rFonts w:ascii="Arial" w:cs="Arial" w:eastAsia="Arial" w:hAnsi="Arial"/>
          <w:sz w:val="18"/>
          <w:szCs w:val="18"/>
          <w:color w:val="32406B"/>
        </w:rPr>
      </w:pPr>
    </w:p>
    <w:p>
      <w:pPr>
        <w:ind w:left="1000" w:right="100" w:hanging="547"/>
        <w:spacing w:after="0" w:line="286" w:lineRule="auto"/>
        <w:tabs>
          <w:tab w:leader="none" w:pos="1000" w:val="left"/>
        </w:tabs>
        <w:numPr>
          <w:ilvl w:val="0"/>
          <w:numId w:val="56"/>
        </w:numPr>
        <w:rPr>
          <w:rFonts w:ascii="Arial" w:cs="Arial" w:eastAsia="Arial" w:hAnsi="Arial"/>
          <w:sz w:val="17"/>
          <w:szCs w:val="17"/>
          <w:color w:val="32406B"/>
        </w:rPr>
      </w:pPr>
      <w:r>
        <w:rPr>
          <w:rFonts w:ascii="Arial" w:cs="Arial" w:eastAsia="Arial" w:hAnsi="Arial"/>
          <w:sz w:val="17"/>
          <w:szCs w:val="17"/>
          <w:color w:val="32406B"/>
        </w:rPr>
        <w:t>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70" w:lineRule="exact"/>
        <w:rPr>
          <w:rFonts w:ascii="Arial" w:cs="Arial" w:eastAsia="Arial" w:hAnsi="Arial"/>
          <w:sz w:val="17"/>
          <w:szCs w:val="17"/>
          <w:color w:val="32406B"/>
        </w:rPr>
      </w:pPr>
    </w:p>
    <w:p>
      <w:pPr>
        <w:ind w:left="1000" w:hanging="547"/>
        <w:spacing w:after="0" w:line="255" w:lineRule="auto"/>
        <w:tabs>
          <w:tab w:leader="none" w:pos="1000" w:val="left"/>
        </w:tabs>
        <w:numPr>
          <w:ilvl w:val="0"/>
          <w:numId w:val="56"/>
        </w:numPr>
        <w:rPr>
          <w:rFonts w:ascii="Arial" w:cs="Arial" w:eastAsia="Arial" w:hAnsi="Arial"/>
          <w:sz w:val="18"/>
          <w:szCs w:val="18"/>
          <w:color w:val="32406B"/>
        </w:rPr>
      </w:pPr>
      <w:r>
        <w:rPr>
          <w:rFonts w:ascii="Arial" w:cs="Arial" w:eastAsia="Arial" w:hAnsi="Arial"/>
          <w:sz w:val="18"/>
          <w:szCs w:val="18"/>
          <w:color w:val="32406B"/>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7" w:lineRule="exact"/>
        <w:rPr>
          <w:rFonts w:ascii="Arial" w:cs="Arial" w:eastAsia="Arial" w:hAnsi="Arial"/>
          <w:sz w:val="18"/>
          <w:szCs w:val="18"/>
          <w:color w:val="32406B"/>
        </w:rPr>
      </w:pPr>
    </w:p>
    <w:p>
      <w:pPr>
        <w:ind w:left="1000" w:right="20" w:hanging="547"/>
        <w:spacing w:after="0" w:line="270" w:lineRule="auto"/>
        <w:tabs>
          <w:tab w:leader="none" w:pos="1000" w:val="left"/>
        </w:tabs>
        <w:numPr>
          <w:ilvl w:val="0"/>
          <w:numId w:val="56"/>
        </w:numPr>
        <w:rPr>
          <w:rFonts w:ascii="Arial" w:cs="Arial" w:eastAsia="Arial" w:hAnsi="Arial"/>
          <w:sz w:val="17"/>
          <w:szCs w:val="17"/>
          <w:color w:val="32406B"/>
        </w:rPr>
      </w:pPr>
      <w:r>
        <w:rPr>
          <w:rFonts w:ascii="Arial" w:cs="Arial" w:eastAsia="Arial" w:hAnsi="Arial"/>
          <w:sz w:val="17"/>
          <w:szCs w:val="17"/>
          <w:color w:val="32406B"/>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Backup Withholding and Information Reporting</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32406B"/>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88"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32406B"/>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32406B"/>
        </w:rPr>
        <w:t>S-54</w:t>
      </w:r>
    </w:p>
    <w:p>
      <w:pPr>
        <w:sectPr>
          <w:pgSz w:w="11900" w:h="16838" w:orient="portrait"/>
          <w:cols w:equalWidth="0" w:num="1">
            <w:col w:w="11160"/>
          </w:cols>
          <w:pgMar w:left="32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32406B"/>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FATCA</w:t>
      </w:r>
    </w:p>
    <w:p>
      <w:pPr>
        <w:spacing w:after="0" w:line="22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32406B"/>
        </w:rPr>
        <w:t>Provisions of the Code commonly referred to as the Foreign Account Tax Compliance Act, or FATCA, generally impose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recently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68"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32406B"/>
        </w:rPr>
        <w:t>The preceding discussion of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S-55</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LEGAL MATTERS</w:t>
      </w:r>
    </w:p>
    <w:p>
      <w:pPr>
        <w:spacing w:after="0" w:line="229"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32406B"/>
        </w:rPr>
        <w:t>The validity of the common stock being offered hereby will be passed upon by Goodwin Procter LLP, Boston, Massachusetts. Ropes &amp; Gray LLP, Boston, Massachusetts, is acting as counsel for the underwriters in connection with certain legal matters related to this offering.</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EXPERTS</w:t>
      </w:r>
    </w:p>
    <w:p>
      <w:pPr>
        <w:spacing w:after="0" w:line="229"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32406B"/>
        </w:rPr>
        <w:t>The consolidated financial statements of AVROBIO, Inc. appearing in AVROBIO, Inc.’s Annual Report (Form 10-K) for the year ended December 31, 2019,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 given on the authority of such firm as experts in accounting and auditing.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WHERE YOU CAN FIND MORE INFORMATION</w:t>
      </w:r>
    </w:p>
    <w:p>
      <w:pPr>
        <w:spacing w:after="0" w:line="229"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32406B"/>
        </w:rPr>
        <w:t>We are subject to the reporting and information requirements of the Exchange Act and, in accordance therewith,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(www.sec.gov).</w:t>
      </w:r>
    </w:p>
    <w:p>
      <w:pPr>
        <w:spacing w:after="0" w:line="165" w:lineRule="exact"/>
        <w:rPr>
          <w:sz w:val="20"/>
          <w:szCs w:val="20"/>
          <w:color w:val="auto"/>
        </w:rPr>
      </w:pPr>
    </w:p>
    <w:p>
      <w:pPr>
        <w:ind w:right="240" w:firstLine="449"/>
        <w:spacing w:after="0" w:line="272" w:lineRule="auto"/>
        <w:rPr>
          <w:sz w:val="20"/>
          <w:szCs w:val="20"/>
          <w:color w:val="auto"/>
        </w:rPr>
      </w:pPr>
      <w:r>
        <w:rPr>
          <w:rFonts w:ascii="Arial" w:cs="Arial" w:eastAsia="Arial" w:hAnsi="Arial"/>
          <w:sz w:val="17"/>
          <w:szCs w:val="17"/>
          <w:color w:val="32406B"/>
        </w:rPr>
        <w:t>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in the accompanying prospectus.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Our website is located at www.avrobio.com. Information contained on our website is not incorporated by reference into this prospectus and, therefore, is not part of this prospectus supplement or the accompanying prospectus.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INCORPORATION BY REFERENCE</w:t>
      </w:r>
    </w:p>
    <w:p>
      <w:pPr>
        <w:spacing w:after="0" w:line="22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32406B"/>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the accompanying prospectus, and information that we file later with the SEC will automatically update and supersede this information. We filed a registration statement on Form S-3 under the Securities Act of 1933 with the SEC with respect to the securities being offered pursuant to this prospectus supplement and the accompanying prospectus. This prospectus supplement and the accompanying prospectus omit certain information contained in the registration statement, as permitted by the SEC. You should refer to the registration statement, including the exhibits, for further information about us and the securities being offered pursuant to this prospectus supplement and the accompanying prospectus. Statements in this prospectus supplement and the accompanying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S-56</w:t>
      </w:r>
    </w:p>
    <w:p>
      <w:pPr>
        <w:sectPr>
          <w:pgSz w:w="11900" w:h="16838" w:orient="portrait"/>
          <w:cols w:equalWidth="0" w:num="1">
            <w:col w:w="11220"/>
          </w:cols>
          <w:pgMar w:left="32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32406B"/>
        </w:rPr>
        <w:t>may be obtained upon payment of the prescribed rates at the offices of the SEC listed above in “Where You Can Find More Information.” The documents we are incorporating by reference are:</w:t>
      </w:r>
    </w:p>
    <w:p>
      <w:pPr>
        <w:spacing w:after="0" w:line="76" w:lineRule="exact"/>
        <w:rPr>
          <w:sz w:val="20"/>
          <w:szCs w:val="20"/>
          <w:color w:val="auto"/>
        </w:rPr>
      </w:pPr>
    </w:p>
    <w:p>
      <w:pPr>
        <w:ind w:left="1000" w:hanging="547"/>
        <w:spacing w:after="0"/>
        <w:tabs>
          <w:tab w:leader="none" w:pos="1000" w:val="left"/>
        </w:tabs>
        <w:numPr>
          <w:ilvl w:val="0"/>
          <w:numId w:val="57"/>
        </w:numPr>
        <w:rPr>
          <w:rFonts w:ascii="Arial" w:cs="Arial" w:eastAsia="Arial" w:hAnsi="Arial"/>
          <w:sz w:val="18"/>
          <w:szCs w:val="18"/>
          <w:color w:val="32406B"/>
        </w:rPr>
      </w:pPr>
      <w:r>
        <w:rPr>
          <w:rFonts w:ascii="Arial" w:cs="Arial" w:eastAsia="Arial" w:hAnsi="Arial"/>
          <w:sz w:val="18"/>
          <w:szCs w:val="18"/>
          <w:color w:val="32406B"/>
        </w:rPr>
        <w:t xml:space="preserve">our </w:t>
      </w:r>
      <w:hyperlink r:id="rId102">
        <w:r>
          <w:rPr>
            <w:rFonts w:ascii="Arial" w:cs="Arial" w:eastAsia="Arial" w:hAnsi="Arial"/>
            <w:sz w:val="18"/>
            <w:szCs w:val="18"/>
            <w:u w:val="single" w:color="auto"/>
            <w:color w:val="0000EE"/>
          </w:rPr>
          <w:t>Annual Report</w:t>
        </w:r>
        <w:r>
          <w:rPr>
            <w:rFonts w:ascii="Arial" w:cs="Arial" w:eastAsia="Arial" w:hAnsi="Arial"/>
            <w:sz w:val="18"/>
            <w:szCs w:val="18"/>
            <w:u w:val="single" w:color="auto"/>
            <w:color w:val="32406B"/>
          </w:rPr>
          <w:t xml:space="preserve"> </w:t>
        </w:r>
      </w:hyperlink>
      <w:r>
        <w:rPr>
          <w:rFonts w:ascii="Arial" w:cs="Arial" w:eastAsia="Arial" w:hAnsi="Arial"/>
          <w:sz w:val="18"/>
          <w:szCs w:val="18"/>
          <w:color w:val="32406B"/>
        </w:rPr>
        <w:t>on for the year ended December 31, 2019, filed with the SEC on March 16, 2020;</w:t>
      </w:r>
    </w:p>
    <w:p>
      <w:pPr>
        <w:spacing w:after="0" w:line="130" w:lineRule="exact"/>
        <w:rPr>
          <w:rFonts w:ascii="Arial" w:cs="Arial" w:eastAsia="Arial" w:hAnsi="Arial"/>
          <w:sz w:val="18"/>
          <w:szCs w:val="18"/>
          <w:color w:val="32406B"/>
        </w:rPr>
      </w:pPr>
    </w:p>
    <w:p>
      <w:pPr>
        <w:ind w:left="1000" w:right="60" w:hanging="547"/>
        <w:spacing w:after="0" w:line="308" w:lineRule="auto"/>
        <w:tabs>
          <w:tab w:leader="none" w:pos="1000" w:val="left"/>
        </w:tabs>
        <w:numPr>
          <w:ilvl w:val="0"/>
          <w:numId w:val="57"/>
        </w:numPr>
        <w:rPr>
          <w:rFonts w:ascii="Arial" w:cs="Arial" w:eastAsia="Arial" w:hAnsi="Arial"/>
          <w:sz w:val="17"/>
          <w:szCs w:val="17"/>
          <w:color w:val="0000EE"/>
        </w:rPr>
      </w:pPr>
      <w:r>
        <w:rPr>
          <w:rFonts w:ascii="Arial" w:cs="Arial" w:eastAsia="Arial" w:hAnsi="Arial"/>
          <w:sz w:val="17"/>
          <w:szCs w:val="17"/>
          <w:color w:val="32406B"/>
        </w:rPr>
        <w:t xml:space="preserve">the information specifically incorporated by reference into our Annual Report on Form 10-K for the year ended December 31, 2019 from our </w:t>
      </w:r>
      <w:hyperlink r:id="rId103">
        <w:r>
          <w:rPr>
            <w:rFonts w:ascii="Arial" w:cs="Arial" w:eastAsia="Arial" w:hAnsi="Arial"/>
            <w:sz w:val="17"/>
            <w:szCs w:val="17"/>
            <w:u w:val="single" w:color="auto"/>
            <w:color w:val="0000EE"/>
          </w:rPr>
          <w:t>definitive proxy statement</w:t>
        </w:r>
        <w:r>
          <w:rPr>
            <w:rFonts w:ascii="Arial" w:cs="Arial" w:eastAsia="Arial" w:hAnsi="Arial"/>
            <w:sz w:val="17"/>
            <w:szCs w:val="17"/>
            <w:color w:val="0000EE"/>
          </w:rPr>
          <w:t xml:space="preserve"> </w:t>
        </w:r>
      </w:hyperlink>
      <w:r>
        <w:rPr>
          <w:rFonts w:ascii="Arial" w:cs="Arial" w:eastAsia="Arial" w:hAnsi="Arial"/>
          <w:sz w:val="17"/>
          <w:szCs w:val="17"/>
          <w:color w:val="32406B"/>
        </w:rPr>
        <w:t>(other</w:t>
      </w:r>
      <w:r>
        <w:rPr>
          <w:rFonts w:ascii="Arial" w:cs="Arial" w:eastAsia="Arial" w:hAnsi="Arial"/>
          <w:sz w:val="17"/>
          <w:szCs w:val="17"/>
          <w:color w:val="0000EE"/>
        </w:rPr>
        <w:t xml:space="preserve"> </w:t>
      </w:r>
      <w:r>
        <w:rPr>
          <w:rFonts w:ascii="Arial" w:cs="Arial" w:eastAsia="Arial" w:hAnsi="Arial"/>
          <w:sz w:val="17"/>
          <w:szCs w:val="17"/>
          <w:color w:val="32406B"/>
        </w:rPr>
        <w:t>than information furnished rather than filed), which was filed with the SEC on April 22, 2020;</w:t>
      </w:r>
    </w:p>
    <w:p>
      <w:pPr>
        <w:spacing w:after="0" w:line="51" w:lineRule="exact"/>
        <w:rPr>
          <w:rFonts w:ascii="Arial" w:cs="Arial" w:eastAsia="Arial" w:hAnsi="Arial"/>
          <w:sz w:val="17"/>
          <w:szCs w:val="17"/>
          <w:color w:val="0000EE"/>
        </w:rPr>
      </w:pPr>
    </w:p>
    <w:p>
      <w:pPr>
        <w:ind w:left="1000" w:right="20" w:hanging="547"/>
        <w:spacing w:after="0" w:line="263" w:lineRule="auto"/>
        <w:tabs>
          <w:tab w:leader="none" w:pos="1000" w:val="left"/>
        </w:tabs>
        <w:numPr>
          <w:ilvl w:val="0"/>
          <w:numId w:val="57"/>
        </w:numPr>
        <w:rPr>
          <w:rFonts w:ascii="Arial" w:cs="Arial" w:eastAsia="Arial" w:hAnsi="Arial"/>
          <w:sz w:val="18"/>
          <w:szCs w:val="18"/>
          <w:color w:val="32406B"/>
        </w:rPr>
      </w:pPr>
      <w:r>
        <w:rPr>
          <w:rFonts w:ascii="Arial" w:cs="Arial" w:eastAsia="Arial" w:hAnsi="Arial"/>
          <w:sz w:val="18"/>
          <w:szCs w:val="18"/>
          <w:color w:val="32406B"/>
        </w:rPr>
        <w:t xml:space="preserve">our Quarterly Report on Form 10-Q for the quarter ended March 31, 2020, filed with the SEC on </w:t>
      </w:r>
      <w:hyperlink r:id="rId104">
        <w:r>
          <w:rPr>
            <w:rFonts w:ascii="Arial" w:cs="Arial" w:eastAsia="Arial" w:hAnsi="Arial"/>
            <w:sz w:val="18"/>
            <w:szCs w:val="18"/>
            <w:u w:val="single" w:color="auto"/>
            <w:color w:val="0000EE"/>
          </w:rPr>
          <w:t>May 7, 2020</w:t>
        </w:r>
      </w:hyperlink>
      <w:r>
        <w:rPr>
          <w:rFonts w:ascii="Arial" w:cs="Arial" w:eastAsia="Arial" w:hAnsi="Arial"/>
          <w:sz w:val="18"/>
          <w:szCs w:val="18"/>
          <w:color w:val="32406B"/>
        </w:rPr>
        <w:t xml:space="preserve">; our Quarterly Report on Form 10-Q for the quarter ended June 30, 2020, filed with the SEC on </w:t>
      </w:r>
      <w:hyperlink r:id="rId105">
        <w:r>
          <w:rPr>
            <w:rFonts w:ascii="Arial" w:cs="Arial" w:eastAsia="Arial" w:hAnsi="Arial"/>
            <w:sz w:val="18"/>
            <w:szCs w:val="18"/>
            <w:u w:val="single" w:color="auto"/>
            <w:color w:val="0000EE"/>
          </w:rPr>
          <w:t>August 6, 2020</w:t>
        </w:r>
      </w:hyperlink>
      <w:r>
        <w:rPr>
          <w:rFonts w:ascii="Arial" w:cs="Arial" w:eastAsia="Arial" w:hAnsi="Arial"/>
          <w:sz w:val="18"/>
          <w:szCs w:val="18"/>
          <w:color w:val="32406B"/>
        </w:rPr>
        <w:t xml:space="preserve">; our Quarterly Report on Form 10-Q for the quarter ended September 30, 2020, filed with the SEC on </w:t>
      </w:r>
      <w:hyperlink r:id="rId106">
        <w:r>
          <w:rPr>
            <w:rFonts w:ascii="Arial" w:cs="Arial" w:eastAsia="Arial" w:hAnsi="Arial"/>
            <w:sz w:val="18"/>
            <w:szCs w:val="18"/>
            <w:u w:val="single" w:color="auto"/>
            <w:color w:val="0000EE"/>
          </w:rPr>
          <w:t>November 5, 2020</w:t>
        </w:r>
      </w:hyperlink>
      <w:r>
        <w:rPr>
          <w:rFonts w:ascii="Arial" w:cs="Arial" w:eastAsia="Arial" w:hAnsi="Arial"/>
          <w:sz w:val="18"/>
          <w:szCs w:val="18"/>
          <w:color w:val="32406B"/>
        </w:rPr>
        <w:t>;</w:t>
      </w:r>
    </w:p>
    <w:p>
      <w:pPr>
        <w:spacing w:after="0" w:line="89" w:lineRule="exact"/>
        <w:rPr>
          <w:rFonts w:ascii="Arial" w:cs="Arial" w:eastAsia="Arial" w:hAnsi="Arial"/>
          <w:sz w:val="18"/>
          <w:szCs w:val="18"/>
          <w:color w:val="32406B"/>
        </w:rPr>
      </w:pPr>
    </w:p>
    <w:p>
      <w:pPr>
        <w:jc w:val="both"/>
        <w:ind w:left="1000" w:right="340" w:hanging="547"/>
        <w:spacing w:after="0" w:line="286" w:lineRule="auto"/>
        <w:tabs>
          <w:tab w:leader="none" w:pos="1000" w:val="left"/>
        </w:tabs>
        <w:numPr>
          <w:ilvl w:val="0"/>
          <w:numId w:val="57"/>
        </w:numPr>
        <w:rPr>
          <w:rFonts w:ascii="Arial" w:cs="Arial" w:eastAsia="Arial" w:hAnsi="Arial"/>
          <w:sz w:val="17"/>
          <w:szCs w:val="17"/>
          <w:color w:val="0000EE"/>
        </w:rPr>
      </w:pPr>
      <w:hyperlink r:id="rId107">
        <w:r>
          <w:rPr>
            <w:rFonts w:ascii="Arial" w:cs="Arial" w:eastAsia="Arial" w:hAnsi="Arial"/>
            <w:sz w:val="17"/>
            <w:szCs w:val="17"/>
            <w:color w:val="32406B"/>
          </w:rPr>
          <w:t xml:space="preserve">our Current Reports on Form 8-K filed with the SEC on </w:t>
        </w:r>
        <w:r>
          <w:rPr>
            <w:rFonts w:ascii="Arial" w:cs="Arial" w:eastAsia="Arial" w:hAnsi="Arial"/>
            <w:sz w:val="17"/>
            <w:szCs w:val="17"/>
            <w:u w:val="single" w:color="auto"/>
            <w:color w:val="0000EE"/>
          </w:rPr>
          <w:t>February 10, 2020</w:t>
        </w:r>
        <w:r>
          <w:rPr>
            <w:rFonts w:ascii="Arial" w:cs="Arial" w:eastAsia="Arial" w:hAnsi="Arial"/>
            <w:sz w:val="17"/>
            <w:szCs w:val="17"/>
            <w:color w:val="32406B"/>
          </w:rPr>
          <w:t xml:space="preserve">, </w:t>
        </w:r>
        <w:r>
          <w:rPr>
            <w:rFonts w:ascii="Arial" w:cs="Arial" w:eastAsia="Arial" w:hAnsi="Arial"/>
            <w:sz w:val="17"/>
            <w:szCs w:val="17"/>
            <w:u w:val="single" w:color="auto"/>
            <w:color w:val="0000EE"/>
          </w:rPr>
          <w:t>February 13, 2020</w:t>
        </w:r>
        <w:r>
          <w:rPr>
            <w:rFonts w:ascii="Arial" w:cs="Arial" w:eastAsia="Arial" w:hAnsi="Arial"/>
            <w:sz w:val="17"/>
            <w:szCs w:val="17"/>
            <w:color w:val="32406B"/>
          </w:rPr>
          <w:t xml:space="preserve">, </w:t>
        </w:r>
        <w:r>
          <w:rPr>
            <w:rFonts w:ascii="Arial" w:cs="Arial" w:eastAsia="Arial" w:hAnsi="Arial"/>
            <w:sz w:val="17"/>
            <w:szCs w:val="17"/>
            <w:u w:val="single" w:color="auto"/>
            <w:color w:val="0000EE"/>
          </w:rPr>
          <w:t>March 30, 2020</w:t>
        </w:r>
        <w:r>
          <w:rPr>
            <w:rFonts w:ascii="Arial" w:cs="Arial" w:eastAsia="Arial" w:hAnsi="Arial"/>
            <w:sz w:val="17"/>
            <w:szCs w:val="17"/>
            <w:color w:val="32406B"/>
          </w:rPr>
          <w:t xml:space="preserve">, </w:t>
        </w:r>
        <w:r>
          <w:rPr>
            <w:rFonts w:ascii="Arial" w:cs="Arial" w:eastAsia="Arial" w:hAnsi="Arial"/>
            <w:sz w:val="17"/>
            <w:szCs w:val="17"/>
            <w:u w:val="single" w:color="auto"/>
            <w:color w:val="0000EE"/>
          </w:rPr>
          <w:t>April 3, 2020</w:t>
        </w:r>
        <w:r>
          <w:rPr>
            <w:rFonts w:ascii="Arial" w:cs="Arial" w:eastAsia="Arial" w:hAnsi="Arial"/>
            <w:sz w:val="17"/>
            <w:szCs w:val="17"/>
            <w:color w:val="32406B"/>
          </w:rPr>
          <w:t xml:space="preserve">, </w:t>
        </w:r>
        <w:r>
          <w:rPr>
            <w:rFonts w:ascii="Arial" w:cs="Arial" w:eastAsia="Arial" w:hAnsi="Arial"/>
            <w:sz w:val="17"/>
            <w:szCs w:val="17"/>
            <w:u w:val="single" w:color="auto"/>
            <w:color w:val="0000EE"/>
          </w:rPr>
          <w:t>May 13,</w:t>
        </w:r>
      </w:hyperlink>
      <w:r>
        <w:rPr>
          <w:rFonts w:ascii="Arial" w:cs="Arial" w:eastAsia="Arial" w:hAnsi="Arial"/>
          <w:sz w:val="17"/>
          <w:szCs w:val="17"/>
          <w:color w:val="32406B"/>
        </w:rPr>
        <w:t xml:space="preserve"> </w:t>
      </w:r>
      <w:hyperlink r:id="rId108">
        <w:r>
          <w:rPr>
            <w:rFonts w:ascii="Arial" w:cs="Arial" w:eastAsia="Arial" w:hAnsi="Arial"/>
            <w:sz w:val="17"/>
            <w:szCs w:val="17"/>
            <w:u w:val="single" w:color="auto"/>
            <w:color w:val="0000EE"/>
          </w:rPr>
          <w:t>2020</w:t>
        </w:r>
        <w:r>
          <w:rPr>
            <w:rFonts w:ascii="Arial" w:cs="Arial" w:eastAsia="Arial" w:hAnsi="Arial"/>
            <w:sz w:val="17"/>
            <w:szCs w:val="17"/>
            <w:color w:val="32406B"/>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May 14, 2020</w:t>
        </w:r>
        <w:r>
          <w:rPr>
            <w:rFonts w:ascii="Arial" w:cs="Arial" w:eastAsia="Arial" w:hAnsi="Arial"/>
            <w:sz w:val="17"/>
            <w:szCs w:val="17"/>
            <w:color w:val="32406B"/>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June 9, 2020</w:t>
        </w:r>
        <w:r>
          <w:rPr>
            <w:rFonts w:ascii="Arial" w:cs="Arial" w:eastAsia="Arial" w:hAnsi="Arial"/>
            <w:sz w:val="17"/>
            <w:szCs w:val="17"/>
            <w:color w:val="32406B"/>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June 16, 2020</w:t>
        </w:r>
        <w:r>
          <w:rPr>
            <w:rFonts w:ascii="Arial" w:cs="Arial" w:eastAsia="Arial" w:hAnsi="Arial"/>
            <w:sz w:val="17"/>
            <w:szCs w:val="17"/>
            <w:color w:val="32406B"/>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July 6, 2020</w:t>
        </w:r>
        <w:r>
          <w:rPr>
            <w:rFonts w:ascii="Arial" w:cs="Arial" w:eastAsia="Arial" w:hAnsi="Arial"/>
            <w:sz w:val="17"/>
            <w:szCs w:val="17"/>
            <w:color w:val="32406B"/>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August 6, 2020</w:t>
        </w:r>
        <w:r>
          <w:rPr>
            <w:rFonts w:ascii="Arial" w:cs="Arial" w:eastAsia="Arial" w:hAnsi="Arial"/>
            <w:sz w:val="17"/>
            <w:szCs w:val="17"/>
            <w:color w:val="32406B"/>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6, 2020</w:t>
        </w:r>
        <w:r>
          <w:rPr>
            <w:rFonts w:ascii="Arial" w:cs="Arial" w:eastAsia="Arial" w:hAnsi="Arial"/>
            <w:sz w:val="17"/>
            <w:szCs w:val="17"/>
            <w:color w:val="32406B"/>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21, 2020</w:t>
        </w:r>
        <w:r>
          <w:rPr>
            <w:rFonts w:ascii="Arial" w:cs="Arial" w:eastAsia="Arial" w:hAnsi="Arial"/>
            <w:sz w:val="17"/>
            <w:szCs w:val="17"/>
            <w:color w:val="0000EE"/>
          </w:rPr>
          <w:t xml:space="preserve"> </w:t>
        </w:r>
        <w:r>
          <w:rPr>
            <w:rFonts w:ascii="Arial" w:cs="Arial" w:eastAsia="Arial" w:hAnsi="Arial"/>
            <w:sz w:val="17"/>
            <w:szCs w:val="17"/>
            <w:color w:val="32406B"/>
          </w:rPr>
          <w:t>and</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November 17,</w:t>
        </w:r>
      </w:hyperlink>
      <w:r>
        <w:rPr>
          <w:rFonts w:ascii="Arial" w:cs="Arial" w:eastAsia="Arial" w:hAnsi="Arial"/>
          <w:sz w:val="17"/>
          <w:szCs w:val="17"/>
          <w:color w:val="0000EE"/>
        </w:rPr>
        <w:t xml:space="preserve"> </w:t>
      </w:r>
      <w:hyperlink r:id="rId108">
        <w:r>
          <w:rPr>
            <w:rFonts w:ascii="Arial" w:cs="Arial" w:eastAsia="Arial" w:hAnsi="Arial"/>
            <w:sz w:val="17"/>
            <w:szCs w:val="17"/>
            <w:u w:val="single" w:color="auto"/>
            <w:color w:val="0000EE"/>
          </w:rPr>
          <w:t>2020</w:t>
        </w:r>
        <w:r>
          <w:rPr>
            <w:rFonts w:ascii="Arial" w:cs="Arial" w:eastAsia="Arial" w:hAnsi="Arial"/>
            <w:sz w:val="17"/>
            <w:szCs w:val="17"/>
            <w:color w:val="0000EE"/>
          </w:rPr>
          <w:t xml:space="preserve"> </w:t>
        </w:r>
        <w:r>
          <w:rPr>
            <w:rFonts w:ascii="Arial" w:cs="Arial" w:eastAsia="Arial" w:hAnsi="Arial"/>
            <w:sz w:val="17"/>
            <w:szCs w:val="17"/>
            <w:color w:val="32406B"/>
          </w:rPr>
          <w:t>(in each case, except for information contained therein which is furnished rather than filed); and</w:t>
        </w:r>
      </w:hyperlink>
    </w:p>
    <w:p>
      <w:pPr>
        <w:spacing w:after="0" w:line="70" w:lineRule="exact"/>
        <w:rPr>
          <w:rFonts w:ascii="Arial" w:cs="Arial" w:eastAsia="Arial" w:hAnsi="Arial"/>
          <w:sz w:val="17"/>
          <w:szCs w:val="17"/>
          <w:color w:val="0000EE"/>
        </w:rPr>
      </w:pPr>
    </w:p>
    <w:p>
      <w:pPr>
        <w:ind w:left="1000" w:right="40" w:hanging="547"/>
        <w:spacing w:after="0" w:line="277" w:lineRule="auto"/>
        <w:tabs>
          <w:tab w:leader="none" w:pos="1000" w:val="left"/>
        </w:tabs>
        <w:numPr>
          <w:ilvl w:val="0"/>
          <w:numId w:val="57"/>
        </w:numPr>
        <w:rPr>
          <w:rFonts w:ascii="Arial" w:cs="Arial" w:eastAsia="Arial" w:hAnsi="Arial"/>
          <w:sz w:val="18"/>
          <w:szCs w:val="18"/>
          <w:color w:val="32406B"/>
        </w:rPr>
      </w:pPr>
      <w:r>
        <w:rPr>
          <w:rFonts w:ascii="Arial" w:cs="Arial" w:eastAsia="Arial" w:hAnsi="Arial"/>
          <w:sz w:val="18"/>
          <w:szCs w:val="18"/>
          <w:color w:val="32406B"/>
        </w:rPr>
        <w:t xml:space="preserve">the description of our common stock contained in our registration statement on </w:t>
      </w:r>
      <w:hyperlink r:id="rId109">
        <w:r>
          <w:rPr>
            <w:rFonts w:ascii="Arial" w:cs="Arial" w:eastAsia="Arial" w:hAnsi="Arial"/>
            <w:sz w:val="18"/>
            <w:szCs w:val="18"/>
            <w:u w:val="single" w:color="auto"/>
            <w:color w:val="0000EE"/>
          </w:rPr>
          <w:t>Form 8-A</w:t>
        </w:r>
        <w:r>
          <w:rPr>
            <w:rFonts w:ascii="Arial" w:cs="Arial" w:eastAsia="Arial" w:hAnsi="Arial"/>
            <w:sz w:val="18"/>
            <w:szCs w:val="18"/>
            <w:u w:val="single" w:color="auto"/>
            <w:color w:val="32406B"/>
          </w:rPr>
          <w:t xml:space="preserve"> </w:t>
        </w:r>
      </w:hyperlink>
      <w:r>
        <w:rPr>
          <w:rFonts w:ascii="Arial" w:cs="Arial" w:eastAsia="Arial" w:hAnsi="Arial"/>
          <w:sz w:val="18"/>
          <w:szCs w:val="18"/>
          <w:color w:val="32406B"/>
        </w:rPr>
        <w:t>filed with the SEC on June 18, 2018, including any amendments or reports filed for the purposes of updating this description.</w:t>
      </w:r>
    </w:p>
    <w:p>
      <w:pPr>
        <w:spacing w:after="0" w:line="170" w:lineRule="exact"/>
        <w:rPr>
          <w:rFonts w:ascii="Arial" w:cs="Arial" w:eastAsia="Arial" w:hAnsi="Arial"/>
          <w:sz w:val="17"/>
          <w:szCs w:val="17"/>
          <w:color w:val="0000EE"/>
        </w:rPr>
      </w:pPr>
    </w:p>
    <w:p>
      <w:pPr>
        <w:ind w:right="40" w:firstLine="449"/>
        <w:spacing w:after="0" w:line="259" w:lineRule="auto"/>
        <w:rPr>
          <w:sz w:val="20"/>
          <w:szCs w:val="20"/>
          <w:color w:val="auto"/>
        </w:rPr>
      </w:pPr>
      <w:r>
        <w:rPr>
          <w:rFonts w:ascii="Arial" w:cs="Arial" w:eastAsia="Arial" w:hAnsi="Arial"/>
          <w:sz w:val="18"/>
          <w:szCs w:val="18"/>
          <w:color w:val="32406B"/>
        </w:rPr>
        <w:t>In addition, all documents (other than current reports furnished under Item 2.02 or Item 7.01 of Form 8-K and exhibits filed in such forms that are related to such items unless such Form 8-K expressly provides to the contrary) subsequently filed by us pursuant to Section 13(a), 13(c), 14 or 15(d) of the Securities Exchange Act of 1934, as amended, before the date our offering is terminated or completed are deemed to be incorporated by reference into, and to be a part of, this prospectus supplement and the accompanying prospectus.</w:t>
      </w:r>
    </w:p>
    <w:p>
      <w:pPr>
        <w:spacing w:after="0" w:line="187" w:lineRule="exact"/>
        <w:rPr>
          <w:rFonts w:ascii="Arial" w:cs="Arial" w:eastAsia="Arial" w:hAnsi="Arial"/>
          <w:sz w:val="17"/>
          <w:szCs w:val="17"/>
          <w:color w:val="0000EE"/>
        </w:rPr>
      </w:pPr>
    </w:p>
    <w:p>
      <w:pPr>
        <w:ind w:right="60" w:firstLine="449"/>
        <w:spacing w:after="0" w:line="273" w:lineRule="auto"/>
        <w:rPr>
          <w:sz w:val="20"/>
          <w:szCs w:val="20"/>
          <w:color w:val="auto"/>
        </w:rPr>
      </w:pPr>
      <w:r>
        <w:rPr>
          <w:rFonts w:ascii="Arial" w:cs="Arial" w:eastAsia="Arial" w:hAnsi="Arial"/>
          <w:sz w:val="17"/>
          <w:szCs w:val="17"/>
          <w:color w:val="32406B"/>
        </w:rPr>
        <w:t>Any statement contained in this prospectus supplement and the accompanying prospectus or in a document incorporated or deemed to be incorporated by reference into this prospectus supplement and the accompanying prospectus will be deemed to be modified or superseded for purposes of this prospectus supplement and the accompanying prospectus to the extent that a statement contained in this prospectus supplement and the accompanying prospectus or any other subsequently filed document that is deemed to be incorporated by reference into this prospectus supplement and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178" w:lineRule="exact"/>
        <w:rPr>
          <w:rFonts w:ascii="Arial" w:cs="Arial" w:eastAsia="Arial" w:hAnsi="Arial"/>
          <w:sz w:val="17"/>
          <w:szCs w:val="17"/>
          <w:color w:val="0000EE"/>
        </w:rPr>
      </w:pPr>
    </w:p>
    <w:p>
      <w:pPr>
        <w:ind w:right="80" w:firstLine="449"/>
        <w:spacing w:after="0" w:line="263" w:lineRule="auto"/>
        <w:rPr>
          <w:sz w:val="20"/>
          <w:szCs w:val="20"/>
          <w:color w:val="auto"/>
        </w:rPr>
      </w:pPr>
      <w:r>
        <w:rPr>
          <w:rFonts w:ascii="Arial" w:cs="Arial" w:eastAsia="Arial" w:hAnsi="Arial"/>
          <w:sz w:val="18"/>
          <w:szCs w:val="18"/>
          <w:color w:val="32406B"/>
        </w:rPr>
        <w:t>We will furnish without charge to you, on written or oral request, a copy of any or all of the documents incorporated by reference, including exhibits to these documents. You should direct any requests for documents to Investor Relations, AVROBIO, Inc., One Kendall Square, Building 300, Suite 201, Cambridge, Massachusetts 02139, or via telephone at (617) 914-8420.</w:t>
      </w:r>
    </w:p>
    <w:p>
      <w:pPr>
        <w:spacing w:after="0" w:line="184" w:lineRule="exact"/>
        <w:rPr>
          <w:rFonts w:ascii="Arial" w:cs="Arial" w:eastAsia="Arial" w:hAnsi="Arial"/>
          <w:sz w:val="17"/>
          <w:szCs w:val="17"/>
          <w:color w:val="0000EE"/>
        </w:rPr>
      </w:pPr>
    </w:p>
    <w:p>
      <w:pPr>
        <w:ind w:firstLine="449"/>
        <w:spacing w:after="0" w:line="257" w:lineRule="auto"/>
        <w:rPr>
          <w:sz w:val="20"/>
          <w:szCs w:val="20"/>
          <w:color w:val="auto"/>
        </w:rPr>
      </w:pPr>
      <w:r>
        <w:rPr>
          <w:rFonts w:ascii="Arial" w:cs="Arial" w:eastAsia="Arial" w:hAnsi="Arial"/>
          <w:sz w:val="18"/>
          <w:szCs w:val="18"/>
          <w:color w:val="32406B"/>
        </w:rPr>
        <w:t>You should rely only on information contained in, or incorporated by reference into, this prospectus supplement and the accompanying prospectus. We have not authorized anyone to provide you with information different from that contained in this prospectus supplement and the accompanying prospectus or incorporated by reference in this prospectus supplement and the accompanying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20" w:lineRule="exact"/>
        <w:rPr>
          <w:rFonts w:ascii="Arial" w:cs="Arial" w:eastAsia="Arial" w:hAnsi="Arial"/>
          <w:sz w:val="17"/>
          <w:szCs w:val="17"/>
          <w:color w:val="0000EE"/>
        </w:rPr>
      </w:pPr>
    </w:p>
    <w:p>
      <w:pPr>
        <w:jc w:val="center"/>
        <w:ind w:right="-19"/>
        <w:spacing w:after="0"/>
        <w:rPr>
          <w:sz w:val="20"/>
          <w:szCs w:val="20"/>
          <w:color w:val="auto"/>
        </w:rPr>
      </w:pPr>
      <w:r>
        <w:rPr>
          <w:rFonts w:ascii="Arial" w:cs="Arial" w:eastAsia="Arial" w:hAnsi="Arial"/>
          <w:sz w:val="18"/>
          <w:szCs w:val="18"/>
          <w:color w:val="32406B"/>
        </w:rPr>
        <w:t>S-57</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248920</wp:posOffset>
            </wp:positionV>
            <wp:extent cx="1440180" cy="3340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144018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002D73"/>
        </w:rPr>
        <w:t>$250,000,000</w:t>
      </w: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02D73"/>
        </w:rPr>
        <w:t>Common Stock</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02D73"/>
        </w:rPr>
        <w:t>Preferred Stock</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02D73"/>
        </w:rPr>
        <w:t>Debt Securities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02D73"/>
        </w:rPr>
        <w:t>Warrants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02D73"/>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311150</wp:posOffset>
            </wp:positionV>
            <wp:extent cx="1474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002D73"/>
        </w:rPr>
        <w:t>We may from time to time issue, in one or more series or classes, up to $250,000,000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and any related free writing prospectus.</w:t>
      </w:r>
    </w:p>
    <w:p>
      <w:pPr>
        <w:spacing w:after="0" w:line="25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002D73"/>
        </w:rPr>
        <w:t>We may offer these securities separately or together in units. Each time we sell securities described herein, we will provide prospective investors with a supplement to this prospectus that will specify the terms of the securities being offered. We may sell these securities to or through underwriters or dealers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26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002D73"/>
        </w:rPr>
        <w:t>Our common stock is listed on The Nasdaq Global Select Market under the symbol “AVRO.” On December 19, 2019, the closing price for our common stock, as reported on The Nasdaq Global Select Market, was $20.08 per share. Our principal executive offices are located at One Kendall Square, Building 300, Suite 201, 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288290</wp:posOffset>
            </wp:positionV>
            <wp:extent cx="1474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spacing w:after="0" w:line="239" w:lineRule="auto"/>
        <w:rPr>
          <w:rFonts w:ascii="Arial" w:cs="Arial" w:eastAsia="Arial" w:hAnsi="Arial"/>
          <w:sz w:val="22"/>
          <w:szCs w:val="22"/>
          <w:b w:val="1"/>
          <w:bCs w:val="1"/>
          <w:color w:val="002D73"/>
        </w:rPr>
      </w:pPr>
      <w:r>
        <w:rPr>
          <w:rFonts w:ascii="Arial" w:cs="Arial" w:eastAsia="Arial" w:hAnsi="Arial"/>
          <w:sz w:val="22"/>
          <w:szCs w:val="22"/>
          <w:b w:val="1"/>
          <w:bCs w:val="1"/>
          <w:color w:val="002D73"/>
        </w:rPr>
        <w:t>Investing in our securities involves a high degree of risk. You should review carefully the risks and uncertainties described under the heading “</w:t>
      </w:r>
      <w:hyperlink w:anchor="page6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002D73"/>
        </w:rPr>
        <w:t>” contained in this prospectus beginning on page 2 and any applicable prospectus supplement, and under similar headings in the other documents that are incorporated by reference into this prospectus.</w:t>
      </w:r>
    </w:p>
    <w:p>
      <w:pPr>
        <w:spacing w:after="0" w:line="30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002D73"/>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02D73"/>
        </w:rPr>
        <w:t>The date of this Prospectus is January 14, 2020</w:t>
      </w:r>
    </w:p>
    <w:p>
      <w:pPr>
        <w:sectPr>
          <w:pgSz w:w="11900" w:h="16838" w:orient="portrait"/>
          <w:cols w:equalWidth="0" w:num="1">
            <w:col w:w="11060"/>
          </w:cols>
          <w:pgMar w:left="32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02D73"/>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002D73"/>
              </w:rPr>
              <w:t>Page</w:t>
            </w:r>
          </w:p>
        </w:tc>
      </w:tr>
      <w:tr>
        <w:trPr>
          <w:trHeight w:val="269"/>
        </w:trPr>
        <w:tc>
          <w:tcPr>
            <w:tcW w:w="850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ABOUT THIS PROSPECTUS</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1</w:t>
            </w:r>
          </w:p>
        </w:tc>
      </w:tr>
      <w:tr>
        <w:trPr>
          <w:trHeight w:val="283"/>
        </w:trPr>
        <w:tc>
          <w:tcPr>
            <w:tcW w:w="850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RISK FACTORS</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2</w:t>
            </w:r>
          </w:p>
        </w:tc>
      </w:tr>
      <w:tr>
        <w:trPr>
          <w:trHeight w:val="283"/>
        </w:trPr>
        <w:tc>
          <w:tcPr>
            <w:tcW w:w="850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CAUTIONARY STATEMENT REGARDING FORWARD-LOOKING STATEMENTS</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3</w:t>
            </w:r>
          </w:p>
        </w:tc>
      </w:tr>
      <w:tr>
        <w:trPr>
          <w:trHeight w:val="283"/>
        </w:trPr>
        <w:tc>
          <w:tcPr>
            <w:tcW w:w="85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THE COMPANY</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5</w:t>
            </w:r>
          </w:p>
        </w:tc>
      </w:tr>
      <w:tr>
        <w:trPr>
          <w:trHeight w:val="283"/>
        </w:trPr>
        <w:tc>
          <w:tcPr>
            <w:tcW w:w="85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USE OF PROCEEDS</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8</w:t>
            </w:r>
          </w:p>
        </w:tc>
      </w:tr>
      <w:tr>
        <w:trPr>
          <w:trHeight w:val="284"/>
        </w:trPr>
        <w:tc>
          <w:tcPr>
            <w:tcW w:w="850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SECURITIES WE MAY OFFER</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9</w:t>
            </w:r>
          </w:p>
        </w:tc>
      </w:tr>
      <w:tr>
        <w:trPr>
          <w:trHeight w:val="283"/>
        </w:trPr>
        <w:tc>
          <w:tcPr>
            <w:tcW w:w="850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DESCRIPTION OF CAPITAL STOCK</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10</w:t>
            </w:r>
          </w:p>
        </w:tc>
      </w:tr>
      <w:tr>
        <w:trPr>
          <w:trHeight w:val="283"/>
        </w:trPr>
        <w:tc>
          <w:tcPr>
            <w:tcW w:w="850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DESCRIPTION OF DEBT SECURITIES</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16</w:t>
            </w:r>
          </w:p>
        </w:tc>
      </w:tr>
      <w:tr>
        <w:trPr>
          <w:trHeight w:val="283"/>
        </w:trPr>
        <w:tc>
          <w:tcPr>
            <w:tcW w:w="850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DESCRIPTION OF WARRANTS</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24</w:t>
            </w:r>
          </w:p>
        </w:tc>
      </w:tr>
      <w:tr>
        <w:trPr>
          <w:trHeight w:val="283"/>
        </w:trPr>
        <w:tc>
          <w:tcPr>
            <w:tcW w:w="850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DESCRIPTION OF UNITS</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25</w:t>
            </w:r>
          </w:p>
        </w:tc>
      </w:tr>
      <w:tr>
        <w:trPr>
          <w:trHeight w:val="283"/>
        </w:trPr>
        <w:tc>
          <w:tcPr>
            <w:tcW w:w="850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PLAN OF DISTRIBUTION</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28</w:t>
            </w:r>
          </w:p>
        </w:tc>
      </w:tr>
      <w:tr>
        <w:trPr>
          <w:trHeight w:val="284"/>
        </w:trPr>
        <w:tc>
          <w:tcPr>
            <w:tcW w:w="850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LEGAL MATTERS</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31</w:t>
            </w:r>
          </w:p>
        </w:tc>
      </w:tr>
      <w:tr>
        <w:trPr>
          <w:trHeight w:val="283"/>
        </w:trPr>
        <w:tc>
          <w:tcPr>
            <w:tcW w:w="850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EXPERTS</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31</w:t>
            </w:r>
          </w:p>
        </w:tc>
      </w:tr>
      <w:tr>
        <w:trPr>
          <w:trHeight w:val="283"/>
        </w:trPr>
        <w:tc>
          <w:tcPr>
            <w:tcW w:w="850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WHERE YOU CAN FIND MORE INFORMATION</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31</w:t>
            </w:r>
          </w:p>
        </w:tc>
      </w:tr>
      <w:tr>
        <w:trPr>
          <w:trHeight w:val="283"/>
        </w:trPr>
        <w:tc>
          <w:tcPr>
            <w:tcW w:w="850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INCORPORATION BY REFERENCE</w:t>
              </w:r>
            </w:hyperlink>
          </w:p>
        </w:tc>
        <w:tc>
          <w:tcPr>
            <w:tcW w:w="2460" w:type="dxa"/>
            <w:vAlign w:val="bottom"/>
          </w:tcPr>
          <w:p>
            <w:pPr>
              <w:jc w:val="right"/>
              <w:spacing w:after="0"/>
              <w:rPr>
                <w:sz w:val="20"/>
                <w:szCs w:val="20"/>
                <w:color w:val="auto"/>
              </w:rPr>
            </w:pPr>
            <w:r>
              <w:rPr>
                <w:rFonts w:ascii="Arial" w:cs="Arial" w:eastAsia="Arial" w:hAnsi="Arial"/>
                <w:sz w:val="18"/>
                <w:szCs w:val="18"/>
                <w:color w:val="002D73"/>
              </w:rPr>
              <w:t>32</w:t>
            </w:r>
          </w:p>
        </w:tc>
      </w:tr>
    </w:tbl>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02D73"/>
        </w:rPr>
        <w:t>ABOUT THIS PROSPECTUS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002D73"/>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002D73"/>
        </w:rPr>
        <w:t>This prospectus provides you with a general description of the securities we may offer. Each time we sell securities described herein,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31 of this prospectus.</w:t>
      </w:r>
    </w:p>
    <w:p>
      <w:pPr>
        <w:spacing w:after="0" w:line="15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002D73"/>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3" w:lineRule="exact"/>
        <w:rPr>
          <w:sz w:val="20"/>
          <w:szCs w:val="20"/>
          <w:color w:val="auto"/>
        </w:rPr>
      </w:pPr>
    </w:p>
    <w:p>
      <w:pPr>
        <w:ind w:left="120" w:right="940" w:firstLine="440"/>
        <w:spacing w:after="0" w:line="282" w:lineRule="auto"/>
        <w:rPr>
          <w:sz w:val="20"/>
          <w:szCs w:val="20"/>
          <w:color w:val="auto"/>
        </w:rPr>
      </w:pPr>
      <w:r>
        <w:rPr>
          <w:rFonts w:ascii="Arial" w:cs="Arial" w:eastAsia="Arial" w:hAnsi="Arial"/>
          <w:sz w:val="18"/>
          <w:szCs w:val="18"/>
          <w:b w:val="1"/>
          <w:bCs w:val="1"/>
          <w:color w:val="002D73"/>
        </w:rPr>
        <w:t>THIS PROSPECTUS MAY NOT BE USED TO OFFER AND SELL SECURITIES UNLESS IT IS ACCOMPANIED BY AN ADDITIONAL PROSPECTUS OR A PROSPECTUS SUPPLEMENT.</w:t>
      </w:r>
    </w:p>
    <w:p>
      <w:pPr>
        <w:spacing w:after="0" w:line="16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002D73"/>
        </w:rPr>
        <w:t>As used in this prospectus, unless the context otherwise requires, references to the “company,” “we,” “us” and “our” refer to AVROBIO, Inc. and, where appropriate, our subsidiaries.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2D73"/>
        </w:rPr>
        <w:t>1</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02D73"/>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002D73"/>
        </w:rPr>
        <w:t>Investing in our securities involves a high degree of risk. You should carefully consider the risks referenced below and described in the documents incorporated by reference in this prospectus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or by other risks that are not currently known to us.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2018, which is on file with the SEC and is incorporated herein by reference, (ii) our Quarterly Reports on Form 10-Q for the quarters ended March 31, 2019, June 30, 2019 and September 30, 2019, which are on file with the SEC and are incorporated herein by reference and (iii) other documents we file with the SEC that are deemed incorporated by reference into this prospectus.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002D73"/>
        </w:rPr>
        <w:t>2</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02D73"/>
        </w:rPr>
        <w:t>CAUTIONARY STATEMENT REGARDING FORWARD-LOOKING STATEMENTS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002D73"/>
        </w:rPr>
        <w:t>This prospectus, including the documents that we incorporate by reference, contains forward-looking statements within the meaning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002D73"/>
        </w:rPr>
        <w:t>Section 27A of the Securities Act of 1933, as amended, or the Securities Act, and Section 21E of the Securities Exchange Act of 1934, as amended,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002D73"/>
        </w:rPr>
        <w:t>the Exchange Act. Any statements about our expectations, beliefs, plans, objectives, assumptions or future events or performance are not historical facts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002D73"/>
        </w:rPr>
        <w:t>and may be forward-looking. These statements are often, but are not always, made through the use of words or phrases such as “may,” “will,” “could,”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002D73"/>
        </w:rPr>
        <w:t>“should,” “expects,” “intends,” “plans,” “anticipates,” “believes,” “estimates,” “predicts,” “projects,” “potential,” “continue,” and similar expressions,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002D73"/>
        </w:rPr>
        <w:t>the negative of these terms, or similar expressions. Accordingly, these statements involve estimates, assumptions, risks and uncertainties which could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002D73"/>
        </w:rPr>
        <w:t>cause actual results to differ materially from those expressed in them. Any forward-looking statements are qualified in their entirety by reference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002D73"/>
        </w:rPr>
        <w:t>factors discussed throughout this prospectus, and in particular those factors referenced in the section “Risk Factors.”</w:t>
      </w:r>
    </w:p>
    <w:p>
      <w:pPr>
        <w:spacing w:after="0" w:line="211"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002D73"/>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93" w:lineRule="exact"/>
        <w:rPr>
          <w:sz w:val="20"/>
          <w:szCs w:val="20"/>
          <w:color w:val="auto"/>
        </w:rPr>
      </w:pPr>
    </w:p>
    <w:p>
      <w:pPr>
        <w:ind w:left="1080" w:hanging="424"/>
        <w:spacing w:after="0" w:line="263" w:lineRule="auto"/>
        <w:tabs>
          <w:tab w:leader="none" w:pos="1080" w:val="left"/>
        </w:tabs>
        <w:numPr>
          <w:ilvl w:val="0"/>
          <w:numId w:val="58"/>
        </w:numPr>
        <w:rPr>
          <w:rFonts w:ascii="Arial" w:cs="Arial" w:eastAsia="Arial" w:hAnsi="Arial"/>
          <w:sz w:val="18"/>
          <w:szCs w:val="18"/>
          <w:color w:val="002D73"/>
        </w:rPr>
      </w:pPr>
      <w:r>
        <w:rPr>
          <w:rFonts w:ascii="Arial" w:cs="Arial" w:eastAsia="Arial" w:hAnsi="Arial"/>
          <w:sz w:val="18"/>
          <w:szCs w:val="18"/>
          <w:color w:val="002D73"/>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9" w:lineRule="exact"/>
        <w:rPr>
          <w:rFonts w:ascii="Arial" w:cs="Arial" w:eastAsia="Arial" w:hAnsi="Arial"/>
          <w:sz w:val="18"/>
          <w:szCs w:val="18"/>
          <w:color w:val="002D73"/>
        </w:rPr>
      </w:pPr>
    </w:p>
    <w:p>
      <w:pPr>
        <w:ind w:left="1080" w:right="100" w:hanging="424"/>
        <w:spacing w:after="0" w:line="342" w:lineRule="auto"/>
        <w:tabs>
          <w:tab w:leader="none" w:pos="1080" w:val="left"/>
        </w:tabs>
        <w:numPr>
          <w:ilvl w:val="0"/>
          <w:numId w:val="58"/>
        </w:numPr>
        <w:rPr>
          <w:rFonts w:ascii="Arial" w:cs="Arial" w:eastAsia="Arial" w:hAnsi="Arial"/>
          <w:sz w:val="16"/>
          <w:szCs w:val="16"/>
          <w:color w:val="002D73"/>
        </w:rPr>
      </w:pPr>
      <w:r>
        <w:rPr>
          <w:rFonts w:ascii="Arial" w:cs="Arial" w:eastAsia="Arial" w:hAnsi="Arial"/>
          <w:sz w:val="16"/>
          <w:szCs w:val="16"/>
          <w:color w:val="002D73"/>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9" w:lineRule="exact"/>
        <w:rPr>
          <w:rFonts w:ascii="Arial" w:cs="Arial" w:eastAsia="Arial" w:hAnsi="Arial"/>
          <w:sz w:val="16"/>
          <w:szCs w:val="16"/>
          <w:color w:val="002D73"/>
        </w:rPr>
      </w:pPr>
    </w:p>
    <w:p>
      <w:pPr>
        <w:ind w:left="1080" w:hanging="424"/>
        <w:spacing w:after="0"/>
        <w:tabs>
          <w:tab w:leader="none" w:pos="1080" w:val="left"/>
        </w:tabs>
        <w:numPr>
          <w:ilvl w:val="0"/>
          <w:numId w:val="58"/>
        </w:numPr>
        <w:rPr>
          <w:rFonts w:ascii="Arial" w:cs="Arial" w:eastAsia="Arial" w:hAnsi="Arial"/>
          <w:sz w:val="18"/>
          <w:szCs w:val="18"/>
          <w:color w:val="002D73"/>
        </w:rPr>
      </w:pPr>
      <w:r>
        <w:rPr>
          <w:rFonts w:ascii="Arial" w:cs="Arial" w:eastAsia="Arial" w:hAnsi="Arial"/>
          <w:sz w:val="18"/>
          <w:szCs w:val="18"/>
          <w:color w:val="002D73"/>
        </w:rPr>
        <w:t>the timing, scope or likelihood of regulatory filings and approvals;</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58"/>
        </w:numPr>
        <w:rPr>
          <w:rFonts w:ascii="Arial" w:cs="Arial" w:eastAsia="Arial" w:hAnsi="Arial"/>
          <w:sz w:val="18"/>
          <w:szCs w:val="18"/>
          <w:color w:val="002D73"/>
        </w:rPr>
      </w:pPr>
      <w:r>
        <w:rPr>
          <w:rFonts w:ascii="Arial" w:cs="Arial" w:eastAsia="Arial" w:hAnsi="Arial"/>
          <w:sz w:val="18"/>
          <w:szCs w:val="18"/>
          <w:color w:val="002D73"/>
        </w:rPr>
        <w:t>our ability to develop and advance product candidates into, and successfully complete, clinical studies;</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58"/>
        </w:numPr>
        <w:rPr>
          <w:rFonts w:ascii="Arial" w:cs="Arial" w:eastAsia="Arial" w:hAnsi="Arial"/>
          <w:sz w:val="18"/>
          <w:szCs w:val="18"/>
          <w:color w:val="002D73"/>
        </w:rPr>
      </w:pPr>
      <w:r>
        <w:rPr>
          <w:rFonts w:ascii="Arial" w:cs="Arial" w:eastAsia="Arial" w:hAnsi="Arial"/>
          <w:sz w:val="18"/>
          <w:szCs w:val="18"/>
          <w:color w:val="002D73"/>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002D73"/>
        </w:rPr>
      </w:pPr>
    </w:p>
    <w:p>
      <w:pPr>
        <w:ind w:left="1080" w:right="20" w:hanging="424"/>
        <w:spacing w:after="0" w:line="263" w:lineRule="auto"/>
        <w:tabs>
          <w:tab w:leader="none" w:pos="1080" w:val="left"/>
        </w:tabs>
        <w:numPr>
          <w:ilvl w:val="0"/>
          <w:numId w:val="58"/>
        </w:numPr>
        <w:rPr>
          <w:rFonts w:ascii="Arial" w:cs="Arial" w:eastAsia="Arial" w:hAnsi="Arial"/>
          <w:sz w:val="18"/>
          <w:szCs w:val="18"/>
          <w:color w:val="002D73"/>
        </w:rPr>
      </w:pPr>
      <w:r>
        <w:rPr>
          <w:rFonts w:ascii="Arial" w:cs="Arial" w:eastAsia="Arial" w:hAnsi="Arial"/>
          <w:sz w:val="18"/>
          <w:szCs w:val="18"/>
          <w:color w:val="002D73"/>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89" w:lineRule="exact"/>
        <w:rPr>
          <w:rFonts w:ascii="Arial" w:cs="Arial" w:eastAsia="Arial" w:hAnsi="Arial"/>
          <w:sz w:val="18"/>
          <w:szCs w:val="18"/>
          <w:color w:val="002D73"/>
        </w:rPr>
      </w:pPr>
    </w:p>
    <w:p>
      <w:pPr>
        <w:ind w:left="1080" w:hanging="424"/>
        <w:spacing w:after="0"/>
        <w:tabs>
          <w:tab w:leader="none" w:pos="1080" w:val="left"/>
        </w:tabs>
        <w:numPr>
          <w:ilvl w:val="0"/>
          <w:numId w:val="58"/>
        </w:numPr>
        <w:rPr>
          <w:rFonts w:ascii="Arial" w:cs="Arial" w:eastAsia="Arial" w:hAnsi="Arial"/>
          <w:sz w:val="18"/>
          <w:szCs w:val="18"/>
          <w:color w:val="002D73"/>
        </w:rPr>
      </w:pPr>
      <w:r>
        <w:rPr>
          <w:rFonts w:ascii="Arial" w:cs="Arial" w:eastAsia="Arial" w:hAnsi="Arial"/>
          <w:sz w:val="18"/>
          <w:szCs w:val="18"/>
          <w:color w:val="002D73"/>
        </w:rPr>
        <w:t>our commercialization, marketing and manufacturing capabilities and strategy;</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58"/>
        </w:numPr>
        <w:rPr>
          <w:rFonts w:ascii="Arial" w:cs="Arial" w:eastAsia="Arial" w:hAnsi="Arial"/>
          <w:sz w:val="18"/>
          <w:szCs w:val="18"/>
          <w:color w:val="002D73"/>
        </w:rPr>
      </w:pPr>
      <w:r>
        <w:rPr>
          <w:rFonts w:ascii="Arial" w:cs="Arial" w:eastAsia="Arial" w:hAnsi="Arial"/>
          <w:sz w:val="18"/>
          <w:szCs w:val="18"/>
          <w:color w:val="002D73"/>
        </w:rPr>
        <w:t>the pricing and reimbursement of our product candidates, if approved;</w:t>
      </w:r>
    </w:p>
    <w:p>
      <w:pPr>
        <w:spacing w:after="0" w:line="130" w:lineRule="exact"/>
        <w:rPr>
          <w:rFonts w:ascii="Arial" w:cs="Arial" w:eastAsia="Arial" w:hAnsi="Arial"/>
          <w:sz w:val="18"/>
          <w:szCs w:val="18"/>
          <w:color w:val="002D73"/>
        </w:rPr>
      </w:pPr>
    </w:p>
    <w:p>
      <w:pPr>
        <w:ind w:left="1080" w:right="820" w:hanging="424"/>
        <w:spacing w:after="0" w:line="277" w:lineRule="auto"/>
        <w:tabs>
          <w:tab w:leader="none" w:pos="1080" w:val="left"/>
        </w:tabs>
        <w:numPr>
          <w:ilvl w:val="0"/>
          <w:numId w:val="58"/>
        </w:numPr>
        <w:rPr>
          <w:rFonts w:ascii="Arial" w:cs="Arial" w:eastAsia="Arial" w:hAnsi="Arial"/>
          <w:sz w:val="18"/>
          <w:szCs w:val="18"/>
          <w:color w:val="002D73"/>
        </w:rPr>
      </w:pPr>
      <w:r>
        <w:rPr>
          <w:rFonts w:ascii="Arial" w:cs="Arial" w:eastAsia="Arial" w:hAnsi="Arial"/>
          <w:sz w:val="18"/>
          <w:szCs w:val="18"/>
          <w:color w:val="002D73"/>
        </w:rPr>
        <w:t>the scalability and commercial viability of our manufacturing methods and processes, including our use of cryopreservation and implementation of a closed, automated manufacturing system;</w:t>
      </w:r>
    </w:p>
    <w:p>
      <w:pPr>
        <w:spacing w:after="0" w:line="75" w:lineRule="exact"/>
        <w:rPr>
          <w:rFonts w:ascii="Arial" w:cs="Arial" w:eastAsia="Arial" w:hAnsi="Arial"/>
          <w:sz w:val="18"/>
          <w:szCs w:val="18"/>
          <w:color w:val="002D73"/>
        </w:rPr>
      </w:pPr>
    </w:p>
    <w:p>
      <w:pPr>
        <w:ind w:left="1080" w:hanging="424"/>
        <w:spacing w:after="0"/>
        <w:tabs>
          <w:tab w:leader="none" w:pos="1080" w:val="left"/>
        </w:tabs>
        <w:numPr>
          <w:ilvl w:val="0"/>
          <w:numId w:val="58"/>
        </w:numPr>
        <w:rPr>
          <w:rFonts w:ascii="Arial" w:cs="Arial" w:eastAsia="Arial" w:hAnsi="Arial"/>
          <w:sz w:val="17"/>
          <w:szCs w:val="17"/>
          <w:color w:val="002D73"/>
        </w:rPr>
      </w:pPr>
      <w:r>
        <w:rPr>
          <w:rFonts w:ascii="Arial" w:cs="Arial" w:eastAsia="Arial" w:hAnsi="Arial"/>
          <w:sz w:val="17"/>
          <w:szCs w:val="17"/>
          <w:color w:val="002D73"/>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002D73"/>
        </w:rPr>
      </w:pPr>
    </w:p>
    <w:p>
      <w:pPr>
        <w:ind w:left="1080" w:hanging="424"/>
        <w:spacing w:after="0"/>
        <w:tabs>
          <w:tab w:leader="none" w:pos="1080" w:val="left"/>
        </w:tabs>
        <w:numPr>
          <w:ilvl w:val="0"/>
          <w:numId w:val="58"/>
        </w:numPr>
        <w:rPr>
          <w:rFonts w:ascii="Arial" w:cs="Arial" w:eastAsia="Arial" w:hAnsi="Arial"/>
          <w:sz w:val="18"/>
          <w:szCs w:val="18"/>
          <w:color w:val="002D73"/>
        </w:rPr>
      </w:pPr>
      <w:r>
        <w:rPr>
          <w:rFonts w:ascii="Arial" w:cs="Arial" w:eastAsia="Arial" w:hAnsi="Arial"/>
          <w:sz w:val="18"/>
          <w:szCs w:val="18"/>
          <w:color w:val="002D73"/>
        </w:rPr>
        <w:t>our ability to establish or maintain collaborations or strategic relationships or obtain additional funding;</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58"/>
        </w:numPr>
        <w:rPr>
          <w:rFonts w:ascii="Arial" w:cs="Arial" w:eastAsia="Arial" w:hAnsi="Arial"/>
          <w:sz w:val="18"/>
          <w:szCs w:val="18"/>
          <w:color w:val="002D73"/>
        </w:rPr>
      </w:pPr>
      <w:r>
        <w:rPr>
          <w:rFonts w:ascii="Arial" w:cs="Arial" w:eastAsia="Arial" w:hAnsi="Arial"/>
          <w:sz w:val="18"/>
          <w:szCs w:val="18"/>
          <w:color w:val="002D73"/>
        </w:rPr>
        <w:t>our competitive position;</w:t>
      </w:r>
    </w:p>
    <w:p>
      <w:pPr>
        <w:spacing w:after="0" w:line="130" w:lineRule="exact"/>
        <w:rPr>
          <w:rFonts w:ascii="Arial" w:cs="Arial" w:eastAsia="Arial" w:hAnsi="Arial"/>
          <w:sz w:val="18"/>
          <w:szCs w:val="18"/>
          <w:color w:val="002D73"/>
        </w:rPr>
      </w:pPr>
    </w:p>
    <w:p>
      <w:pPr>
        <w:ind w:left="1080" w:right="440" w:hanging="424"/>
        <w:spacing w:after="0" w:line="277" w:lineRule="auto"/>
        <w:tabs>
          <w:tab w:leader="none" w:pos="1080" w:val="left"/>
        </w:tabs>
        <w:numPr>
          <w:ilvl w:val="0"/>
          <w:numId w:val="58"/>
        </w:numPr>
        <w:rPr>
          <w:rFonts w:ascii="Arial" w:cs="Arial" w:eastAsia="Arial" w:hAnsi="Arial"/>
          <w:sz w:val="18"/>
          <w:szCs w:val="18"/>
          <w:color w:val="002D73"/>
        </w:rPr>
      </w:pPr>
      <w:r>
        <w:rPr>
          <w:rFonts w:ascii="Arial" w:cs="Arial" w:eastAsia="Arial" w:hAnsi="Arial"/>
          <w:sz w:val="18"/>
          <w:szCs w:val="18"/>
          <w:color w:val="002D73"/>
        </w:rPr>
        <w:t>the scope of protection we and/or our licensors are able to establish and maintain for intellectual property rights covering our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2D73"/>
        </w:rPr>
        <w:t>3</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002D73"/>
        </w:rPr>
      </w:pPr>
      <w:r>
        <w:rPr>
          <w:rFonts w:ascii="Arial" w:cs="Arial" w:eastAsia="Arial" w:hAnsi="Arial"/>
          <w:sz w:val="18"/>
          <w:szCs w:val="18"/>
          <w:color w:val="002D73"/>
        </w:rPr>
        <w:t>our financial performance;</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59"/>
        </w:numPr>
        <w:rPr>
          <w:rFonts w:ascii="Arial" w:cs="Arial" w:eastAsia="Arial" w:hAnsi="Arial"/>
          <w:sz w:val="17"/>
          <w:szCs w:val="17"/>
          <w:color w:val="002D73"/>
        </w:rPr>
      </w:pPr>
      <w:r>
        <w:rPr>
          <w:rFonts w:ascii="Arial" w:cs="Arial" w:eastAsia="Arial" w:hAnsi="Arial"/>
          <w:sz w:val="17"/>
          <w:szCs w:val="17"/>
          <w:color w:val="002D73"/>
        </w:rPr>
        <w:t>our ability to retain the continued service of our key professionals and to identify, hire and retain additional qualified professionals;</w:t>
      </w:r>
    </w:p>
    <w:p>
      <w:pPr>
        <w:spacing w:after="0" w:line="142" w:lineRule="exact"/>
        <w:rPr>
          <w:rFonts w:ascii="Arial" w:cs="Arial" w:eastAsia="Arial" w:hAnsi="Arial"/>
          <w:sz w:val="17"/>
          <w:szCs w:val="17"/>
          <w:color w:val="002D73"/>
        </w:rPr>
      </w:pPr>
    </w:p>
    <w:p>
      <w:pPr>
        <w:ind w:left="1080" w:hanging="424"/>
        <w:spacing w:after="0"/>
        <w:tabs>
          <w:tab w:leader="none" w:pos="1080" w:val="left"/>
        </w:tabs>
        <w:numPr>
          <w:ilvl w:val="0"/>
          <w:numId w:val="59"/>
        </w:numPr>
        <w:rPr>
          <w:rFonts w:ascii="Arial" w:cs="Arial" w:eastAsia="Arial" w:hAnsi="Arial"/>
          <w:sz w:val="18"/>
          <w:szCs w:val="18"/>
          <w:color w:val="002D73"/>
        </w:rPr>
      </w:pPr>
      <w:r>
        <w:rPr>
          <w:rFonts w:ascii="Arial" w:cs="Arial" w:eastAsia="Arial" w:hAnsi="Arial"/>
          <w:sz w:val="18"/>
          <w:szCs w:val="18"/>
          <w:color w:val="002D73"/>
        </w:rPr>
        <w:t>developments and projections relating to our competitors and our industry;</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59"/>
        </w:numPr>
        <w:rPr>
          <w:rFonts w:ascii="Arial" w:cs="Arial" w:eastAsia="Arial" w:hAnsi="Arial"/>
          <w:sz w:val="18"/>
          <w:szCs w:val="18"/>
          <w:color w:val="002D73"/>
        </w:rPr>
      </w:pPr>
      <w:r>
        <w:rPr>
          <w:rFonts w:ascii="Arial" w:cs="Arial" w:eastAsia="Arial" w:hAnsi="Arial"/>
          <w:sz w:val="18"/>
          <w:szCs w:val="18"/>
          <w:color w:val="002D73"/>
        </w:rPr>
        <w:t>our expectations related to the use of our cash reserves;</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59"/>
        </w:numPr>
        <w:rPr>
          <w:rFonts w:ascii="Arial" w:cs="Arial" w:eastAsia="Arial" w:hAnsi="Arial"/>
          <w:sz w:val="18"/>
          <w:szCs w:val="18"/>
          <w:color w:val="002D73"/>
        </w:rPr>
      </w:pPr>
      <w:r>
        <w:rPr>
          <w:rFonts w:ascii="Arial" w:cs="Arial" w:eastAsia="Arial" w:hAnsi="Arial"/>
          <w:sz w:val="18"/>
          <w:szCs w:val="18"/>
          <w:color w:val="002D73"/>
        </w:rPr>
        <w:t>our estimates regarding expenses, future revenue, capital requirements and needs for additional financing;</w:t>
      </w:r>
    </w:p>
    <w:p>
      <w:pPr>
        <w:spacing w:after="0" w:line="130" w:lineRule="exact"/>
        <w:rPr>
          <w:rFonts w:ascii="Arial" w:cs="Arial" w:eastAsia="Arial" w:hAnsi="Arial"/>
          <w:sz w:val="18"/>
          <w:szCs w:val="18"/>
          <w:color w:val="002D73"/>
        </w:rPr>
      </w:pPr>
    </w:p>
    <w:p>
      <w:pPr>
        <w:ind w:left="1080" w:right="220" w:hanging="424"/>
        <w:spacing w:after="0" w:line="277" w:lineRule="auto"/>
        <w:tabs>
          <w:tab w:leader="none" w:pos="1080" w:val="left"/>
        </w:tabs>
        <w:numPr>
          <w:ilvl w:val="0"/>
          <w:numId w:val="59"/>
        </w:numPr>
        <w:rPr>
          <w:rFonts w:ascii="Arial" w:cs="Arial" w:eastAsia="Arial" w:hAnsi="Arial"/>
          <w:sz w:val="18"/>
          <w:szCs w:val="18"/>
          <w:color w:val="002D73"/>
        </w:rPr>
      </w:pPr>
      <w:r>
        <w:rPr>
          <w:rFonts w:ascii="Arial" w:cs="Arial" w:eastAsia="Arial" w:hAnsi="Arial"/>
          <w:sz w:val="18"/>
          <w:szCs w:val="18"/>
          <w:color w:val="002D73"/>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002D73"/>
        </w:rPr>
      </w:pPr>
    </w:p>
    <w:p>
      <w:pPr>
        <w:ind w:left="1080" w:hanging="424"/>
        <w:spacing w:after="0"/>
        <w:tabs>
          <w:tab w:leader="none" w:pos="1080" w:val="left"/>
        </w:tabs>
        <w:numPr>
          <w:ilvl w:val="0"/>
          <w:numId w:val="59"/>
        </w:numPr>
        <w:rPr>
          <w:rFonts w:ascii="Arial" w:cs="Arial" w:eastAsia="Arial" w:hAnsi="Arial"/>
          <w:sz w:val="18"/>
          <w:szCs w:val="18"/>
          <w:color w:val="002D73"/>
        </w:rPr>
      </w:pPr>
      <w:r>
        <w:rPr>
          <w:rFonts w:ascii="Arial" w:cs="Arial" w:eastAsia="Arial" w:hAnsi="Arial"/>
          <w:sz w:val="18"/>
          <w:szCs w:val="18"/>
          <w:color w:val="002D73"/>
        </w:rPr>
        <w:t>the impact of laws and regulations, including without limitation recently enacted tax reform legislation;</w:t>
      </w:r>
    </w:p>
    <w:p>
      <w:pPr>
        <w:spacing w:after="0" w:line="130" w:lineRule="exact"/>
        <w:rPr>
          <w:rFonts w:ascii="Arial" w:cs="Arial" w:eastAsia="Arial" w:hAnsi="Arial"/>
          <w:sz w:val="18"/>
          <w:szCs w:val="18"/>
          <w:color w:val="002D73"/>
        </w:rPr>
      </w:pPr>
    </w:p>
    <w:p>
      <w:pPr>
        <w:ind w:left="1080" w:right="120" w:hanging="424"/>
        <w:spacing w:after="0" w:line="277" w:lineRule="auto"/>
        <w:tabs>
          <w:tab w:leader="none" w:pos="1080" w:val="left"/>
        </w:tabs>
        <w:numPr>
          <w:ilvl w:val="0"/>
          <w:numId w:val="59"/>
        </w:numPr>
        <w:rPr>
          <w:rFonts w:ascii="Arial" w:cs="Arial" w:eastAsia="Arial" w:hAnsi="Arial"/>
          <w:sz w:val="18"/>
          <w:szCs w:val="18"/>
          <w:color w:val="002D73"/>
        </w:rPr>
      </w:pPr>
      <w:r>
        <w:rPr>
          <w:rFonts w:ascii="Arial" w:cs="Arial" w:eastAsia="Arial" w:hAnsi="Arial"/>
          <w:sz w:val="18"/>
          <w:szCs w:val="18"/>
          <w:color w:val="002D73"/>
        </w:rPr>
        <w:t>our expectations regarding the time during which we are an emerging growth company under the Jumpstart Our Business Startups Act of 2012, as amended, or the JOBS Act; and</w:t>
      </w:r>
    </w:p>
    <w:p>
      <w:pPr>
        <w:spacing w:after="0" w:line="75" w:lineRule="exact"/>
        <w:rPr>
          <w:rFonts w:ascii="Arial" w:cs="Arial" w:eastAsia="Arial" w:hAnsi="Arial"/>
          <w:sz w:val="18"/>
          <w:szCs w:val="18"/>
          <w:color w:val="002D73"/>
        </w:rPr>
      </w:pPr>
    </w:p>
    <w:p>
      <w:pPr>
        <w:ind w:left="1080" w:hanging="424"/>
        <w:spacing w:after="0"/>
        <w:tabs>
          <w:tab w:leader="none" w:pos="1080" w:val="left"/>
        </w:tabs>
        <w:numPr>
          <w:ilvl w:val="0"/>
          <w:numId w:val="59"/>
        </w:numPr>
        <w:rPr>
          <w:rFonts w:ascii="Arial" w:cs="Arial" w:eastAsia="Arial" w:hAnsi="Arial"/>
          <w:sz w:val="18"/>
          <w:szCs w:val="18"/>
          <w:color w:val="002D73"/>
        </w:rPr>
      </w:pPr>
      <w:r>
        <w:rPr>
          <w:rFonts w:ascii="Arial" w:cs="Arial" w:eastAsia="Arial" w:hAnsi="Arial"/>
          <w:sz w:val="18"/>
          <w:szCs w:val="18"/>
          <w:color w:val="002D73"/>
        </w:rPr>
        <w:t>other risks and uncertainties, including those listed under the caption “Risk Factors”</w:t>
      </w:r>
    </w:p>
    <w:p>
      <w:pPr>
        <w:spacing w:after="0" w:line="22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002D73"/>
        </w:rPr>
        <w:t>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6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002D73"/>
        </w:rPr>
        <w:t>You should read this prospectus and the documents that we incorporate by reference in this prospectus completely and with the understanding that our actual future results may be materially different from what we expect. The forward-looking statements in this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2D73"/>
        </w:rPr>
        <w:t>4</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02D73"/>
        </w:rPr>
        <w:t>THE COMPANY</w:t>
      </w:r>
    </w:p>
    <w:p>
      <w:pPr>
        <w:spacing w:after="0" w:line="229"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002D73"/>
        </w:rPr>
        <w:t xml:space="preserve">We are a clinical stage gene therapy company focused on developing potentially curative </w:t>
      </w:r>
      <w:r>
        <w:rPr>
          <w:rFonts w:ascii="Arial" w:cs="Arial" w:eastAsia="Arial" w:hAnsi="Arial"/>
          <w:sz w:val="16"/>
          <w:szCs w:val="16"/>
          <w:i w:val="1"/>
          <w:iCs w:val="1"/>
          <w:color w:val="002D73"/>
        </w:rPr>
        <w:t>ex vivo</w:t>
      </w:r>
      <w:r>
        <w:rPr>
          <w:rFonts w:ascii="Arial" w:cs="Arial" w:eastAsia="Arial" w:hAnsi="Arial"/>
          <w:sz w:val="16"/>
          <w:szCs w:val="16"/>
          <w:color w:val="002D73"/>
        </w:rPr>
        <w:t xml:space="preserve"> lentiviral-based gene therapies to treat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which today are primarily managed with enzyme replacement therapies, or ERTs. These lysosomal storage diseases have well-understood biologies, identified patient populations, established standards of care yet with significant unmet needs, and represent large market opportunities with approximately $4.0 billion in worldwide net sales in 2018.</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002D73"/>
        </w:rPr>
        <w:t xml:space="preserve">Since its first clinical use in 2003, lentiviral-based gene therapy has been observed to be well-tolerated in third parties’ clinical trials for rare diseases such as beta thalassemia, adrenoleukodystrophy, or ALD, metachromatic leukodystrophy, or MLD, and ADA-SCID. The use of ex vivo lentiviral-based gene therapies was initially restricted primarily to the most acutely severe diseases where the risks of the typical requirement for ablating the patients’ bone marrow, which significantly impairs those patients’ immune systems, had a clinically justifiable risk/benefit profile due to the novelty of the approach and the severity of the diseases. To date, over 200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typically an inherent part of the </w:t>
      </w:r>
      <w:r>
        <w:rPr>
          <w:rFonts w:ascii="Arial" w:cs="Arial" w:eastAsia="Arial" w:hAnsi="Arial"/>
          <w:sz w:val="16"/>
          <w:szCs w:val="16"/>
          <w:i w:val="1"/>
          <w:iCs w:val="1"/>
          <w:color w:val="002D73"/>
        </w:rPr>
        <w:t>ex vivo</w:t>
      </w:r>
      <w:r>
        <w:rPr>
          <w:rFonts w:ascii="Arial" w:cs="Arial" w:eastAsia="Arial" w:hAnsi="Arial"/>
          <w:sz w:val="16"/>
          <w:szCs w:val="16"/>
          <w:color w:val="002D73"/>
        </w:rPr>
        <w:t xml:space="preserve"> gene therapy treatment procedure and is administered prior to the gene therapy. The conditioning regimen creates a risk of toxicity, which we believe can be managed through utilization of therapeutic drug monitoring, or TDM. We are refining our approach to conditioning to use a single-agent, myeloablative conditioning regimen administered in conjunction with TDM, which is designed to permit patients to receive appropriate levels of conditioning to promote long-term engraftment while seeking to lessen toxicity. Such an approach could potentially allow the conditioning regimen to be performed during a limited hospital stay or potentially through an outpatient procedure, on a case-by-case basis as may be directed by the patient’s physician. We believe our approach, utilizing a single myeloablative conditioning agent, coupled with TDM, has the potential to extend the reach of our gene therapies to a broad range of diseases as first-line therapies. Our goal is to broaden the applicability of lentiviral-based gene therapy by initially targeting diseases with tractable gene mutations, well-understood biology and that benefit from the sustained systemic delivery of an active protein.</w:t>
      </w:r>
    </w:p>
    <w:p>
      <w:pPr>
        <w:spacing w:after="0" w:line="16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002D73"/>
        </w:rPr>
        <w:t>We are initially targeting rare diseases in which the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their characteristics, most ERTs typically remain in the plasma only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002D73"/>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providing significant health economic advantages.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002D73"/>
        </w:rPr>
        <w:t>5</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plato: Our Commercial-Scale Platform</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002D73"/>
        </w:rPr>
        <w:t>Since forming our company, we have centered our efforts on developing first-line gene therapies, based on preceding academic approaches. While we believe these approaches have been adequate for our development programs to date, key to our strategy is to continuously improve our technology and production processes and to leverage these improvements across our gene therapies. We have designed plato</w:t>
      </w:r>
      <w:r>
        <w:rPr>
          <w:rFonts w:ascii="Arial" w:cs="Arial" w:eastAsia="Arial" w:hAnsi="Arial"/>
          <w:sz w:val="14"/>
          <w:szCs w:val="14"/>
          <w:color w:val="002D73"/>
        </w:rPr>
        <w:t>™</w:t>
      </w:r>
      <w:r>
        <w:rPr>
          <w:rFonts w:ascii="Arial" w:cs="Arial" w:eastAsia="Arial" w:hAnsi="Arial"/>
          <w:sz w:val="17"/>
          <w:szCs w:val="17"/>
          <w:color w:val="002D73"/>
        </w:rPr>
        <w:t xml:space="preserve"> to serve as our commercial-scale platform for our anticipated future worldwide commercialization activities, and our platform improvements already include differentiated features such as cryopreserved end-product and streamlined three-day manufacturing. We are continuing our transition towards implementing our plato platform, including moving our cell processing to an automated, closed system, transitioning to utilizing our proprietary four-plasmid-produced lentiviral vector, which we refer to as LV2, and a refined approach to conditioning utilizing busulfan that is administered with TDM. If successfully implemented, we believe our plato platform will represent a significant advance in our industry towards achieving the quality and scale required for global commercialization of gene therapies. In December 2019, we announced that we dosed the first patient in our ongoing Fabry Phase 2 clinical trial using our plato platform.</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Corporate History</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002D73"/>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18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002D73"/>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5"/>
          <w:szCs w:val="15"/>
          <w:color w:val="002D73"/>
        </w:rPr>
        <w:t>®</w:t>
      </w:r>
      <w:r>
        <w:rPr>
          <w:rFonts w:ascii="Arial" w:cs="Arial" w:eastAsia="Arial" w:hAnsi="Arial"/>
          <w:sz w:val="18"/>
          <w:szCs w:val="18"/>
          <w:color w:val="002D73"/>
        </w:rPr>
        <w:t xml:space="preserve"> and </w:t>
      </w:r>
      <w:r>
        <w:rPr>
          <w:rFonts w:ascii="Arial" w:cs="Arial" w:eastAsia="Arial" w:hAnsi="Arial"/>
          <w:sz w:val="15"/>
          <w:szCs w:val="15"/>
          <w:color w:val="002D73"/>
        </w:rPr>
        <w:t>™</w:t>
      </w:r>
      <w:r>
        <w:rPr>
          <w:rFonts w:ascii="Arial" w:cs="Arial" w:eastAsia="Arial" w:hAnsi="Arial"/>
          <w:sz w:val="18"/>
          <w:szCs w:val="18"/>
          <w:color w:val="002D73"/>
        </w:rPr>
        <w:t>, but such references should not be construed as any indicator that their respective owners will not assert, to the fullest extent under applicable law, their rights thereto. Our common stock trades on The Nasdaq Global Select Market under the symbol “AVRO”.</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Implications of Being an Emerging Growth Company</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002D73"/>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89" w:lineRule="exact"/>
        <w:rPr>
          <w:sz w:val="20"/>
          <w:szCs w:val="20"/>
          <w:color w:val="auto"/>
        </w:rPr>
      </w:pPr>
    </w:p>
    <w:p>
      <w:pPr>
        <w:ind w:left="1080" w:right="380" w:hanging="424"/>
        <w:spacing w:after="0" w:line="308" w:lineRule="auto"/>
        <w:tabs>
          <w:tab w:leader="none" w:pos="1080" w:val="left"/>
        </w:tabs>
        <w:numPr>
          <w:ilvl w:val="0"/>
          <w:numId w:val="60"/>
        </w:numPr>
        <w:rPr>
          <w:rFonts w:ascii="Arial" w:cs="Arial" w:eastAsia="Arial" w:hAnsi="Arial"/>
          <w:sz w:val="17"/>
          <w:szCs w:val="17"/>
          <w:color w:val="002D73"/>
        </w:rPr>
      </w:pPr>
      <w:r>
        <w:rPr>
          <w:rFonts w:ascii="Arial" w:cs="Arial" w:eastAsia="Arial" w:hAnsi="Arial"/>
          <w:sz w:val="17"/>
          <w:szCs w:val="17"/>
          <w:color w:val="002D73"/>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002D73"/>
        </w:rPr>
      </w:pPr>
    </w:p>
    <w:p>
      <w:pPr>
        <w:ind w:left="1080" w:hanging="424"/>
        <w:spacing w:after="0"/>
        <w:tabs>
          <w:tab w:leader="none" w:pos="1080" w:val="left"/>
        </w:tabs>
        <w:numPr>
          <w:ilvl w:val="0"/>
          <w:numId w:val="60"/>
        </w:numPr>
        <w:rPr>
          <w:rFonts w:ascii="Arial" w:cs="Arial" w:eastAsia="Arial" w:hAnsi="Arial"/>
          <w:sz w:val="18"/>
          <w:szCs w:val="18"/>
          <w:color w:val="002D73"/>
        </w:rPr>
      </w:pPr>
      <w:r>
        <w:rPr>
          <w:rFonts w:ascii="Arial" w:cs="Arial" w:eastAsia="Arial" w:hAnsi="Arial"/>
          <w:sz w:val="18"/>
          <w:szCs w:val="18"/>
          <w:color w:val="002D73"/>
        </w:rPr>
        <w:t>Reduced disclosure about our executive compensation arrangements;</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60"/>
        </w:numPr>
        <w:rPr>
          <w:rFonts w:ascii="Arial" w:cs="Arial" w:eastAsia="Arial" w:hAnsi="Arial"/>
          <w:sz w:val="18"/>
          <w:szCs w:val="18"/>
          <w:color w:val="002D73"/>
        </w:rPr>
      </w:pPr>
      <w:r>
        <w:rPr>
          <w:rFonts w:ascii="Arial" w:cs="Arial" w:eastAsia="Arial" w:hAnsi="Arial"/>
          <w:sz w:val="18"/>
          <w:szCs w:val="18"/>
          <w:color w:val="002D73"/>
        </w:rPr>
        <w:t>No advisory votes on executive compensation or golden parachute arrangements;</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60"/>
        </w:numPr>
        <w:rPr>
          <w:rFonts w:ascii="Arial" w:cs="Arial" w:eastAsia="Arial" w:hAnsi="Arial"/>
          <w:sz w:val="18"/>
          <w:szCs w:val="18"/>
          <w:color w:val="002D73"/>
        </w:rPr>
      </w:pPr>
      <w:r>
        <w:rPr>
          <w:rFonts w:ascii="Arial" w:cs="Arial" w:eastAsia="Arial" w:hAnsi="Arial"/>
          <w:sz w:val="18"/>
          <w:szCs w:val="18"/>
          <w:color w:val="002D73"/>
        </w:rPr>
        <w:t>Exemption from the auditor attestation requirement in the assessment of our internal control over financial reporting; and</w:t>
      </w:r>
    </w:p>
    <w:p>
      <w:pPr>
        <w:spacing w:after="0" w:line="130" w:lineRule="exact"/>
        <w:rPr>
          <w:rFonts w:ascii="Arial" w:cs="Arial" w:eastAsia="Arial" w:hAnsi="Arial"/>
          <w:sz w:val="18"/>
          <w:szCs w:val="18"/>
          <w:color w:val="002D73"/>
        </w:rPr>
      </w:pPr>
    </w:p>
    <w:p>
      <w:pPr>
        <w:ind w:left="1080" w:right="140" w:hanging="424"/>
        <w:spacing w:after="0" w:line="308" w:lineRule="auto"/>
        <w:tabs>
          <w:tab w:leader="none" w:pos="1080" w:val="left"/>
        </w:tabs>
        <w:numPr>
          <w:ilvl w:val="0"/>
          <w:numId w:val="60"/>
        </w:numPr>
        <w:rPr>
          <w:rFonts w:ascii="Arial" w:cs="Arial" w:eastAsia="Arial" w:hAnsi="Arial"/>
          <w:sz w:val="17"/>
          <w:szCs w:val="17"/>
          <w:color w:val="002D73"/>
        </w:rPr>
      </w:pPr>
      <w:r>
        <w:rPr>
          <w:rFonts w:ascii="Arial" w:cs="Arial" w:eastAsia="Arial" w:hAnsi="Arial"/>
          <w:sz w:val="17"/>
          <w:szCs w:val="17"/>
          <w:color w:val="002D73"/>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6"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002D73"/>
        </w:rPr>
        <w:t>We may take advantage of these exemptions for up to five years or such earlier time that we are no longer an emerging growth company. We would cease to be an emerging growth company on the date that is the earliest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2D73"/>
        </w:rPr>
        <w:t>6</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002D73"/>
        </w:rPr>
        <w:t>of (i) the last day of the fiscal year in which we have total annual gross revenues of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17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002D73"/>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2D73"/>
        </w:rPr>
        <w:t>7</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02D73"/>
        </w:rPr>
        <w:t>USE OF PROCEEDS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002D73"/>
        </w:rPr>
        <w:t>We intend to use the net proceeds from the sale of any securities offered under this prospectus for general corporate purposes unless otherwise indicated in the applicable prospectus supplement. General corporate purposes may include research and development costs, including the conduct of one or more clinical trials and process development and manufacturing of our product candidates, potential strategic acquisitions of complementary businesses, services or technologies, expansion of our technology infrastructure and capabilities, working capital, capital expenditures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2D73"/>
        </w:rPr>
        <w:t>8</w:t>
      </w:r>
    </w:p>
    <w:p>
      <w:pPr>
        <w:sectPr>
          <w:pgSz w:w="11900" w:h="16838" w:orient="portrait"/>
          <w:cols w:equalWidth="0" w:num="1">
            <w:col w:w="11060"/>
          </w:cols>
          <w:pgMar w:left="320" w:top="459"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02D73"/>
        </w:rPr>
        <w:t>SECURITIES WE MAY OFFER</w:t>
      </w:r>
    </w:p>
    <w:p>
      <w:pPr>
        <w:spacing w:after="0" w:line="2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002D73"/>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002D73"/>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2D73"/>
        </w:rPr>
        <w:t>9</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02D73"/>
        </w:rPr>
        <w:t>DESCRIPTION OF CAPITAL STOCK</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002D73"/>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General</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002D73"/>
        </w:rPr>
        <w:t>Our authorized capital stock consists of 150,000,000 shares of common stock, par value $0.0001 per share, and 10,000,000 shares of preferred stock, par value $0.0001 per share, all of which shares of preferred stock are undesignated.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As of September 30, 2019, 31,667,661 shares of our common stock were outstanding and held by 12 stockholders of record.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Common Stock</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002D73"/>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5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002D73"/>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002D73"/>
        </w:rPr>
        <w:t>When we issue shares of common stock under this prospectus, the shares will be fully paid and non-assessable and will not have, or be subject to, any preemptive or similar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Preferred Stock</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002D73"/>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The purpose of authorizing our board of directors to issue preferred stock in one or more series and determine the number of shares in the series and its rights and preferences is to eliminate delays associated with a stockholder vote on specific issuances. In addition, the issuance of preferred stock could have the effect of delaying, deferring or preventing a change in control of our company or other corporate action. When we issue shares of preferred stock under this prospectus, the shares will be fully paid and non-assessable and will not be subject to any preemptive or similar rights.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2D73"/>
        </w:rPr>
        <w:t>10</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002D73"/>
        </w:rPr>
        <w:t>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Stock Options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As of September 30, 2019, there were outstanding options to purchase an aggregate of 3,145,428 shares of our common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Registration Rights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002D73"/>
        </w:rPr>
        <w:t>As of September 30, 2019, the holders of 5,567,289 shares of our common stock are entitled to rights with respect to the registration of these securities under the Securities Act. These rights are provided under the terms of an investors’ rights agreement between us and holders of our preferred stock, which was subsequently converted into common stock in connection with our initial public offering in June 2018, or our IPO.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Demand Registration Rights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002D73"/>
        </w:rPr>
        <w:t>The holders of 5,567,289 shares of our common stock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Short-Form Registration Rights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002D73"/>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Piggyback Registration Rights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002D73"/>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2D73"/>
        </w:rPr>
        <w:t>11</w:t>
      </w:r>
    </w:p>
    <w:p>
      <w:pPr>
        <w:sectPr>
          <w:pgSz w:w="11900" w:h="16838" w:orient="portrait"/>
          <w:cols w:equalWidth="0" w:num="1">
            <w:col w:w="11060"/>
          </w:cols>
          <w:pgMar w:left="320" w:top="459"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Indemnification</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002D73"/>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Expiration of 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002D73"/>
        </w:rPr>
        <w:t>The demand registration rights and short form registration rights granted under the investors’ rights agreement will terminate on the earliest of</w:t>
      </w:r>
    </w:p>
    <w:p>
      <w:pPr>
        <w:spacing w:after="0" w:line="46" w:lineRule="exact"/>
        <w:rPr>
          <w:sz w:val="20"/>
          <w:szCs w:val="20"/>
          <w:color w:val="auto"/>
        </w:rPr>
      </w:pPr>
    </w:p>
    <w:p>
      <w:pPr>
        <w:ind w:left="120" w:right="280" w:hanging="4"/>
        <w:spacing w:after="0" w:line="260" w:lineRule="auto"/>
        <w:tabs>
          <w:tab w:leader="none" w:pos="335" w:val="left"/>
        </w:tabs>
        <w:numPr>
          <w:ilvl w:val="0"/>
          <w:numId w:val="61"/>
        </w:numPr>
        <w:rPr>
          <w:rFonts w:ascii="Arial" w:cs="Arial" w:eastAsia="Arial" w:hAnsi="Arial"/>
          <w:sz w:val="18"/>
          <w:szCs w:val="18"/>
          <w:color w:val="002D73"/>
        </w:rPr>
      </w:pPr>
      <w:r>
        <w:rPr>
          <w:rFonts w:ascii="Arial" w:cs="Arial" w:eastAsia="Arial" w:hAnsi="Arial"/>
          <w:sz w:val="18"/>
          <w:szCs w:val="18"/>
          <w:color w:val="002D73"/>
        </w:rPr>
        <w:t>a deemed liquidation event, as defined in the investors’ rights agreement, (ii) the fifth anniversary of the completion of our IPO and (iii) when the holders’ shares may be sold without restriction pursuant to Rule 144 within a three month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Anti-Takeover Effects of our Certificate of Incorporation and Bylaws and Delaware Law</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002D73"/>
        </w:rPr>
        <w:t>Our amended and restated certificate of incorporation and amended and restated bylaws includes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Board Composition and Filling Vacancies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002D73"/>
        </w:rPr>
        <w:t>Our amended and restated certificate of incorporation provides for the division of our 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No Written Consent of Stockholders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002D73"/>
        </w:rPr>
        <w:t>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Meetings of Stockholders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002D73"/>
        </w:rPr>
        <w:t>Our amended and restated certificate of incorporation and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limits the business that may be conducted at an annual meeting of stockholders to those matters properly brought before the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Advance Notice Requirements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002D73"/>
        </w:rPr>
        <w:t>Our amended and restated bylaws establishes advance notice procedures with regard to stockholder proposals relating to the nomination of candidates for election as directors or new business to be brought before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002D73"/>
        </w:rPr>
        <w:t>12</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002D73"/>
        </w:rPr>
        <w:t>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Amendment to Certificate of Incorporation and Bylaws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002D73"/>
        </w:rPr>
        <w:t>Any amendment of our amended and restated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Undesignated Preferred Stock</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002D73"/>
        </w:rPr>
        <w:t>Our amended and restated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Choice of Forum</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002D73"/>
        </w:rPr>
        <w:t>Our amended and restated bylaws provides that, unless we consent in writing to the selection of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166"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002D73"/>
        </w:rPr>
        <w:t>In addition, our amended and restated bylaws contains a provision by virtue of which unless we consent in writing to the selection of an alternative forum, the United States District Court for the District of Massachusetts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002D73"/>
        </w:rPr>
        <w:t>13</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002D73"/>
        </w:rPr>
        <w:t>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On December 19, 2018, the Court of Chancery of the State of Delaware issued a decision declaring that such federal forum selection provisions purporting to require claims under the Securities Act be brought in federal court are ineffective and invalid under Delaware law. In August 2019, the decision was appealed to the Delaware Supreme Court, and the appeal remains pending before the Delaware Supreme Court. Unless and until the Court of Chancery’s decision is reversed by the Delaware Supreme Court or otherwise abrogated, we do not intend to enforce our federal forum selection provision designating the District of Massachusetts as the exclusive forum for Securities Act claims. In the event that the Delaware Supreme Court affirms the Court of Chancery’s decision or otherwise determines that federal forum selection provisions are invalid, the Company’s Board of Directors intends to amend promptly our amended and restated bylaws to remove our federal forum selection bylaw provision. As a result of the Court of Chancery’s decision or a decision by the Supreme Court of Delaware affirming the Court of Chancery’s decision, we may incur additional costs associated with our federal forum selection bylaw provision, which could have an adverse effect on our business, financial condition and results of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Section 203 of the Delaware General Corporation Law</w:t>
      </w:r>
    </w:p>
    <w:p>
      <w:pPr>
        <w:spacing w:after="0" w:line="121"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002D73"/>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3" w:lineRule="exact"/>
        <w:rPr>
          <w:sz w:val="20"/>
          <w:szCs w:val="20"/>
          <w:color w:val="auto"/>
        </w:rPr>
      </w:pPr>
    </w:p>
    <w:p>
      <w:pPr>
        <w:ind w:left="1080" w:hanging="424"/>
        <w:spacing w:after="0" w:line="277" w:lineRule="auto"/>
        <w:tabs>
          <w:tab w:leader="none" w:pos="1080" w:val="left"/>
        </w:tabs>
        <w:numPr>
          <w:ilvl w:val="0"/>
          <w:numId w:val="62"/>
        </w:numPr>
        <w:rPr>
          <w:rFonts w:ascii="Arial" w:cs="Arial" w:eastAsia="Arial" w:hAnsi="Arial"/>
          <w:sz w:val="18"/>
          <w:szCs w:val="18"/>
          <w:color w:val="002D73"/>
        </w:rPr>
      </w:pPr>
      <w:r>
        <w:rPr>
          <w:rFonts w:ascii="Arial" w:cs="Arial" w:eastAsia="Arial" w:hAnsi="Arial"/>
          <w:sz w:val="18"/>
          <w:szCs w:val="18"/>
          <w:color w:val="002D73"/>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002D73"/>
        </w:rPr>
      </w:pPr>
    </w:p>
    <w:p>
      <w:pPr>
        <w:ind w:left="1080" w:right="80" w:hanging="424"/>
        <w:spacing w:after="0" w:line="279" w:lineRule="auto"/>
        <w:tabs>
          <w:tab w:leader="none" w:pos="1080" w:val="left"/>
        </w:tabs>
        <w:numPr>
          <w:ilvl w:val="0"/>
          <w:numId w:val="62"/>
        </w:numPr>
        <w:rPr>
          <w:rFonts w:ascii="Arial" w:cs="Arial" w:eastAsia="Arial" w:hAnsi="Arial"/>
          <w:sz w:val="17"/>
          <w:szCs w:val="17"/>
          <w:color w:val="002D73"/>
        </w:rPr>
      </w:pPr>
      <w:r>
        <w:rPr>
          <w:rFonts w:ascii="Arial" w:cs="Arial" w:eastAsia="Arial" w:hAnsi="Arial"/>
          <w:sz w:val="17"/>
          <w:szCs w:val="17"/>
          <w:color w:val="002D73"/>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002D73"/>
        </w:rPr>
      </w:pPr>
    </w:p>
    <w:p>
      <w:pPr>
        <w:jc w:val="both"/>
        <w:ind w:left="1080" w:right="140" w:hanging="424"/>
        <w:spacing w:after="0" w:line="263" w:lineRule="auto"/>
        <w:tabs>
          <w:tab w:leader="none" w:pos="1080" w:val="left"/>
        </w:tabs>
        <w:numPr>
          <w:ilvl w:val="0"/>
          <w:numId w:val="62"/>
        </w:numPr>
        <w:rPr>
          <w:rFonts w:ascii="Arial" w:cs="Arial" w:eastAsia="Arial" w:hAnsi="Arial"/>
          <w:sz w:val="18"/>
          <w:szCs w:val="18"/>
          <w:color w:val="002D73"/>
        </w:rPr>
      </w:pPr>
      <w:r>
        <w:rPr>
          <w:rFonts w:ascii="Arial" w:cs="Arial" w:eastAsia="Arial" w:hAnsi="Arial"/>
          <w:sz w:val="18"/>
          <w:szCs w:val="18"/>
          <w:color w:val="002D73"/>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002D73"/>
        </w:rPr>
      </w:pPr>
      <w:r>
        <w:rPr>
          <w:rFonts w:ascii="Arial" w:cs="Arial" w:eastAsia="Arial" w:hAnsi="Arial"/>
          <w:sz w:val="18"/>
          <w:szCs w:val="18"/>
          <w:color w:val="002D73"/>
        </w:rPr>
        <w:t>any merger or consolidation involving the corporation and the interested stockholder;</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63"/>
        </w:numPr>
        <w:rPr>
          <w:rFonts w:ascii="Arial" w:cs="Arial" w:eastAsia="Arial" w:hAnsi="Arial"/>
          <w:sz w:val="16"/>
          <w:szCs w:val="16"/>
          <w:color w:val="002D73"/>
        </w:rPr>
      </w:pPr>
      <w:r>
        <w:rPr>
          <w:rFonts w:ascii="Arial" w:cs="Arial" w:eastAsia="Arial" w:hAnsi="Arial"/>
          <w:sz w:val="16"/>
          <w:szCs w:val="16"/>
          <w:color w:val="002D73"/>
        </w:rPr>
        <w:t>any sale, transfer, lease, pledge or other disposition involving the interested stockholder of 10% or more of the assets of the corporation;</w:t>
      </w:r>
    </w:p>
    <w:p>
      <w:pPr>
        <w:spacing w:after="0" w:line="153" w:lineRule="exact"/>
        <w:rPr>
          <w:rFonts w:ascii="Arial" w:cs="Arial" w:eastAsia="Arial" w:hAnsi="Arial"/>
          <w:sz w:val="16"/>
          <w:szCs w:val="16"/>
          <w:color w:val="002D73"/>
        </w:rPr>
      </w:pPr>
    </w:p>
    <w:p>
      <w:pPr>
        <w:ind w:left="1080" w:right="540" w:hanging="424"/>
        <w:spacing w:after="0" w:line="277" w:lineRule="auto"/>
        <w:tabs>
          <w:tab w:leader="none" w:pos="1080" w:val="left"/>
        </w:tabs>
        <w:numPr>
          <w:ilvl w:val="0"/>
          <w:numId w:val="63"/>
        </w:numPr>
        <w:rPr>
          <w:rFonts w:ascii="Arial" w:cs="Arial" w:eastAsia="Arial" w:hAnsi="Arial"/>
          <w:sz w:val="18"/>
          <w:szCs w:val="18"/>
          <w:color w:val="002D73"/>
        </w:rPr>
      </w:pPr>
      <w:r>
        <w:rPr>
          <w:rFonts w:ascii="Arial" w:cs="Arial" w:eastAsia="Arial" w:hAnsi="Arial"/>
          <w:sz w:val="18"/>
          <w:szCs w:val="18"/>
          <w:color w:val="002D73"/>
        </w:rPr>
        <w:t>subject to exceptions, any transaction that results in the issuance or transfer by the corporation of any stock of the corporation to the interested stockholder;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002D73"/>
        </w:rPr>
        <w:t>14</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64"/>
        </w:numPr>
        <w:rPr>
          <w:rFonts w:ascii="Arial" w:cs="Arial" w:eastAsia="Arial" w:hAnsi="Arial"/>
          <w:sz w:val="18"/>
          <w:szCs w:val="18"/>
          <w:color w:val="002D73"/>
        </w:rPr>
      </w:pPr>
      <w:r>
        <w:rPr>
          <w:rFonts w:ascii="Arial" w:cs="Arial" w:eastAsia="Arial" w:hAnsi="Arial"/>
          <w:sz w:val="18"/>
          <w:szCs w:val="18"/>
          <w:color w:val="002D73"/>
        </w:rPr>
        <w:t>subject to exceptions, any transaction involving the corporation that has the effect of increasing the proportionate share of the stock of any class or series of the corporation beneficially owned by the interested stockholder; and</w:t>
      </w:r>
    </w:p>
    <w:p>
      <w:pPr>
        <w:spacing w:after="0" w:line="75" w:lineRule="exact"/>
        <w:rPr>
          <w:rFonts w:ascii="Arial" w:cs="Arial" w:eastAsia="Arial" w:hAnsi="Arial"/>
          <w:sz w:val="18"/>
          <w:szCs w:val="18"/>
          <w:color w:val="002D73"/>
        </w:rPr>
      </w:pPr>
    </w:p>
    <w:p>
      <w:pPr>
        <w:ind w:left="1080" w:right="100" w:hanging="424"/>
        <w:spacing w:after="0" w:line="277" w:lineRule="auto"/>
        <w:tabs>
          <w:tab w:leader="none" w:pos="1080" w:val="left"/>
        </w:tabs>
        <w:numPr>
          <w:ilvl w:val="0"/>
          <w:numId w:val="64"/>
        </w:numPr>
        <w:rPr>
          <w:rFonts w:ascii="Arial" w:cs="Arial" w:eastAsia="Arial" w:hAnsi="Arial"/>
          <w:sz w:val="18"/>
          <w:szCs w:val="18"/>
          <w:color w:val="002D73"/>
        </w:rPr>
      </w:pPr>
      <w:r>
        <w:rPr>
          <w:rFonts w:ascii="Arial" w:cs="Arial" w:eastAsia="Arial" w:hAnsi="Arial"/>
          <w:sz w:val="18"/>
          <w:szCs w:val="18"/>
          <w:color w:val="002D73"/>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002D73"/>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Nasdaq Global Select Market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Our common stock is listed on The Nasdaq Global Select Market under the trading symbol “AVRO.”</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Transfer Agent and Registrar</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002D73"/>
        </w:rPr>
        <w:t>The transfer agent and registrar for our common stock is Computershare Trust Company, N.A. The transfer agent and registrar’s address is 250 Royall Street, Canton, Massachusetts 02021, and its telephone number is (800) 962-4284.</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2D73"/>
        </w:rPr>
        <w:t>15</w:t>
      </w:r>
    </w:p>
    <w:p>
      <w:pPr>
        <w:sectPr>
          <w:pgSz w:w="11900" w:h="16838" w:orient="portrait"/>
          <w:cols w:equalWidth="0" w:num="1">
            <w:col w:w="11040"/>
          </w:cols>
          <w:pgMar w:left="320" w:top="459" w:right="5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02D73"/>
        </w:rPr>
        <w:t>DESCRIPTION OF DEBT SECURITIES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002D73"/>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88"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002D73"/>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The indentures:</w:t>
      </w:r>
    </w:p>
    <w:p>
      <w:pPr>
        <w:spacing w:after="0" w:line="131"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002D73"/>
        </w:rPr>
      </w:pPr>
      <w:r>
        <w:rPr>
          <w:rFonts w:ascii="Arial" w:cs="Arial" w:eastAsia="Arial" w:hAnsi="Arial"/>
          <w:sz w:val="18"/>
          <w:szCs w:val="18"/>
          <w:color w:val="002D73"/>
        </w:rPr>
        <w:t>do not limit the amount of debt securities that we may issue;</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65"/>
        </w:numPr>
        <w:rPr>
          <w:rFonts w:ascii="Arial" w:cs="Arial" w:eastAsia="Arial" w:hAnsi="Arial"/>
          <w:sz w:val="18"/>
          <w:szCs w:val="18"/>
          <w:color w:val="002D73"/>
        </w:rPr>
      </w:pPr>
      <w:r>
        <w:rPr>
          <w:rFonts w:ascii="Arial" w:cs="Arial" w:eastAsia="Arial" w:hAnsi="Arial"/>
          <w:sz w:val="18"/>
          <w:szCs w:val="18"/>
          <w:color w:val="002D73"/>
        </w:rPr>
        <w:t>allow us to issue debt securities in one or more series;</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65"/>
        </w:numPr>
        <w:rPr>
          <w:rFonts w:ascii="Arial" w:cs="Arial" w:eastAsia="Arial" w:hAnsi="Arial"/>
          <w:sz w:val="18"/>
          <w:szCs w:val="18"/>
          <w:color w:val="002D73"/>
        </w:rPr>
      </w:pPr>
      <w:r>
        <w:rPr>
          <w:rFonts w:ascii="Arial" w:cs="Arial" w:eastAsia="Arial" w:hAnsi="Arial"/>
          <w:sz w:val="18"/>
          <w:szCs w:val="18"/>
          <w:color w:val="002D73"/>
        </w:rPr>
        <w:t>do not require us to issue all of the debt securities of a series at the same time; and</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65"/>
        </w:numPr>
        <w:rPr>
          <w:rFonts w:ascii="Arial" w:cs="Arial" w:eastAsia="Arial" w:hAnsi="Arial"/>
          <w:sz w:val="17"/>
          <w:szCs w:val="17"/>
          <w:color w:val="002D73"/>
        </w:rPr>
      </w:pPr>
      <w:r>
        <w:rPr>
          <w:rFonts w:ascii="Arial" w:cs="Arial" w:eastAsia="Arial" w:hAnsi="Arial"/>
          <w:sz w:val="17"/>
          <w:szCs w:val="17"/>
          <w:color w:val="002D73"/>
        </w:rPr>
        <w:t>allow us to reopen a series to issue additional debt securities without the consent of the holders of the debt securities of such series.</w:t>
      </w:r>
    </w:p>
    <w:p>
      <w:pPr>
        <w:spacing w:after="0" w:line="23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002D73"/>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002D73"/>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The prospectus supplement for each offering will provide the following terms, where applicable:</w:t>
      </w:r>
    </w:p>
    <w:p>
      <w:pPr>
        <w:spacing w:after="0" w:line="131" w:lineRule="exact"/>
        <w:rPr>
          <w:sz w:val="20"/>
          <w:szCs w:val="20"/>
          <w:color w:val="auto"/>
        </w:rPr>
      </w:pPr>
    </w:p>
    <w:p>
      <w:pPr>
        <w:ind w:left="5540" w:right="4700" w:hanging="4884"/>
        <w:spacing w:after="0" w:line="535" w:lineRule="auto"/>
        <w:tabs>
          <w:tab w:leader="none" w:pos="1094" w:val="left"/>
        </w:tabs>
        <w:numPr>
          <w:ilvl w:val="0"/>
          <w:numId w:val="66"/>
        </w:numPr>
        <w:rPr>
          <w:rFonts w:ascii="Arial" w:cs="Arial" w:eastAsia="Arial" w:hAnsi="Arial"/>
          <w:sz w:val="16"/>
          <w:szCs w:val="16"/>
          <w:color w:val="002D73"/>
        </w:rPr>
      </w:pPr>
      <w:r>
        <w:rPr>
          <w:rFonts w:ascii="Arial" w:cs="Arial" w:eastAsia="Arial" w:hAnsi="Arial"/>
          <w:sz w:val="16"/>
          <w:szCs w:val="16"/>
          <w:color w:val="002D73"/>
        </w:rPr>
        <w:t>the title of the debt securities and whether they are senior or subordinated; 16</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63" w:lineRule="auto"/>
        <w:tabs>
          <w:tab w:leader="none" w:pos="1080" w:val="left"/>
        </w:tabs>
        <w:numPr>
          <w:ilvl w:val="0"/>
          <w:numId w:val="67"/>
        </w:numPr>
        <w:rPr>
          <w:rFonts w:ascii="Arial" w:cs="Arial" w:eastAsia="Arial" w:hAnsi="Arial"/>
          <w:sz w:val="18"/>
          <w:szCs w:val="18"/>
          <w:color w:val="002D73"/>
        </w:rPr>
      </w:pPr>
      <w:r>
        <w:rPr>
          <w:rFonts w:ascii="Arial" w:cs="Arial" w:eastAsia="Arial" w:hAnsi="Arial"/>
          <w:sz w:val="18"/>
          <w:szCs w:val="18"/>
          <w:color w:val="002D73"/>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9" w:lineRule="exact"/>
        <w:rPr>
          <w:rFonts w:ascii="Arial" w:cs="Arial" w:eastAsia="Arial" w:hAnsi="Arial"/>
          <w:sz w:val="18"/>
          <w:szCs w:val="18"/>
          <w:color w:val="002D73"/>
        </w:rPr>
      </w:pPr>
    </w:p>
    <w:p>
      <w:pPr>
        <w:ind w:left="1080" w:right="240" w:hanging="424"/>
        <w:spacing w:after="0" w:line="259" w:lineRule="auto"/>
        <w:tabs>
          <w:tab w:leader="none" w:pos="1080" w:val="left"/>
        </w:tabs>
        <w:numPr>
          <w:ilvl w:val="0"/>
          <w:numId w:val="67"/>
        </w:numPr>
        <w:rPr>
          <w:rFonts w:ascii="Arial" w:cs="Arial" w:eastAsia="Arial" w:hAnsi="Arial"/>
          <w:sz w:val="18"/>
          <w:szCs w:val="18"/>
          <w:color w:val="002D73"/>
        </w:rPr>
      </w:pPr>
      <w:r>
        <w:rPr>
          <w:rFonts w:ascii="Arial" w:cs="Arial" w:eastAsia="Arial" w:hAnsi="Arial"/>
          <w:sz w:val="18"/>
          <w:szCs w:val="18"/>
          <w:color w:val="002D73"/>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92" w:lineRule="exact"/>
        <w:rPr>
          <w:rFonts w:ascii="Arial" w:cs="Arial" w:eastAsia="Arial" w:hAnsi="Arial"/>
          <w:sz w:val="18"/>
          <w:szCs w:val="18"/>
          <w:color w:val="002D73"/>
        </w:rPr>
      </w:pPr>
    </w:p>
    <w:p>
      <w:pPr>
        <w:ind w:left="1080" w:right="400" w:hanging="424"/>
        <w:spacing w:after="0" w:line="263" w:lineRule="auto"/>
        <w:tabs>
          <w:tab w:leader="none" w:pos="1080" w:val="left"/>
        </w:tabs>
        <w:numPr>
          <w:ilvl w:val="0"/>
          <w:numId w:val="67"/>
        </w:numPr>
        <w:rPr>
          <w:rFonts w:ascii="Arial" w:cs="Arial" w:eastAsia="Arial" w:hAnsi="Arial"/>
          <w:sz w:val="18"/>
          <w:szCs w:val="18"/>
          <w:color w:val="002D73"/>
        </w:rPr>
      </w:pPr>
      <w:r>
        <w:rPr>
          <w:rFonts w:ascii="Arial" w:cs="Arial" w:eastAsia="Arial" w:hAnsi="Arial"/>
          <w:sz w:val="18"/>
          <w:szCs w:val="18"/>
          <w:color w:val="002D73"/>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89" w:lineRule="exact"/>
        <w:rPr>
          <w:rFonts w:ascii="Arial" w:cs="Arial" w:eastAsia="Arial" w:hAnsi="Arial"/>
          <w:sz w:val="18"/>
          <w:szCs w:val="18"/>
          <w:color w:val="002D73"/>
        </w:rPr>
      </w:pPr>
    </w:p>
    <w:p>
      <w:pPr>
        <w:jc w:val="both"/>
        <w:ind w:left="1080" w:right="80" w:hanging="424"/>
        <w:spacing w:after="0" w:line="263" w:lineRule="auto"/>
        <w:tabs>
          <w:tab w:leader="none" w:pos="1080" w:val="left"/>
        </w:tabs>
        <w:numPr>
          <w:ilvl w:val="0"/>
          <w:numId w:val="67"/>
        </w:numPr>
        <w:rPr>
          <w:rFonts w:ascii="Arial" w:cs="Arial" w:eastAsia="Arial" w:hAnsi="Arial"/>
          <w:sz w:val="18"/>
          <w:szCs w:val="18"/>
          <w:color w:val="002D73"/>
        </w:rPr>
      </w:pPr>
      <w:r>
        <w:rPr>
          <w:rFonts w:ascii="Arial" w:cs="Arial" w:eastAsia="Arial" w:hAnsi="Arial"/>
          <w:sz w:val="18"/>
          <w:szCs w:val="18"/>
          <w:color w:val="002D73"/>
        </w:rPr>
        <w:t>the date or dates, or the method for determining the date or dates, on which the principal of the debt securities will be payable; the fixed or variable interest rate or rates of the debt securities, or the method by which the interest rate or rates is determined; the date or dates, or the method for determining the date or dates, from which interest will accrue;</w:t>
      </w:r>
    </w:p>
    <w:p>
      <w:pPr>
        <w:spacing w:after="0" w:line="89" w:lineRule="exact"/>
        <w:rPr>
          <w:rFonts w:ascii="Arial" w:cs="Arial" w:eastAsia="Arial" w:hAnsi="Arial"/>
          <w:sz w:val="18"/>
          <w:szCs w:val="18"/>
          <w:color w:val="002D73"/>
        </w:rPr>
      </w:pPr>
    </w:p>
    <w:p>
      <w:pPr>
        <w:ind w:left="1080" w:hanging="424"/>
        <w:spacing w:after="0"/>
        <w:tabs>
          <w:tab w:leader="none" w:pos="1080" w:val="left"/>
        </w:tabs>
        <w:numPr>
          <w:ilvl w:val="0"/>
          <w:numId w:val="67"/>
        </w:numPr>
        <w:rPr>
          <w:rFonts w:ascii="Arial" w:cs="Arial" w:eastAsia="Arial" w:hAnsi="Arial"/>
          <w:sz w:val="18"/>
          <w:szCs w:val="18"/>
          <w:color w:val="002D73"/>
        </w:rPr>
      </w:pPr>
      <w:r>
        <w:rPr>
          <w:rFonts w:ascii="Arial" w:cs="Arial" w:eastAsia="Arial" w:hAnsi="Arial"/>
          <w:sz w:val="18"/>
          <w:szCs w:val="18"/>
          <w:color w:val="002D73"/>
        </w:rPr>
        <w:t>the dates on which interest will be payable;</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67"/>
        </w:numPr>
        <w:rPr>
          <w:rFonts w:ascii="Arial" w:cs="Arial" w:eastAsia="Arial" w:hAnsi="Arial"/>
          <w:sz w:val="18"/>
          <w:szCs w:val="18"/>
          <w:color w:val="002D73"/>
        </w:rPr>
      </w:pPr>
      <w:r>
        <w:rPr>
          <w:rFonts w:ascii="Arial" w:cs="Arial" w:eastAsia="Arial" w:hAnsi="Arial"/>
          <w:sz w:val="18"/>
          <w:szCs w:val="18"/>
          <w:color w:val="002D73"/>
        </w:rPr>
        <w:t>the record dates for interest payment dates, or the method by which such dates will be determined;</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67"/>
        </w:numPr>
        <w:rPr>
          <w:rFonts w:ascii="Arial" w:cs="Arial" w:eastAsia="Arial" w:hAnsi="Arial"/>
          <w:sz w:val="18"/>
          <w:szCs w:val="18"/>
          <w:color w:val="002D73"/>
        </w:rPr>
      </w:pPr>
      <w:r>
        <w:rPr>
          <w:rFonts w:ascii="Arial" w:cs="Arial" w:eastAsia="Arial" w:hAnsi="Arial"/>
          <w:sz w:val="18"/>
          <w:szCs w:val="18"/>
          <w:color w:val="002D73"/>
        </w:rPr>
        <w:t>the persons to whom interest will be payable;</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67"/>
        </w:numPr>
        <w:rPr>
          <w:rFonts w:ascii="Arial" w:cs="Arial" w:eastAsia="Arial" w:hAnsi="Arial"/>
          <w:sz w:val="16"/>
          <w:szCs w:val="16"/>
          <w:color w:val="002D73"/>
        </w:rPr>
      </w:pPr>
      <w:r>
        <w:rPr>
          <w:rFonts w:ascii="Arial" w:cs="Arial" w:eastAsia="Arial" w:hAnsi="Arial"/>
          <w:sz w:val="16"/>
          <w:szCs w:val="16"/>
          <w:color w:val="002D73"/>
        </w:rPr>
        <w:t>the place or places where the principal of, and any premium or make-whole amount, and interest on, the debt securities will be payable;</w:t>
      </w:r>
    </w:p>
    <w:p>
      <w:pPr>
        <w:spacing w:after="0" w:line="153" w:lineRule="exact"/>
        <w:rPr>
          <w:rFonts w:ascii="Arial" w:cs="Arial" w:eastAsia="Arial" w:hAnsi="Arial"/>
          <w:sz w:val="16"/>
          <w:szCs w:val="16"/>
          <w:color w:val="002D73"/>
        </w:rPr>
      </w:pPr>
    </w:p>
    <w:p>
      <w:pPr>
        <w:ind w:left="1080" w:hanging="424"/>
        <w:spacing w:after="0"/>
        <w:tabs>
          <w:tab w:leader="none" w:pos="1080" w:val="left"/>
        </w:tabs>
        <w:numPr>
          <w:ilvl w:val="0"/>
          <w:numId w:val="67"/>
        </w:numPr>
        <w:rPr>
          <w:rFonts w:ascii="Arial" w:cs="Arial" w:eastAsia="Arial" w:hAnsi="Arial"/>
          <w:sz w:val="18"/>
          <w:szCs w:val="18"/>
          <w:color w:val="002D73"/>
        </w:rPr>
      </w:pPr>
      <w:r>
        <w:rPr>
          <w:rFonts w:ascii="Arial" w:cs="Arial" w:eastAsia="Arial" w:hAnsi="Arial"/>
          <w:sz w:val="18"/>
          <w:szCs w:val="18"/>
          <w:color w:val="002D73"/>
        </w:rPr>
        <w:t>where the debt securities may be surrendered for registration of transfer or conversion or exchange;</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67"/>
        </w:numPr>
        <w:rPr>
          <w:rFonts w:ascii="Arial" w:cs="Arial" w:eastAsia="Arial" w:hAnsi="Arial"/>
          <w:sz w:val="18"/>
          <w:szCs w:val="18"/>
          <w:color w:val="002D73"/>
        </w:rPr>
      </w:pPr>
      <w:r>
        <w:rPr>
          <w:rFonts w:ascii="Arial" w:cs="Arial" w:eastAsia="Arial" w:hAnsi="Arial"/>
          <w:sz w:val="18"/>
          <w:szCs w:val="18"/>
          <w:color w:val="002D73"/>
        </w:rPr>
        <w:t>the times, prices and other terms and conditions upon which we may redeem the debt securities;</w:t>
      </w:r>
    </w:p>
    <w:p>
      <w:pPr>
        <w:spacing w:after="0" w:line="130" w:lineRule="exact"/>
        <w:rPr>
          <w:rFonts w:ascii="Arial" w:cs="Arial" w:eastAsia="Arial" w:hAnsi="Arial"/>
          <w:sz w:val="18"/>
          <w:szCs w:val="18"/>
          <w:color w:val="002D73"/>
        </w:rPr>
      </w:pPr>
    </w:p>
    <w:p>
      <w:pPr>
        <w:ind w:left="1080" w:right="340" w:hanging="424"/>
        <w:spacing w:after="0" w:line="263" w:lineRule="auto"/>
        <w:tabs>
          <w:tab w:leader="none" w:pos="1080" w:val="left"/>
        </w:tabs>
        <w:numPr>
          <w:ilvl w:val="0"/>
          <w:numId w:val="67"/>
        </w:numPr>
        <w:rPr>
          <w:rFonts w:ascii="Arial" w:cs="Arial" w:eastAsia="Arial" w:hAnsi="Arial"/>
          <w:sz w:val="18"/>
          <w:szCs w:val="18"/>
          <w:color w:val="002D73"/>
        </w:rPr>
      </w:pPr>
      <w:r>
        <w:rPr>
          <w:rFonts w:ascii="Arial" w:cs="Arial" w:eastAsia="Arial" w:hAnsi="Arial"/>
          <w:sz w:val="18"/>
          <w:szCs w:val="18"/>
          <w:color w:val="002D73"/>
        </w:rPr>
        <w:t>any obligation we have to redeem, repay or repurchase the debt securities pursuant to any sinking fund or analogous provision or at the option of holders of the debt securities, and the times and prices at which we must redeem, repay or repurchase the debt securities as a result of such obligation;</w:t>
      </w:r>
    </w:p>
    <w:p>
      <w:pPr>
        <w:spacing w:after="0" w:line="89" w:lineRule="exact"/>
        <w:rPr>
          <w:rFonts w:ascii="Arial" w:cs="Arial" w:eastAsia="Arial" w:hAnsi="Arial"/>
          <w:sz w:val="18"/>
          <w:szCs w:val="18"/>
          <w:color w:val="002D73"/>
        </w:rPr>
      </w:pPr>
    </w:p>
    <w:p>
      <w:pPr>
        <w:ind w:left="1080" w:right="180" w:hanging="424"/>
        <w:spacing w:after="0" w:line="255" w:lineRule="auto"/>
        <w:tabs>
          <w:tab w:leader="none" w:pos="1080" w:val="left"/>
        </w:tabs>
        <w:numPr>
          <w:ilvl w:val="0"/>
          <w:numId w:val="67"/>
        </w:numPr>
        <w:rPr>
          <w:rFonts w:ascii="Arial" w:cs="Arial" w:eastAsia="Arial" w:hAnsi="Arial"/>
          <w:sz w:val="18"/>
          <w:szCs w:val="18"/>
          <w:color w:val="002D73"/>
        </w:rPr>
      </w:pPr>
      <w:r>
        <w:rPr>
          <w:rFonts w:ascii="Arial" w:cs="Arial" w:eastAsia="Arial" w:hAnsi="Arial"/>
          <w:sz w:val="18"/>
          <w:szCs w:val="18"/>
          <w:color w:val="002D73"/>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 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97" w:lineRule="exact"/>
        <w:rPr>
          <w:rFonts w:ascii="Arial" w:cs="Arial" w:eastAsia="Arial" w:hAnsi="Arial"/>
          <w:sz w:val="18"/>
          <w:szCs w:val="18"/>
          <w:color w:val="002D73"/>
        </w:rPr>
      </w:pPr>
    </w:p>
    <w:p>
      <w:pPr>
        <w:ind w:left="1080" w:hanging="424"/>
        <w:spacing w:after="0" w:line="259" w:lineRule="auto"/>
        <w:tabs>
          <w:tab w:leader="none" w:pos="1080" w:val="left"/>
        </w:tabs>
        <w:numPr>
          <w:ilvl w:val="0"/>
          <w:numId w:val="67"/>
        </w:numPr>
        <w:rPr>
          <w:rFonts w:ascii="Arial" w:cs="Arial" w:eastAsia="Arial" w:hAnsi="Arial"/>
          <w:sz w:val="18"/>
          <w:szCs w:val="18"/>
          <w:color w:val="002D73"/>
        </w:rPr>
      </w:pPr>
      <w:r>
        <w:rPr>
          <w:rFonts w:ascii="Arial" w:cs="Arial" w:eastAsia="Arial" w:hAnsi="Arial"/>
          <w:sz w:val="18"/>
          <w:szCs w:val="18"/>
          <w:color w:val="002D73"/>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92" w:lineRule="exact"/>
        <w:rPr>
          <w:rFonts w:ascii="Arial" w:cs="Arial" w:eastAsia="Arial" w:hAnsi="Arial"/>
          <w:sz w:val="18"/>
          <w:szCs w:val="18"/>
          <w:color w:val="002D73"/>
        </w:rPr>
      </w:pPr>
    </w:p>
    <w:p>
      <w:pPr>
        <w:ind w:left="1080" w:right="180" w:hanging="424"/>
        <w:spacing w:after="0" w:line="342" w:lineRule="auto"/>
        <w:tabs>
          <w:tab w:leader="none" w:pos="1080" w:val="left"/>
        </w:tabs>
        <w:numPr>
          <w:ilvl w:val="0"/>
          <w:numId w:val="67"/>
        </w:numPr>
        <w:rPr>
          <w:rFonts w:ascii="Arial" w:cs="Arial" w:eastAsia="Arial" w:hAnsi="Arial"/>
          <w:sz w:val="16"/>
          <w:szCs w:val="16"/>
          <w:color w:val="002D73"/>
        </w:rPr>
      </w:pPr>
      <w:r>
        <w:rPr>
          <w:rFonts w:ascii="Arial" w:cs="Arial" w:eastAsia="Arial" w:hAnsi="Arial"/>
          <w:sz w:val="16"/>
          <w:szCs w:val="16"/>
          <w:color w:val="002D73"/>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29" w:lineRule="exact"/>
        <w:rPr>
          <w:rFonts w:ascii="Arial" w:cs="Arial" w:eastAsia="Arial" w:hAnsi="Arial"/>
          <w:sz w:val="16"/>
          <w:szCs w:val="16"/>
          <w:color w:val="002D73"/>
        </w:rPr>
      </w:pPr>
    </w:p>
    <w:p>
      <w:pPr>
        <w:ind w:left="1080" w:right="200" w:hanging="424"/>
        <w:spacing w:after="0" w:line="259" w:lineRule="auto"/>
        <w:tabs>
          <w:tab w:leader="none" w:pos="1080" w:val="left"/>
        </w:tabs>
        <w:numPr>
          <w:ilvl w:val="0"/>
          <w:numId w:val="67"/>
        </w:numPr>
        <w:rPr>
          <w:rFonts w:ascii="Arial" w:cs="Arial" w:eastAsia="Arial" w:hAnsi="Arial"/>
          <w:sz w:val="18"/>
          <w:szCs w:val="18"/>
          <w:color w:val="002D73"/>
        </w:rPr>
      </w:pPr>
      <w:r>
        <w:rPr>
          <w:rFonts w:ascii="Arial" w:cs="Arial" w:eastAsia="Arial" w:hAnsi="Arial"/>
          <w:sz w:val="18"/>
          <w:szCs w:val="18"/>
          <w:color w:val="002D73"/>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2D73"/>
        </w:rPr>
        <w:t>17</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002D73"/>
        </w:rPr>
      </w:pPr>
      <w:r>
        <w:rPr>
          <w:rFonts w:ascii="Arial" w:cs="Arial" w:eastAsia="Arial" w:hAnsi="Arial"/>
          <w:sz w:val="18"/>
          <w:szCs w:val="18"/>
          <w:color w:val="002D73"/>
        </w:rPr>
        <w:t>the identity of the depositary for securities in registered form, if such series are to be issuable as a global security;</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68"/>
        </w:numPr>
        <w:rPr>
          <w:rFonts w:ascii="Arial" w:cs="Arial" w:eastAsia="Arial" w:hAnsi="Arial"/>
          <w:sz w:val="16"/>
          <w:szCs w:val="16"/>
          <w:color w:val="002D73"/>
        </w:rPr>
      </w:pPr>
      <w:r>
        <w:rPr>
          <w:rFonts w:ascii="Arial" w:cs="Arial" w:eastAsia="Arial" w:hAnsi="Arial"/>
          <w:sz w:val="16"/>
          <w:szCs w:val="16"/>
          <w:color w:val="002D73"/>
        </w:rPr>
        <w:t>the applicability, if any, of the defeasance and covenant defeasance provisions described in this prospectus or in the applicable indenture;</w:t>
      </w:r>
    </w:p>
    <w:p>
      <w:pPr>
        <w:spacing w:after="0" w:line="153" w:lineRule="exact"/>
        <w:rPr>
          <w:rFonts w:ascii="Arial" w:cs="Arial" w:eastAsia="Arial" w:hAnsi="Arial"/>
          <w:sz w:val="16"/>
          <w:szCs w:val="16"/>
          <w:color w:val="002D73"/>
        </w:rPr>
      </w:pPr>
    </w:p>
    <w:p>
      <w:pPr>
        <w:ind w:left="1080" w:right="460" w:hanging="424"/>
        <w:spacing w:after="0" w:line="277" w:lineRule="auto"/>
        <w:tabs>
          <w:tab w:leader="none" w:pos="1080" w:val="left"/>
        </w:tabs>
        <w:numPr>
          <w:ilvl w:val="0"/>
          <w:numId w:val="68"/>
        </w:numPr>
        <w:rPr>
          <w:rFonts w:ascii="Arial" w:cs="Arial" w:eastAsia="Arial" w:hAnsi="Arial"/>
          <w:sz w:val="18"/>
          <w:szCs w:val="18"/>
          <w:color w:val="002D73"/>
        </w:rPr>
      </w:pPr>
      <w:r>
        <w:rPr>
          <w:rFonts w:ascii="Arial" w:cs="Arial" w:eastAsia="Arial" w:hAnsi="Arial"/>
          <w:sz w:val="18"/>
          <w:szCs w:val="18"/>
          <w:color w:val="002D73"/>
        </w:rPr>
        <w:t>whether and under what circumstances we will pay any additional amounts on the debt securities in respect of any tax, assessment or governmental charge;</w:t>
      </w:r>
    </w:p>
    <w:p>
      <w:pPr>
        <w:spacing w:after="0" w:line="75" w:lineRule="exact"/>
        <w:rPr>
          <w:rFonts w:ascii="Arial" w:cs="Arial" w:eastAsia="Arial" w:hAnsi="Arial"/>
          <w:sz w:val="18"/>
          <w:szCs w:val="18"/>
          <w:color w:val="002D73"/>
        </w:rPr>
      </w:pPr>
    </w:p>
    <w:p>
      <w:pPr>
        <w:ind w:left="1080" w:right="220" w:hanging="424"/>
        <w:spacing w:after="0" w:line="277" w:lineRule="auto"/>
        <w:tabs>
          <w:tab w:leader="none" w:pos="1080" w:val="left"/>
        </w:tabs>
        <w:numPr>
          <w:ilvl w:val="0"/>
          <w:numId w:val="68"/>
        </w:numPr>
        <w:rPr>
          <w:rFonts w:ascii="Arial" w:cs="Arial" w:eastAsia="Arial" w:hAnsi="Arial"/>
          <w:sz w:val="18"/>
          <w:szCs w:val="18"/>
          <w:color w:val="002D73"/>
        </w:rPr>
      </w:pPr>
      <w:r>
        <w:rPr>
          <w:rFonts w:ascii="Arial" w:cs="Arial" w:eastAsia="Arial" w:hAnsi="Arial"/>
          <w:sz w:val="18"/>
          <w:szCs w:val="18"/>
          <w:color w:val="002D73"/>
        </w:rPr>
        <w:t>whether and under what circumstances the debt securities being offered are convertible into common stock or other securities of ours, as the case may be, including the conversion price or rate and the manner or calculation thereof;</w:t>
      </w:r>
    </w:p>
    <w:p>
      <w:pPr>
        <w:spacing w:after="0" w:line="75" w:lineRule="exact"/>
        <w:rPr>
          <w:rFonts w:ascii="Arial" w:cs="Arial" w:eastAsia="Arial" w:hAnsi="Arial"/>
          <w:sz w:val="18"/>
          <w:szCs w:val="18"/>
          <w:color w:val="002D73"/>
        </w:rPr>
      </w:pPr>
    </w:p>
    <w:p>
      <w:pPr>
        <w:ind w:left="1080" w:right="300" w:hanging="424"/>
        <w:spacing w:after="0" w:line="277" w:lineRule="auto"/>
        <w:tabs>
          <w:tab w:leader="none" w:pos="1080" w:val="left"/>
        </w:tabs>
        <w:numPr>
          <w:ilvl w:val="0"/>
          <w:numId w:val="68"/>
        </w:numPr>
        <w:rPr>
          <w:rFonts w:ascii="Arial" w:cs="Arial" w:eastAsia="Arial" w:hAnsi="Arial"/>
          <w:sz w:val="18"/>
          <w:szCs w:val="18"/>
          <w:color w:val="002D73"/>
        </w:rPr>
      </w:pPr>
      <w:r>
        <w:rPr>
          <w:rFonts w:ascii="Arial" w:cs="Arial" w:eastAsia="Arial" w:hAnsi="Arial"/>
          <w:sz w:val="18"/>
          <w:szCs w:val="18"/>
          <w:color w:val="002D73"/>
        </w:rPr>
        <w:t>the name of the applicable trustee and the nature of any material relationship with us or any of our affiliates, and the percentage of debt securities of the class necessary to require the trustee to take action; and</w:t>
      </w:r>
    </w:p>
    <w:p>
      <w:pPr>
        <w:spacing w:after="0" w:line="75" w:lineRule="exact"/>
        <w:rPr>
          <w:rFonts w:ascii="Arial" w:cs="Arial" w:eastAsia="Arial" w:hAnsi="Arial"/>
          <w:sz w:val="18"/>
          <w:szCs w:val="18"/>
          <w:color w:val="002D73"/>
        </w:rPr>
      </w:pPr>
    </w:p>
    <w:p>
      <w:pPr>
        <w:ind w:left="1080" w:hanging="424"/>
        <w:spacing w:after="0"/>
        <w:tabs>
          <w:tab w:leader="none" w:pos="1080" w:val="left"/>
        </w:tabs>
        <w:numPr>
          <w:ilvl w:val="0"/>
          <w:numId w:val="68"/>
        </w:numPr>
        <w:rPr>
          <w:rFonts w:ascii="Arial" w:cs="Arial" w:eastAsia="Arial" w:hAnsi="Arial"/>
          <w:sz w:val="18"/>
          <w:szCs w:val="18"/>
          <w:color w:val="002D73"/>
        </w:rPr>
      </w:pPr>
      <w:r>
        <w:rPr>
          <w:rFonts w:ascii="Arial" w:cs="Arial" w:eastAsia="Arial" w:hAnsi="Arial"/>
          <w:sz w:val="18"/>
          <w:szCs w:val="18"/>
          <w:color w:val="002D73"/>
        </w:rPr>
        <w:t>any other terms of such debt securities not inconsistent with the provisions of the applicable indenture.</w:t>
      </w:r>
    </w:p>
    <w:p>
      <w:pPr>
        <w:spacing w:after="0" w:line="225" w:lineRule="exact"/>
        <w:rPr>
          <w:sz w:val="20"/>
          <w:szCs w:val="20"/>
          <w:color w:val="auto"/>
        </w:rPr>
      </w:pPr>
    </w:p>
    <w:p>
      <w:pPr>
        <w:jc w:val="both"/>
        <w:ind w:left="120" w:right="300" w:firstLine="440"/>
        <w:spacing w:after="0" w:line="259" w:lineRule="auto"/>
        <w:rPr>
          <w:sz w:val="20"/>
          <w:szCs w:val="20"/>
          <w:color w:val="auto"/>
        </w:rPr>
      </w:pPr>
      <w:r>
        <w:rPr>
          <w:rFonts w:ascii="Arial" w:cs="Arial" w:eastAsia="Arial" w:hAnsi="Arial"/>
          <w:sz w:val="18"/>
          <w:szCs w:val="18"/>
          <w:color w:val="002D73"/>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002D73"/>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7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002D73"/>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4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002D73"/>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Payment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002D73"/>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002D73"/>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2D73"/>
        </w:rPr>
        <w:t>18</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Denomination, Interest, Registration and Transfer</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002D73"/>
        </w:rPr>
        <w:t>Unless otherwise provided in the applicable prospectus supplement, the debt securities of any series will be issuable in denominations of $1,000 and integral multiples of $1,000.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Interest on the debt securities shall be computed on the basis of a 360-day year composed of twelve 30-day months.</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002D73"/>
        </w:rPr>
        <w:t>Subject to the limitations imposed upon debt securities that are evidenced by a computerized entry in the records of a depository company rather than by physical delivery of a note, a holder of debt securities of any series may:</w:t>
      </w:r>
    </w:p>
    <w:p>
      <w:pPr>
        <w:spacing w:after="0" w:line="76" w:lineRule="exact"/>
        <w:rPr>
          <w:sz w:val="20"/>
          <w:szCs w:val="20"/>
          <w:color w:val="auto"/>
        </w:rPr>
      </w:pPr>
    </w:p>
    <w:p>
      <w:pPr>
        <w:jc w:val="both"/>
        <w:ind w:left="1080" w:right="240" w:hanging="424"/>
        <w:spacing w:after="0" w:line="263" w:lineRule="auto"/>
        <w:tabs>
          <w:tab w:leader="none" w:pos="1080" w:val="left"/>
        </w:tabs>
        <w:numPr>
          <w:ilvl w:val="0"/>
          <w:numId w:val="69"/>
        </w:numPr>
        <w:rPr>
          <w:rFonts w:ascii="Arial" w:cs="Arial" w:eastAsia="Arial" w:hAnsi="Arial"/>
          <w:sz w:val="18"/>
          <w:szCs w:val="18"/>
          <w:color w:val="002D73"/>
        </w:rPr>
      </w:pPr>
      <w:r>
        <w:rPr>
          <w:rFonts w:ascii="Arial" w:cs="Arial" w:eastAsia="Arial" w:hAnsi="Arial"/>
          <w:sz w:val="18"/>
          <w:szCs w:val="18"/>
          <w:color w:val="002D73"/>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9" w:lineRule="exact"/>
        <w:rPr>
          <w:rFonts w:ascii="Arial" w:cs="Arial" w:eastAsia="Arial" w:hAnsi="Arial"/>
          <w:sz w:val="18"/>
          <w:szCs w:val="18"/>
          <w:color w:val="002D73"/>
        </w:rPr>
      </w:pPr>
    </w:p>
    <w:p>
      <w:pPr>
        <w:ind w:left="1080" w:right="180" w:hanging="424"/>
        <w:spacing w:after="0" w:line="277" w:lineRule="auto"/>
        <w:tabs>
          <w:tab w:leader="none" w:pos="1080" w:val="left"/>
        </w:tabs>
        <w:numPr>
          <w:ilvl w:val="0"/>
          <w:numId w:val="69"/>
        </w:numPr>
        <w:rPr>
          <w:rFonts w:ascii="Arial" w:cs="Arial" w:eastAsia="Arial" w:hAnsi="Arial"/>
          <w:sz w:val="18"/>
          <w:szCs w:val="18"/>
          <w:color w:val="002D73"/>
        </w:rPr>
      </w:pPr>
      <w:r>
        <w:rPr>
          <w:rFonts w:ascii="Arial" w:cs="Arial" w:eastAsia="Arial" w:hAnsi="Arial"/>
          <w:sz w:val="18"/>
          <w:szCs w:val="18"/>
          <w:color w:val="002D73"/>
        </w:rPr>
        <w:t>surrender them for registration of transfer or exchange at the corporate trust office of the applicable trustee or at the office of any transfer agent that we designate for such purpose.</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002D73"/>
        </w:rPr>
        <w:t>Every debt security surrendered for registration of transfer or exchange must be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We may at any time designate additional transfer agents for any series of debt securities.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Neither we, nor any trustee, will be required to:</w:t>
      </w:r>
    </w:p>
    <w:p>
      <w:pPr>
        <w:spacing w:after="0" w:line="131" w:lineRule="exact"/>
        <w:rPr>
          <w:sz w:val="20"/>
          <w:szCs w:val="20"/>
          <w:color w:val="auto"/>
        </w:rPr>
      </w:pPr>
    </w:p>
    <w:p>
      <w:pPr>
        <w:ind w:left="1080" w:right="20" w:hanging="424"/>
        <w:spacing w:after="0" w:line="263" w:lineRule="auto"/>
        <w:tabs>
          <w:tab w:leader="none" w:pos="1080" w:val="left"/>
        </w:tabs>
        <w:numPr>
          <w:ilvl w:val="0"/>
          <w:numId w:val="70"/>
        </w:numPr>
        <w:rPr>
          <w:rFonts w:ascii="Arial" w:cs="Arial" w:eastAsia="Arial" w:hAnsi="Arial"/>
          <w:sz w:val="18"/>
          <w:szCs w:val="18"/>
          <w:color w:val="002D73"/>
        </w:rPr>
      </w:pPr>
      <w:r>
        <w:rPr>
          <w:rFonts w:ascii="Arial" w:cs="Arial" w:eastAsia="Arial" w:hAnsi="Arial"/>
          <w:sz w:val="18"/>
          <w:szCs w:val="18"/>
          <w:color w:val="002D73"/>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9" w:lineRule="exact"/>
        <w:rPr>
          <w:rFonts w:ascii="Arial" w:cs="Arial" w:eastAsia="Arial" w:hAnsi="Arial"/>
          <w:sz w:val="18"/>
          <w:szCs w:val="18"/>
          <w:color w:val="002D73"/>
        </w:rPr>
      </w:pPr>
    </w:p>
    <w:p>
      <w:pPr>
        <w:ind w:left="1080" w:right="660" w:hanging="424"/>
        <w:spacing w:after="0" w:line="277" w:lineRule="auto"/>
        <w:tabs>
          <w:tab w:leader="none" w:pos="1080" w:val="left"/>
        </w:tabs>
        <w:numPr>
          <w:ilvl w:val="0"/>
          <w:numId w:val="70"/>
        </w:numPr>
        <w:rPr>
          <w:rFonts w:ascii="Arial" w:cs="Arial" w:eastAsia="Arial" w:hAnsi="Arial"/>
          <w:sz w:val="18"/>
          <w:szCs w:val="18"/>
          <w:color w:val="002D73"/>
        </w:rPr>
      </w:pPr>
      <w:r>
        <w:rPr>
          <w:rFonts w:ascii="Arial" w:cs="Arial" w:eastAsia="Arial" w:hAnsi="Arial"/>
          <w:sz w:val="18"/>
          <w:szCs w:val="18"/>
          <w:color w:val="002D73"/>
        </w:rPr>
        <w:t>register the transfer of or exchange any debt security, or portion thereof, so selected for redemption, in whole or in part, except the unredeemed portion of any debt security being redeemed in part; and</w:t>
      </w:r>
    </w:p>
    <w:p>
      <w:pPr>
        <w:spacing w:after="0" w:line="75" w:lineRule="exact"/>
        <w:rPr>
          <w:rFonts w:ascii="Arial" w:cs="Arial" w:eastAsia="Arial" w:hAnsi="Arial"/>
          <w:sz w:val="18"/>
          <w:szCs w:val="18"/>
          <w:color w:val="002D73"/>
        </w:rPr>
      </w:pPr>
    </w:p>
    <w:p>
      <w:pPr>
        <w:ind w:left="1080" w:right="140" w:hanging="424"/>
        <w:spacing w:after="0" w:line="277" w:lineRule="auto"/>
        <w:tabs>
          <w:tab w:leader="none" w:pos="1080" w:val="left"/>
        </w:tabs>
        <w:numPr>
          <w:ilvl w:val="0"/>
          <w:numId w:val="70"/>
        </w:numPr>
        <w:rPr>
          <w:rFonts w:ascii="Arial" w:cs="Arial" w:eastAsia="Arial" w:hAnsi="Arial"/>
          <w:sz w:val="18"/>
          <w:szCs w:val="18"/>
          <w:color w:val="002D73"/>
        </w:rPr>
      </w:pPr>
      <w:r>
        <w:rPr>
          <w:rFonts w:ascii="Arial" w:cs="Arial" w:eastAsia="Arial" w:hAnsi="Arial"/>
          <w:sz w:val="18"/>
          <w:szCs w:val="18"/>
          <w:color w:val="002D73"/>
        </w:rPr>
        <w:t>issue, register the transfer of or exchange any debt security that has been surrendered for repayment at the option of the holder, except the portion, if any, of such debt security not to be so repaid.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Merger, Consolidation or Sale of Assets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002D73"/>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76" w:lineRule="exact"/>
        <w:rPr>
          <w:sz w:val="20"/>
          <w:szCs w:val="20"/>
          <w:color w:val="auto"/>
        </w:rPr>
      </w:pPr>
    </w:p>
    <w:p>
      <w:pPr>
        <w:ind w:left="1080" w:right="320" w:hanging="424"/>
        <w:spacing w:after="0" w:line="263" w:lineRule="auto"/>
        <w:tabs>
          <w:tab w:leader="none" w:pos="1080" w:val="left"/>
        </w:tabs>
        <w:numPr>
          <w:ilvl w:val="0"/>
          <w:numId w:val="71"/>
        </w:numPr>
        <w:rPr>
          <w:rFonts w:ascii="Arial" w:cs="Arial" w:eastAsia="Arial" w:hAnsi="Arial"/>
          <w:sz w:val="18"/>
          <w:szCs w:val="18"/>
          <w:color w:val="002D73"/>
        </w:rPr>
      </w:pPr>
      <w:r>
        <w:rPr>
          <w:rFonts w:ascii="Arial" w:cs="Arial" w:eastAsia="Arial" w:hAnsi="Arial"/>
          <w:sz w:val="18"/>
          <w:szCs w:val="18"/>
          <w:color w:val="002D73"/>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the applicable indenture;</w:t>
      </w:r>
    </w:p>
    <w:p>
      <w:pPr>
        <w:spacing w:after="0" w:line="89" w:lineRule="exact"/>
        <w:rPr>
          <w:rFonts w:ascii="Arial" w:cs="Arial" w:eastAsia="Arial" w:hAnsi="Arial"/>
          <w:sz w:val="18"/>
          <w:szCs w:val="18"/>
          <w:color w:val="002D73"/>
        </w:rPr>
      </w:pPr>
    </w:p>
    <w:p>
      <w:pPr>
        <w:ind w:left="1080" w:right="340" w:hanging="424"/>
        <w:spacing w:after="0" w:line="277" w:lineRule="auto"/>
        <w:tabs>
          <w:tab w:leader="none" w:pos="1080" w:val="left"/>
        </w:tabs>
        <w:numPr>
          <w:ilvl w:val="0"/>
          <w:numId w:val="71"/>
        </w:numPr>
        <w:rPr>
          <w:rFonts w:ascii="Arial" w:cs="Arial" w:eastAsia="Arial" w:hAnsi="Arial"/>
          <w:sz w:val="18"/>
          <w:szCs w:val="18"/>
          <w:color w:val="002D73"/>
        </w:rPr>
      </w:pPr>
      <w:r>
        <w:rPr>
          <w:rFonts w:ascii="Arial" w:cs="Arial" w:eastAsia="Arial" w:hAnsi="Arial"/>
          <w:sz w:val="18"/>
          <w:szCs w:val="18"/>
          <w:color w:val="002D73"/>
        </w:rPr>
        <w:t>after giving effect to the transaction, there is no event of default under the applicable indentures and no event which, after notice or the lapse of time, or both, would become such an event of default, occurs and continues; and</w:t>
      </w:r>
    </w:p>
    <w:p>
      <w:pPr>
        <w:spacing w:after="0" w:line="75" w:lineRule="exact"/>
        <w:rPr>
          <w:rFonts w:ascii="Arial" w:cs="Arial" w:eastAsia="Arial" w:hAnsi="Arial"/>
          <w:sz w:val="18"/>
          <w:szCs w:val="18"/>
          <w:color w:val="002D73"/>
        </w:rPr>
      </w:pPr>
    </w:p>
    <w:p>
      <w:pPr>
        <w:ind w:left="1080" w:hanging="424"/>
        <w:spacing w:after="0"/>
        <w:tabs>
          <w:tab w:leader="none" w:pos="1080" w:val="left"/>
        </w:tabs>
        <w:numPr>
          <w:ilvl w:val="0"/>
          <w:numId w:val="71"/>
        </w:numPr>
        <w:rPr>
          <w:rFonts w:ascii="Arial" w:cs="Arial" w:eastAsia="Arial" w:hAnsi="Arial"/>
          <w:sz w:val="18"/>
          <w:szCs w:val="18"/>
          <w:color w:val="002D73"/>
        </w:rPr>
      </w:pPr>
      <w:r>
        <w:rPr>
          <w:rFonts w:ascii="Arial" w:cs="Arial" w:eastAsia="Arial" w:hAnsi="Arial"/>
          <w:sz w:val="18"/>
          <w:szCs w:val="18"/>
          <w:color w:val="002D73"/>
        </w:rPr>
        <w:t>an officers’ certificate and legal opinion covering such conditions are delivered to each applicable trustee.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002D73"/>
        </w:rPr>
        <w:t>19</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Events of Default, Notice and Waiver</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002D73"/>
        </w:rPr>
        <w:t>Unless the applicable prospectus supplement states otherwise, when we refer to “events of default” as defined in the indentures with respect to any series of debt securities, we mean:</w:t>
      </w:r>
    </w:p>
    <w:p>
      <w:pPr>
        <w:spacing w:after="0" w:line="76" w:lineRule="exact"/>
        <w:rPr>
          <w:sz w:val="20"/>
          <w:szCs w:val="20"/>
          <w:color w:val="auto"/>
        </w:rPr>
      </w:pPr>
    </w:p>
    <w:p>
      <w:pPr>
        <w:ind w:left="1080" w:right="220" w:hanging="424"/>
        <w:spacing w:after="0" w:line="277" w:lineRule="auto"/>
        <w:tabs>
          <w:tab w:leader="none" w:pos="1080" w:val="left"/>
        </w:tabs>
        <w:numPr>
          <w:ilvl w:val="0"/>
          <w:numId w:val="72"/>
        </w:numPr>
        <w:rPr>
          <w:rFonts w:ascii="Arial" w:cs="Arial" w:eastAsia="Arial" w:hAnsi="Arial"/>
          <w:sz w:val="18"/>
          <w:szCs w:val="18"/>
          <w:color w:val="002D73"/>
        </w:rPr>
      </w:pPr>
      <w:r>
        <w:rPr>
          <w:rFonts w:ascii="Arial" w:cs="Arial" w:eastAsia="Arial" w:hAnsi="Arial"/>
          <w:sz w:val="18"/>
          <w:szCs w:val="18"/>
          <w:color w:val="002D73"/>
        </w:rPr>
        <w:t>default in the payment of any installment of interest on any debt security of such series continuing for 90 days unless such date has been extended or deferred;</w:t>
      </w:r>
    </w:p>
    <w:p>
      <w:pPr>
        <w:spacing w:after="0" w:line="75" w:lineRule="exact"/>
        <w:rPr>
          <w:rFonts w:ascii="Arial" w:cs="Arial" w:eastAsia="Arial" w:hAnsi="Arial"/>
          <w:sz w:val="18"/>
          <w:szCs w:val="18"/>
          <w:color w:val="002D73"/>
        </w:rPr>
      </w:pPr>
    </w:p>
    <w:p>
      <w:pPr>
        <w:ind w:left="1080" w:right="180" w:hanging="424"/>
        <w:spacing w:after="0" w:line="277" w:lineRule="auto"/>
        <w:tabs>
          <w:tab w:leader="none" w:pos="1080" w:val="left"/>
        </w:tabs>
        <w:numPr>
          <w:ilvl w:val="0"/>
          <w:numId w:val="72"/>
        </w:numPr>
        <w:rPr>
          <w:rFonts w:ascii="Arial" w:cs="Arial" w:eastAsia="Arial" w:hAnsi="Arial"/>
          <w:sz w:val="18"/>
          <w:szCs w:val="18"/>
          <w:color w:val="002D73"/>
        </w:rPr>
      </w:pPr>
      <w:r>
        <w:rPr>
          <w:rFonts w:ascii="Arial" w:cs="Arial" w:eastAsia="Arial" w:hAnsi="Arial"/>
          <w:sz w:val="18"/>
          <w:szCs w:val="18"/>
          <w:color w:val="002D73"/>
        </w:rPr>
        <w:t>default in the payment of principal of, or any premium or make-whole amount on, any debt security of such series when due and payable unless such date has been extended or deferred;</w:t>
      </w:r>
    </w:p>
    <w:p>
      <w:pPr>
        <w:spacing w:after="0" w:line="75" w:lineRule="exact"/>
        <w:rPr>
          <w:rFonts w:ascii="Arial" w:cs="Arial" w:eastAsia="Arial" w:hAnsi="Arial"/>
          <w:sz w:val="18"/>
          <w:szCs w:val="18"/>
          <w:color w:val="002D73"/>
        </w:rPr>
      </w:pPr>
    </w:p>
    <w:p>
      <w:pPr>
        <w:ind w:left="1080" w:right="340" w:hanging="424"/>
        <w:spacing w:after="0" w:line="277" w:lineRule="auto"/>
        <w:tabs>
          <w:tab w:leader="none" w:pos="1080" w:val="left"/>
        </w:tabs>
        <w:numPr>
          <w:ilvl w:val="0"/>
          <w:numId w:val="72"/>
        </w:numPr>
        <w:rPr>
          <w:rFonts w:ascii="Arial" w:cs="Arial" w:eastAsia="Arial" w:hAnsi="Arial"/>
          <w:sz w:val="18"/>
          <w:szCs w:val="18"/>
          <w:color w:val="002D73"/>
        </w:rPr>
      </w:pPr>
      <w:r>
        <w:rPr>
          <w:rFonts w:ascii="Arial" w:cs="Arial" w:eastAsia="Arial" w:hAnsi="Arial"/>
          <w:sz w:val="18"/>
          <w:szCs w:val="18"/>
          <w:color w:val="002D73"/>
        </w:rPr>
        <w:t>default in the performance or breach of any covenant or warranty in the debt securities or in the indenture by us continuing for 90 days after written notice described below;</w:t>
      </w:r>
    </w:p>
    <w:p>
      <w:pPr>
        <w:spacing w:after="0" w:line="75" w:lineRule="exact"/>
        <w:rPr>
          <w:rFonts w:ascii="Arial" w:cs="Arial" w:eastAsia="Arial" w:hAnsi="Arial"/>
          <w:sz w:val="18"/>
          <w:szCs w:val="18"/>
          <w:color w:val="002D73"/>
        </w:rPr>
      </w:pPr>
    </w:p>
    <w:p>
      <w:pPr>
        <w:ind w:left="1080" w:hanging="424"/>
        <w:spacing w:after="0"/>
        <w:tabs>
          <w:tab w:leader="none" w:pos="1080" w:val="left"/>
        </w:tabs>
        <w:numPr>
          <w:ilvl w:val="0"/>
          <w:numId w:val="72"/>
        </w:numPr>
        <w:rPr>
          <w:rFonts w:ascii="Arial" w:cs="Arial" w:eastAsia="Arial" w:hAnsi="Arial"/>
          <w:sz w:val="18"/>
          <w:szCs w:val="18"/>
          <w:color w:val="002D73"/>
        </w:rPr>
      </w:pPr>
      <w:r>
        <w:rPr>
          <w:rFonts w:ascii="Arial" w:cs="Arial" w:eastAsia="Arial" w:hAnsi="Arial"/>
          <w:sz w:val="18"/>
          <w:szCs w:val="18"/>
          <w:color w:val="002D73"/>
        </w:rPr>
        <w:t>bankruptcy, insolvency or reorganization, or court appointment of a receiver, liquidator or trustee of us; and</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72"/>
        </w:numPr>
        <w:rPr>
          <w:rFonts w:ascii="Arial" w:cs="Arial" w:eastAsia="Arial" w:hAnsi="Arial"/>
          <w:sz w:val="18"/>
          <w:szCs w:val="18"/>
          <w:color w:val="002D73"/>
        </w:rPr>
      </w:pPr>
      <w:r>
        <w:rPr>
          <w:rFonts w:ascii="Arial" w:cs="Arial" w:eastAsia="Arial" w:hAnsi="Arial"/>
          <w:sz w:val="18"/>
          <w:szCs w:val="18"/>
          <w:color w:val="002D73"/>
        </w:rPr>
        <w:t>any other event of default provided with respect to a particular series of debt securities.</w:t>
      </w:r>
    </w:p>
    <w:p>
      <w:pPr>
        <w:spacing w:after="0" w:line="22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002D73"/>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7" w:lineRule="exact"/>
        <w:rPr>
          <w:sz w:val="20"/>
          <w:szCs w:val="20"/>
          <w:color w:val="auto"/>
        </w:rPr>
      </w:pPr>
    </w:p>
    <w:p>
      <w:pPr>
        <w:jc w:val="both"/>
        <w:ind w:left="1080" w:right="100" w:hanging="424"/>
        <w:spacing w:after="0" w:line="263" w:lineRule="auto"/>
        <w:tabs>
          <w:tab w:leader="none" w:pos="1080" w:val="left"/>
        </w:tabs>
        <w:numPr>
          <w:ilvl w:val="0"/>
          <w:numId w:val="73"/>
        </w:numPr>
        <w:rPr>
          <w:rFonts w:ascii="Arial" w:cs="Arial" w:eastAsia="Arial" w:hAnsi="Arial"/>
          <w:sz w:val="18"/>
          <w:szCs w:val="18"/>
          <w:color w:val="002D73"/>
        </w:rPr>
      </w:pPr>
      <w:r>
        <w:rPr>
          <w:rFonts w:ascii="Arial" w:cs="Arial" w:eastAsia="Arial" w:hAnsi="Arial"/>
          <w:sz w:val="18"/>
          <w:szCs w:val="18"/>
          <w:color w:val="002D73"/>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9" w:lineRule="exact"/>
        <w:rPr>
          <w:rFonts w:ascii="Arial" w:cs="Arial" w:eastAsia="Arial" w:hAnsi="Arial"/>
          <w:sz w:val="18"/>
          <w:szCs w:val="18"/>
          <w:color w:val="002D73"/>
        </w:rPr>
      </w:pPr>
    </w:p>
    <w:p>
      <w:pPr>
        <w:ind w:left="1080" w:right="140" w:hanging="424"/>
        <w:spacing w:after="0" w:line="277" w:lineRule="auto"/>
        <w:tabs>
          <w:tab w:leader="none" w:pos="1080" w:val="left"/>
        </w:tabs>
        <w:numPr>
          <w:ilvl w:val="0"/>
          <w:numId w:val="73"/>
        </w:numPr>
        <w:rPr>
          <w:rFonts w:ascii="Arial" w:cs="Arial" w:eastAsia="Arial" w:hAnsi="Arial"/>
          <w:sz w:val="18"/>
          <w:szCs w:val="18"/>
          <w:color w:val="002D73"/>
        </w:rPr>
      </w:pPr>
      <w:r>
        <w:rPr>
          <w:rFonts w:ascii="Arial" w:cs="Arial" w:eastAsia="Arial" w:hAnsi="Arial"/>
          <w:sz w:val="18"/>
          <w:szCs w:val="18"/>
          <w:color w:val="002D73"/>
        </w:rPr>
        <w:t>all events of default, other than the non-payment of accelerated principal, or a specified portion thereof, and any premium or make-whole amount, have been cured or waived.</w:t>
      </w:r>
    </w:p>
    <w:p>
      <w:pPr>
        <w:spacing w:after="0" w:line="170"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002D73"/>
        </w:rPr>
        <w:t>The indentures require each trustee to give notice to the holders of debt securities within the later of 90 days after an event of default and 30 days after the event of default is actually known to a responsible officer of such trustee, unless such default has been cured or waived. However, the trustee may withhold notice if specified persons of such trustee consider such withholding to be in the interest of the holders of debt securities.</w:t>
      </w:r>
    </w:p>
    <w:p>
      <w:pPr>
        <w:spacing w:after="0" w:line="14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002D73"/>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9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002D73"/>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002D73"/>
        </w:rPr>
        <w:t>20</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002D73"/>
        </w:rPr>
        <w:t>the time, method and place of conducting any proceeding for any remedy available to the applicable trustee, or of exercising any trust or power conferred upon such trustee. However, a trustee may refuse to follow any direction which:</w:t>
      </w:r>
    </w:p>
    <w:p>
      <w:pPr>
        <w:spacing w:after="0" w:line="76"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002D73"/>
        </w:rPr>
      </w:pPr>
      <w:r>
        <w:rPr>
          <w:rFonts w:ascii="Arial" w:cs="Arial" w:eastAsia="Arial" w:hAnsi="Arial"/>
          <w:sz w:val="18"/>
          <w:szCs w:val="18"/>
          <w:color w:val="002D73"/>
        </w:rPr>
        <w:t>is in conflict with any law or the applicable indenture;</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74"/>
        </w:numPr>
        <w:rPr>
          <w:rFonts w:ascii="Arial" w:cs="Arial" w:eastAsia="Arial" w:hAnsi="Arial"/>
          <w:sz w:val="18"/>
          <w:szCs w:val="18"/>
          <w:color w:val="002D73"/>
        </w:rPr>
      </w:pPr>
      <w:r>
        <w:rPr>
          <w:rFonts w:ascii="Arial" w:cs="Arial" w:eastAsia="Arial" w:hAnsi="Arial"/>
          <w:sz w:val="18"/>
          <w:szCs w:val="18"/>
          <w:color w:val="002D73"/>
        </w:rPr>
        <w:t>may involve the trustee in personal liability; or</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74"/>
        </w:numPr>
        <w:rPr>
          <w:rFonts w:ascii="Arial" w:cs="Arial" w:eastAsia="Arial" w:hAnsi="Arial"/>
          <w:sz w:val="18"/>
          <w:szCs w:val="18"/>
          <w:color w:val="002D73"/>
        </w:rPr>
      </w:pPr>
      <w:r>
        <w:rPr>
          <w:rFonts w:ascii="Arial" w:cs="Arial" w:eastAsia="Arial" w:hAnsi="Arial"/>
          <w:sz w:val="18"/>
          <w:szCs w:val="18"/>
          <w:color w:val="002D73"/>
        </w:rPr>
        <w:t>may be unduly prejudicial to the holders of debt securities of the series not joining the proceeding.</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002D73"/>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Modification of the Indentures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002D73"/>
        </w:rPr>
        <w:t>The indentures provide that modifications and amendments may be made only with the consent of the affected holders of a majority in principal amount of all outstanding debt securities issued under that indenture:</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002D73"/>
        </w:rPr>
        <w:t>We and our respective trustee may make modifications and amendments of an indenture without the consent of any holder of debt securities for any of the following purposes:</w:t>
      </w:r>
    </w:p>
    <w:p>
      <w:pPr>
        <w:spacing w:after="0" w:line="76"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002D73"/>
        </w:rPr>
      </w:pPr>
      <w:r>
        <w:rPr>
          <w:rFonts w:ascii="Arial" w:cs="Arial" w:eastAsia="Arial" w:hAnsi="Arial"/>
          <w:sz w:val="18"/>
          <w:szCs w:val="18"/>
          <w:color w:val="002D73"/>
        </w:rPr>
        <w:t>to evidence the succession of another person to us as obligor under such indenture;</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75"/>
        </w:numPr>
        <w:rPr>
          <w:rFonts w:ascii="Arial" w:cs="Arial" w:eastAsia="Arial" w:hAnsi="Arial"/>
          <w:sz w:val="18"/>
          <w:szCs w:val="18"/>
          <w:color w:val="002D73"/>
        </w:rPr>
      </w:pPr>
      <w:r>
        <w:rPr>
          <w:rFonts w:ascii="Arial" w:cs="Arial" w:eastAsia="Arial" w:hAnsi="Arial"/>
          <w:sz w:val="18"/>
          <w:szCs w:val="18"/>
          <w:color w:val="002D73"/>
        </w:rPr>
        <w:t>to provide for uncertificated debt securities in addition to or in place of certificated debt securities;</w:t>
      </w:r>
    </w:p>
    <w:p>
      <w:pPr>
        <w:spacing w:after="0" w:line="130" w:lineRule="exact"/>
        <w:rPr>
          <w:rFonts w:ascii="Arial" w:cs="Arial" w:eastAsia="Arial" w:hAnsi="Arial"/>
          <w:sz w:val="18"/>
          <w:szCs w:val="18"/>
          <w:color w:val="002D73"/>
        </w:rPr>
      </w:pPr>
    </w:p>
    <w:p>
      <w:pPr>
        <w:ind w:left="1080" w:right="340" w:hanging="424"/>
        <w:spacing w:after="0" w:line="277" w:lineRule="auto"/>
        <w:tabs>
          <w:tab w:leader="none" w:pos="1080" w:val="left"/>
        </w:tabs>
        <w:numPr>
          <w:ilvl w:val="0"/>
          <w:numId w:val="75"/>
        </w:numPr>
        <w:rPr>
          <w:rFonts w:ascii="Arial" w:cs="Arial" w:eastAsia="Arial" w:hAnsi="Arial"/>
          <w:sz w:val="18"/>
          <w:szCs w:val="18"/>
          <w:color w:val="002D73"/>
        </w:rPr>
      </w:pPr>
      <w:r>
        <w:rPr>
          <w:rFonts w:ascii="Arial" w:cs="Arial" w:eastAsia="Arial" w:hAnsi="Arial"/>
          <w:sz w:val="18"/>
          <w:szCs w:val="18"/>
          <w:color w:val="002D73"/>
        </w:rPr>
        <w:t>to add to our covenants for the benefit of the holders of all or any series of debt securities or to surrender any right or power conferred upon us in such indenture;</w:t>
      </w:r>
    </w:p>
    <w:p>
      <w:pPr>
        <w:spacing w:after="0" w:line="75" w:lineRule="exact"/>
        <w:rPr>
          <w:rFonts w:ascii="Arial" w:cs="Arial" w:eastAsia="Arial" w:hAnsi="Arial"/>
          <w:sz w:val="18"/>
          <w:szCs w:val="18"/>
          <w:color w:val="002D73"/>
        </w:rPr>
      </w:pPr>
    </w:p>
    <w:p>
      <w:pPr>
        <w:ind w:left="1080" w:hanging="424"/>
        <w:spacing w:after="0"/>
        <w:tabs>
          <w:tab w:leader="none" w:pos="1080" w:val="left"/>
        </w:tabs>
        <w:numPr>
          <w:ilvl w:val="0"/>
          <w:numId w:val="75"/>
        </w:numPr>
        <w:rPr>
          <w:rFonts w:ascii="Arial" w:cs="Arial" w:eastAsia="Arial" w:hAnsi="Arial"/>
          <w:sz w:val="18"/>
          <w:szCs w:val="18"/>
          <w:color w:val="002D73"/>
        </w:rPr>
      </w:pPr>
      <w:r>
        <w:rPr>
          <w:rFonts w:ascii="Arial" w:cs="Arial" w:eastAsia="Arial" w:hAnsi="Arial"/>
          <w:sz w:val="18"/>
          <w:szCs w:val="18"/>
          <w:color w:val="002D73"/>
        </w:rPr>
        <w:t>to add events of default for the benefit of the holders of all or any series of debt securities;</w:t>
      </w:r>
    </w:p>
    <w:p>
      <w:pPr>
        <w:spacing w:after="0" w:line="130" w:lineRule="exact"/>
        <w:rPr>
          <w:rFonts w:ascii="Arial" w:cs="Arial" w:eastAsia="Arial" w:hAnsi="Arial"/>
          <w:sz w:val="18"/>
          <w:szCs w:val="18"/>
          <w:color w:val="002D73"/>
        </w:rPr>
      </w:pPr>
    </w:p>
    <w:p>
      <w:pPr>
        <w:ind w:left="1080" w:right="680" w:hanging="424"/>
        <w:spacing w:after="0" w:line="277" w:lineRule="auto"/>
        <w:tabs>
          <w:tab w:leader="none" w:pos="1080" w:val="left"/>
        </w:tabs>
        <w:numPr>
          <w:ilvl w:val="0"/>
          <w:numId w:val="75"/>
        </w:numPr>
        <w:rPr>
          <w:rFonts w:ascii="Arial" w:cs="Arial" w:eastAsia="Arial" w:hAnsi="Arial"/>
          <w:sz w:val="18"/>
          <w:szCs w:val="18"/>
          <w:color w:val="002D73"/>
        </w:rPr>
      </w:pPr>
      <w:r>
        <w:rPr>
          <w:rFonts w:ascii="Arial" w:cs="Arial" w:eastAsia="Arial" w:hAnsi="Arial"/>
          <w:sz w:val="18"/>
          <w:szCs w:val="18"/>
          <w:color w:val="002D73"/>
        </w:rPr>
        <w:t>to add to, delete from, or revise the conditions, limitations, and restrictions on the authorized amount, terms, or purposes of issue, authentication, and delivery of debt securities;</w:t>
      </w:r>
    </w:p>
    <w:p>
      <w:pPr>
        <w:spacing w:after="0" w:line="75" w:lineRule="exact"/>
        <w:rPr>
          <w:rFonts w:ascii="Arial" w:cs="Arial" w:eastAsia="Arial" w:hAnsi="Arial"/>
          <w:sz w:val="18"/>
          <w:szCs w:val="18"/>
          <w:color w:val="002D73"/>
        </w:rPr>
      </w:pPr>
    </w:p>
    <w:p>
      <w:pPr>
        <w:ind w:left="1080" w:hanging="424"/>
        <w:spacing w:after="0"/>
        <w:tabs>
          <w:tab w:leader="none" w:pos="1080" w:val="left"/>
        </w:tabs>
        <w:numPr>
          <w:ilvl w:val="0"/>
          <w:numId w:val="75"/>
        </w:numPr>
        <w:rPr>
          <w:rFonts w:ascii="Arial" w:cs="Arial" w:eastAsia="Arial" w:hAnsi="Arial"/>
          <w:sz w:val="18"/>
          <w:szCs w:val="18"/>
          <w:color w:val="002D73"/>
        </w:rPr>
      </w:pPr>
      <w:r>
        <w:rPr>
          <w:rFonts w:ascii="Arial" w:cs="Arial" w:eastAsia="Arial" w:hAnsi="Arial"/>
          <w:sz w:val="18"/>
          <w:szCs w:val="18"/>
          <w:color w:val="002D73"/>
        </w:rPr>
        <w:t>to make any change that does not adversely affect the rights of any securityholder in any material respect;</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75"/>
        </w:numPr>
        <w:rPr>
          <w:rFonts w:ascii="Arial" w:cs="Arial" w:eastAsia="Arial" w:hAnsi="Arial"/>
          <w:sz w:val="18"/>
          <w:szCs w:val="18"/>
          <w:color w:val="002D73"/>
        </w:rPr>
      </w:pPr>
      <w:r>
        <w:rPr>
          <w:rFonts w:ascii="Arial" w:cs="Arial" w:eastAsia="Arial" w:hAnsi="Arial"/>
          <w:sz w:val="18"/>
          <w:szCs w:val="18"/>
          <w:color w:val="002D73"/>
        </w:rPr>
        <w:t>to establish the form or terms of debt securities of any series;</w:t>
      </w:r>
    </w:p>
    <w:p>
      <w:pPr>
        <w:spacing w:after="0" w:line="130" w:lineRule="exact"/>
        <w:rPr>
          <w:rFonts w:ascii="Arial" w:cs="Arial" w:eastAsia="Arial" w:hAnsi="Arial"/>
          <w:sz w:val="18"/>
          <w:szCs w:val="18"/>
          <w:color w:val="002D73"/>
        </w:rPr>
      </w:pPr>
    </w:p>
    <w:p>
      <w:pPr>
        <w:ind w:left="1080" w:hanging="424"/>
        <w:spacing w:after="0" w:line="277" w:lineRule="auto"/>
        <w:tabs>
          <w:tab w:leader="none" w:pos="1080" w:val="left"/>
        </w:tabs>
        <w:numPr>
          <w:ilvl w:val="0"/>
          <w:numId w:val="75"/>
        </w:numPr>
        <w:rPr>
          <w:rFonts w:ascii="Arial" w:cs="Arial" w:eastAsia="Arial" w:hAnsi="Arial"/>
          <w:sz w:val="18"/>
          <w:szCs w:val="18"/>
          <w:color w:val="002D73"/>
        </w:rPr>
      </w:pPr>
      <w:r>
        <w:rPr>
          <w:rFonts w:ascii="Arial" w:cs="Arial" w:eastAsia="Arial" w:hAnsi="Arial"/>
          <w:sz w:val="18"/>
          <w:szCs w:val="18"/>
          <w:color w:val="002D73"/>
        </w:rPr>
        <w:t>to provide for the acceptance of appointment by a successor trustee or facilitate the administration of the trusts under an indenture by more than one trustee; or</w:t>
      </w:r>
    </w:p>
    <w:p>
      <w:pPr>
        <w:spacing w:after="0" w:line="75" w:lineRule="exact"/>
        <w:rPr>
          <w:rFonts w:ascii="Arial" w:cs="Arial" w:eastAsia="Arial" w:hAnsi="Arial"/>
          <w:sz w:val="18"/>
          <w:szCs w:val="18"/>
          <w:color w:val="002D73"/>
        </w:rPr>
      </w:pPr>
    </w:p>
    <w:p>
      <w:pPr>
        <w:ind w:left="1080" w:right="120" w:hanging="424"/>
        <w:spacing w:after="0" w:line="277" w:lineRule="auto"/>
        <w:tabs>
          <w:tab w:leader="none" w:pos="1080" w:val="left"/>
        </w:tabs>
        <w:numPr>
          <w:ilvl w:val="0"/>
          <w:numId w:val="75"/>
        </w:numPr>
        <w:rPr>
          <w:rFonts w:ascii="Arial" w:cs="Arial" w:eastAsia="Arial" w:hAnsi="Arial"/>
          <w:sz w:val="18"/>
          <w:szCs w:val="18"/>
          <w:color w:val="002D73"/>
        </w:rPr>
      </w:pPr>
      <w:r>
        <w:rPr>
          <w:rFonts w:ascii="Arial" w:cs="Arial" w:eastAsia="Arial" w:hAnsi="Arial"/>
          <w:sz w:val="18"/>
          <w:szCs w:val="18"/>
          <w:color w:val="002D73"/>
        </w:rPr>
        <w:t>to cure any ambiguity, defect or inconsistency in an indenture, provided that such action shall not adversely affect the interests of holders of debt securities of any series issued under such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Voting</w:t>
      </w:r>
    </w:p>
    <w:p>
      <w:pPr>
        <w:spacing w:after="0" w:line="121"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002D73"/>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Subordination</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002D73"/>
        </w:rPr>
        <w:t>Unless otherwise provided in the applicable prospectus supplement, subordinated debt securities will be subject to the following subordination provisions.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2D73"/>
        </w:rPr>
        <w:t>21</w:t>
      </w:r>
    </w:p>
    <w:p>
      <w:pPr>
        <w:sectPr>
          <w:pgSz w:w="11900" w:h="16838" w:orient="portrait"/>
          <w:cols w:equalWidth="0" w:num="1">
            <w:col w:w="11080"/>
          </w:cols>
          <w:pgMar w:left="32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002D73"/>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No restrictions will be included in any indenture relating to subordinated debt securities upon the creation of additional senior debt.</w:t>
      </w:r>
    </w:p>
    <w:p>
      <w:pPr>
        <w:spacing w:after="0" w:line="22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002D73"/>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Discharge, Defeasance and Covenant Defeasance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002D73"/>
        </w:rPr>
        <w:t>Unless otherwise provided in the applicable prospectus supplement, the indentures allow us to discharge our obligations to holders of any series of debt securities issued under any indenture when:</w:t>
      </w:r>
    </w:p>
    <w:p>
      <w:pPr>
        <w:spacing w:after="0" w:line="76" w:lineRule="exact"/>
        <w:rPr>
          <w:sz w:val="20"/>
          <w:szCs w:val="20"/>
          <w:color w:val="auto"/>
        </w:rPr>
      </w:pPr>
    </w:p>
    <w:p>
      <w:pPr>
        <w:ind w:left="1080" w:hanging="424"/>
        <w:spacing w:after="0" w:line="272" w:lineRule="auto"/>
        <w:tabs>
          <w:tab w:leader="none" w:pos="1080" w:val="left"/>
        </w:tabs>
        <w:numPr>
          <w:ilvl w:val="0"/>
          <w:numId w:val="76"/>
        </w:numPr>
        <w:rPr>
          <w:rFonts w:ascii="Arial" w:cs="Arial" w:eastAsia="Arial" w:hAnsi="Arial"/>
          <w:sz w:val="17"/>
          <w:szCs w:val="17"/>
          <w:color w:val="002D73"/>
        </w:rPr>
      </w:pPr>
      <w:r>
        <w:rPr>
          <w:rFonts w:ascii="Arial" w:cs="Arial" w:eastAsia="Arial" w:hAnsi="Arial"/>
          <w:sz w:val="17"/>
          <w:szCs w:val="17"/>
          <w:color w:val="002D73"/>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82" w:lineRule="exact"/>
        <w:rPr>
          <w:rFonts w:ascii="Arial" w:cs="Arial" w:eastAsia="Arial" w:hAnsi="Arial"/>
          <w:sz w:val="17"/>
          <w:szCs w:val="17"/>
          <w:color w:val="002D73"/>
        </w:rPr>
      </w:pPr>
    </w:p>
    <w:p>
      <w:pPr>
        <w:ind w:left="1080" w:hanging="424"/>
        <w:spacing w:after="0"/>
        <w:tabs>
          <w:tab w:leader="none" w:pos="1080" w:val="left"/>
        </w:tabs>
        <w:numPr>
          <w:ilvl w:val="0"/>
          <w:numId w:val="76"/>
        </w:numPr>
        <w:rPr>
          <w:rFonts w:ascii="Arial" w:cs="Arial" w:eastAsia="Arial" w:hAnsi="Arial"/>
          <w:sz w:val="18"/>
          <w:szCs w:val="18"/>
          <w:color w:val="002D73"/>
        </w:rPr>
      </w:pPr>
      <w:r>
        <w:rPr>
          <w:rFonts w:ascii="Arial" w:cs="Arial" w:eastAsia="Arial" w:hAnsi="Arial"/>
          <w:sz w:val="18"/>
          <w:szCs w:val="18"/>
          <w:color w:val="002D73"/>
        </w:rPr>
        <w:t>we have paid or caused to be paid all other sums payable; and</w:t>
      </w:r>
    </w:p>
    <w:p>
      <w:pPr>
        <w:spacing w:after="0" w:line="130" w:lineRule="exact"/>
        <w:rPr>
          <w:rFonts w:ascii="Arial" w:cs="Arial" w:eastAsia="Arial" w:hAnsi="Arial"/>
          <w:sz w:val="18"/>
          <w:szCs w:val="18"/>
          <w:color w:val="002D73"/>
        </w:rPr>
      </w:pPr>
    </w:p>
    <w:p>
      <w:pPr>
        <w:ind w:left="1080" w:right="460" w:hanging="424"/>
        <w:spacing w:after="0" w:line="277" w:lineRule="auto"/>
        <w:tabs>
          <w:tab w:leader="none" w:pos="1080" w:val="left"/>
        </w:tabs>
        <w:numPr>
          <w:ilvl w:val="0"/>
          <w:numId w:val="76"/>
        </w:numPr>
        <w:rPr>
          <w:rFonts w:ascii="Arial" w:cs="Arial" w:eastAsia="Arial" w:hAnsi="Arial"/>
          <w:sz w:val="18"/>
          <w:szCs w:val="18"/>
          <w:color w:val="002D73"/>
        </w:rPr>
      </w:pPr>
      <w:r>
        <w:rPr>
          <w:rFonts w:ascii="Arial" w:cs="Arial" w:eastAsia="Arial" w:hAnsi="Arial"/>
          <w:sz w:val="18"/>
          <w:szCs w:val="18"/>
          <w:color w:val="002D73"/>
        </w:rPr>
        <w:t>an officers’ certificate and an opinion of counsel stating the conditions to discharging the debt securities have been satisfied has been delivered to the trustee.</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002D73"/>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002D73"/>
        </w:rPr>
        <w:t>Notwithstanding the above, we may not elect to defease and be discharged from the obligation to pay any additional amounts upon the occurrence of particular events of tax, assessment or governmental charge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002D73"/>
        </w:rPr>
        <w:t>22</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002D73"/>
        </w:rPr>
        <w:t>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4"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002D73"/>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Conversion Rights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002D73"/>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No Recourse</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002D73"/>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Governing Law</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002D73"/>
        </w:rPr>
        <w:t>The indentures and the debt securities will be governed by and construed in accordance with the laws of the State of New York, except to the extent that the Trust Indenture Act is applicable.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2D73"/>
        </w:rPr>
        <w:t>23</w:t>
      </w:r>
    </w:p>
    <w:p>
      <w:pPr>
        <w:sectPr>
          <w:pgSz w:w="11900" w:h="16838" w:orient="portrait"/>
          <w:cols w:equalWidth="0" w:num="1">
            <w:col w:w="11060"/>
          </w:cols>
          <w:pgMar w:left="320" w:top="459"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02D73"/>
        </w:rPr>
        <w:t>DESCRIPTION OF WARRANTS</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002D73"/>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General</w:t>
      </w:r>
    </w:p>
    <w:p>
      <w:pPr>
        <w:spacing w:after="0" w:line="12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002D73"/>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002D73"/>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002D73"/>
        </w:rPr>
      </w:pPr>
      <w:r>
        <w:rPr>
          <w:rFonts w:ascii="Arial" w:cs="Arial" w:eastAsia="Arial" w:hAnsi="Arial"/>
          <w:sz w:val="18"/>
          <w:szCs w:val="18"/>
          <w:color w:val="002D73"/>
        </w:rPr>
        <w:t>the offering price and aggregate number of warrants offered;</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77"/>
        </w:numPr>
        <w:rPr>
          <w:rFonts w:ascii="Arial" w:cs="Arial" w:eastAsia="Arial" w:hAnsi="Arial"/>
          <w:sz w:val="18"/>
          <w:szCs w:val="18"/>
          <w:color w:val="002D73"/>
        </w:rPr>
      </w:pPr>
      <w:r>
        <w:rPr>
          <w:rFonts w:ascii="Arial" w:cs="Arial" w:eastAsia="Arial" w:hAnsi="Arial"/>
          <w:sz w:val="18"/>
          <w:szCs w:val="18"/>
          <w:color w:val="002D73"/>
        </w:rPr>
        <w:t>the currency for which the warrants may be purchased;</w:t>
      </w:r>
    </w:p>
    <w:p>
      <w:pPr>
        <w:spacing w:after="0" w:line="130" w:lineRule="exact"/>
        <w:rPr>
          <w:rFonts w:ascii="Arial" w:cs="Arial" w:eastAsia="Arial" w:hAnsi="Arial"/>
          <w:sz w:val="18"/>
          <w:szCs w:val="18"/>
          <w:color w:val="002D73"/>
        </w:rPr>
      </w:pPr>
    </w:p>
    <w:p>
      <w:pPr>
        <w:ind w:left="1080" w:right="220" w:hanging="424"/>
        <w:spacing w:after="0" w:line="277" w:lineRule="auto"/>
        <w:tabs>
          <w:tab w:leader="none" w:pos="1080" w:val="left"/>
        </w:tabs>
        <w:numPr>
          <w:ilvl w:val="0"/>
          <w:numId w:val="77"/>
        </w:numPr>
        <w:rPr>
          <w:rFonts w:ascii="Arial" w:cs="Arial" w:eastAsia="Arial" w:hAnsi="Arial"/>
          <w:sz w:val="18"/>
          <w:szCs w:val="18"/>
          <w:color w:val="002D73"/>
        </w:rPr>
      </w:pPr>
      <w:r>
        <w:rPr>
          <w:rFonts w:ascii="Arial" w:cs="Arial" w:eastAsia="Arial" w:hAnsi="Arial"/>
          <w:sz w:val="18"/>
          <w:szCs w:val="18"/>
          <w:color w:val="002D73"/>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002D73"/>
        </w:rPr>
      </w:pPr>
    </w:p>
    <w:p>
      <w:pPr>
        <w:ind w:left="1080" w:hanging="424"/>
        <w:spacing w:after="0"/>
        <w:tabs>
          <w:tab w:leader="none" w:pos="1080" w:val="left"/>
        </w:tabs>
        <w:numPr>
          <w:ilvl w:val="0"/>
          <w:numId w:val="77"/>
        </w:numPr>
        <w:rPr>
          <w:rFonts w:ascii="Arial" w:cs="Arial" w:eastAsia="Arial" w:hAnsi="Arial"/>
          <w:sz w:val="18"/>
          <w:szCs w:val="18"/>
          <w:color w:val="002D73"/>
        </w:rPr>
      </w:pPr>
      <w:r>
        <w:rPr>
          <w:rFonts w:ascii="Arial" w:cs="Arial" w:eastAsia="Arial" w:hAnsi="Arial"/>
          <w:sz w:val="18"/>
          <w:szCs w:val="18"/>
          <w:color w:val="002D73"/>
        </w:rPr>
        <w:t>if applicable, the date on and after which the warrants and the related securities will be separately transferable;</w:t>
      </w:r>
    </w:p>
    <w:p>
      <w:pPr>
        <w:spacing w:after="0" w:line="130" w:lineRule="exact"/>
        <w:rPr>
          <w:rFonts w:ascii="Arial" w:cs="Arial" w:eastAsia="Arial" w:hAnsi="Arial"/>
          <w:sz w:val="18"/>
          <w:szCs w:val="18"/>
          <w:color w:val="002D73"/>
        </w:rPr>
      </w:pPr>
    </w:p>
    <w:p>
      <w:pPr>
        <w:ind w:left="1080" w:hanging="424"/>
        <w:spacing w:after="0" w:line="279" w:lineRule="auto"/>
        <w:tabs>
          <w:tab w:leader="none" w:pos="1080" w:val="left"/>
        </w:tabs>
        <w:numPr>
          <w:ilvl w:val="0"/>
          <w:numId w:val="77"/>
        </w:numPr>
        <w:rPr>
          <w:rFonts w:ascii="Arial" w:cs="Arial" w:eastAsia="Arial" w:hAnsi="Arial"/>
          <w:sz w:val="17"/>
          <w:szCs w:val="17"/>
          <w:color w:val="002D73"/>
        </w:rPr>
      </w:pPr>
      <w:r>
        <w:rPr>
          <w:rFonts w:ascii="Arial" w:cs="Arial" w:eastAsia="Arial" w:hAnsi="Arial"/>
          <w:sz w:val="17"/>
          <w:szCs w:val="17"/>
          <w:color w:val="002D73"/>
        </w:rPr>
        <w:t>in the case of warrants to purchase debt securities, the principal amount of debt securities purchasable upon exercise of one warrant and the price at, and currency in which, this principal amount of debt securities may be purchased upon such exercise; 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76" w:lineRule="exact"/>
        <w:rPr>
          <w:rFonts w:ascii="Arial" w:cs="Arial" w:eastAsia="Arial" w:hAnsi="Arial"/>
          <w:sz w:val="17"/>
          <w:szCs w:val="17"/>
          <w:color w:val="002D73"/>
        </w:rPr>
      </w:pPr>
    </w:p>
    <w:p>
      <w:pPr>
        <w:ind w:left="1080" w:right="240" w:hanging="424"/>
        <w:spacing w:after="0" w:line="277" w:lineRule="auto"/>
        <w:tabs>
          <w:tab w:leader="none" w:pos="1080" w:val="left"/>
        </w:tabs>
        <w:numPr>
          <w:ilvl w:val="0"/>
          <w:numId w:val="77"/>
        </w:numPr>
        <w:rPr>
          <w:rFonts w:ascii="Arial" w:cs="Arial" w:eastAsia="Arial" w:hAnsi="Arial"/>
          <w:sz w:val="18"/>
          <w:szCs w:val="18"/>
          <w:color w:val="002D73"/>
        </w:rPr>
      </w:pPr>
      <w:r>
        <w:rPr>
          <w:rFonts w:ascii="Arial" w:cs="Arial" w:eastAsia="Arial" w:hAnsi="Arial"/>
          <w:sz w:val="18"/>
          <w:szCs w:val="18"/>
          <w:color w:val="002D73"/>
        </w:rPr>
        <w:t>the effect of any merger, consolidation, sale or other disposition of our business on the warrant agreement and the warrants; the terms of any rights to redeem or call the warrants;</w:t>
      </w:r>
    </w:p>
    <w:p>
      <w:pPr>
        <w:spacing w:after="0" w:line="75" w:lineRule="exact"/>
        <w:rPr>
          <w:rFonts w:ascii="Arial" w:cs="Arial" w:eastAsia="Arial" w:hAnsi="Arial"/>
          <w:sz w:val="18"/>
          <w:szCs w:val="18"/>
          <w:color w:val="002D73"/>
        </w:rPr>
      </w:pPr>
    </w:p>
    <w:p>
      <w:pPr>
        <w:ind w:left="1080" w:right="520" w:hanging="424"/>
        <w:spacing w:after="0" w:line="277" w:lineRule="auto"/>
        <w:tabs>
          <w:tab w:leader="none" w:pos="1080" w:val="left"/>
        </w:tabs>
        <w:numPr>
          <w:ilvl w:val="0"/>
          <w:numId w:val="77"/>
        </w:numPr>
        <w:rPr>
          <w:rFonts w:ascii="Arial" w:cs="Arial" w:eastAsia="Arial" w:hAnsi="Arial"/>
          <w:sz w:val="18"/>
          <w:szCs w:val="18"/>
          <w:color w:val="002D73"/>
        </w:rPr>
      </w:pPr>
      <w:r>
        <w:rPr>
          <w:rFonts w:ascii="Arial" w:cs="Arial" w:eastAsia="Arial" w:hAnsi="Arial"/>
          <w:sz w:val="18"/>
          <w:szCs w:val="18"/>
          <w:color w:val="002D73"/>
        </w:rPr>
        <w:t>any provisions for changes to or adjustments in the exercise price or number of securities issuable upon exercise of the warrants; the periods during which, and places at which, the warrants are exercisable;</w:t>
      </w:r>
    </w:p>
    <w:p>
      <w:pPr>
        <w:spacing w:after="0" w:line="75" w:lineRule="exact"/>
        <w:rPr>
          <w:rFonts w:ascii="Arial" w:cs="Arial" w:eastAsia="Arial" w:hAnsi="Arial"/>
          <w:sz w:val="18"/>
          <w:szCs w:val="18"/>
          <w:color w:val="002D73"/>
        </w:rPr>
      </w:pPr>
    </w:p>
    <w:p>
      <w:pPr>
        <w:ind w:left="1080" w:hanging="424"/>
        <w:spacing w:after="0"/>
        <w:tabs>
          <w:tab w:leader="none" w:pos="1080" w:val="left"/>
        </w:tabs>
        <w:numPr>
          <w:ilvl w:val="0"/>
          <w:numId w:val="77"/>
        </w:numPr>
        <w:rPr>
          <w:rFonts w:ascii="Arial" w:cs="Arial" w:eastAsia="Arial" w:hAnsi="Arial"/>
          <w:sz w:val="18"/>
          <w:szCs w:val="18"/>
          <w:color w:val="002D73"/>
        </w:rPr>
      </w:pPr>
      <w:r>
        <w:rPr>
          <w:rFonts w:ascii="Arial" w:cs="Arial" w:eastAsia="Arial" w:hAnsi="Arial"/>
          <w:sz w:val="18"/>
          <w:szCs w:val="18"/>
          <w:color w:val="002D73"/>
        </w:rPr>
        <w:t>the manner of exercise;</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77"/>
        </w:numPr>
        <w:rPr>
          <w:rFonts w:ascii="Arial" w:cs="Arial" w:eastAsia="Arial" w:hAnsi="Arial"/>
          <w:sz w:val="18"/>
          <w:szCs w:val="18"/>
          <w:color w:val="002D73"/>
        </w:rPr>
      </w:pPr>
      <w:r>
        <w:rPr>
          <w:rFonts w:ascii="Arial" w:cs="Arial" w:eastAsia="Arial" w:hAnsi="Arial"/>
          <w:sz w:val="18"/>
          <w:szCs w:val="18"/>
          <w:color w:val="002D73"/>
        </w:rPr>
        <w:t>the dates on which the right to exercise the warrants will commence and expire;</w:t>
      </w:r>
    </w:p>
    <w:p>
      <w:pPr>
        <w:spacing w:after="0" w:line="130" w:lineRule="exact"/>
        <w:rPr>
          <w:rFonts w:ascii="Arial" w:cs="Arial" w:eastAsia="Arial" w:hAnsi="Arial"/>
          <w:sz w:val="18"/>
          <w:szCs w:val="18"/>
          <w:color w:val="002D73"/>
        </w:rPr>
      </w:pPr>
    </w:p>
    <w:p>
      <w:pPr>
        <w:ind w:left="1080" w:right="160" w:hanging="424"/>
        <w:spacing w:after="0" w:line="277" w:lineRule="auto"/>
        <w:tabs>
          <w:tab w:leader="none" w:pos="1080" w:val="left"/>
        </w:tabs>
        <w:numPr>
          <w:ilvl w:val="0"/>
          <w:numId w:val="77"/>
        </w:numPr>
        <w:rPr>
          <w:rFonts w:ascii="Arial" w:cs="Arial" w:eastAsia="Arial" w:hAnsi="Arial"/>
          <w:sz w:val="18"/>
          <w:szCs w:val="18"/>
          <w:color w:val="002D73"/>
        </w:rPr>
      </w:pPr>
      <w:r>
        <w:rPr>
          <w:rFonts w:ascii="Arial" w:cs="Arial" w:eastAsia="Arial" w:hAnsi="Arial"/>
          <w:sz w:val="18"/>
          <w:szCs w:val="18"/>
          <w:color w:val="002D73"/>
        </w:rPr>
        <w:t>the manner in which the warrant agreement and warrants may be modified; federal income tax consequences of holding or exercising the warrants;</w:t>
      </w:r>
    </w:p>
    <w:p>
      <w:pPr>
        <w:spacing w:after="0" w:line="75" w:lineRule="exact"/>
        <w:rPr>
          <w:rFonts w:ascii="Arial" w:cs="Arial" w:eastAsia="Arial" w:hAnsi="Arial"/>
          <w:sz w:val="18"/>
          <w:szCs w:val="18"/>
          <w:color w:val="002D73"/>
        </w:rPr>
      </w:pPr>
    </w:p>
    <w:p>
      <w:pPr>
        <w:ind w:left="1080" w:right="460" w:hanging="424"/>
        <w:spacing w:after="0" w:line="277" w:lineRule="auto"/>
        <w:tabs>
          <w:tab w:leader="none" w:pos="1080" w:val="left"/>
        </w:tabs>
        <w:numPr>
          <w:ilvl w:val="0"/>
          <w:numId w:val="77"/>
        </w:numPr>
        <w:rPr>
          <w:rFonts w:ascii="Arial" w:cs="Arial" w:eastAsia="Arial" w:hAnsi="Arial"/>
          <w:sz w:val="18"/>
          <w:szCs w:val="18"/>
          <w:color w:val="002D73"/>
        </w:rPr>
      </w:pPr>
      <w:r>
        <w:rPr>
          <w:rFonts w:ascii="Arial" w:cs="Arial" w:eastAsia="Arial" w:hAnsi="Arial"/>
          <w:sz w:val="18"/>
          <w:szCs w:val="18"/>
          <w:color w:val="002D73"/>
        </w:rPr>
        <w:t>the terms of the securities issuable upon exercise of the warrants; and any other specific terms, preferences, rights or limitations of or restrictions on the warrants.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002D73"/>
        </w:rPr>
        <w:t>24</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02D73"/>
        </w:rPr>
        <w:t>DESCRIPTION OF UNITS</w:t>
      </w:r>
    </w:p>
    <w:p>
      <w:pPr>
        <w:spacing w:after="0" w:line="22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002D73"/>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002D73"/>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92" w:lineRule="exact"/>
        <w:rPr>
          <w:sz w:val="20"/>
          <w:szCs w:val="20"/>
          <w:color w:val="auto"/>
        </w:rPr>
      </w:pPr>
    </w:p>
    <w:p>
      <w:pPr>
        <w:ind w:left="1080" w:right="280" w:hanging="424"/>
        <w:spacing w:after="0" w:line="277" w:lineRule="auto"/>
        <w:tabs>
          <w:tab w:leader="none" w:pos="1080" w:val="left"/>
        </w:tabs>
        <w:numPr>
          <w:ilvl w:val="0"/>
          <w:numId w:val="78"/>
        </w:numPr>
        <w:rPr>
          <w:rFonts w:ascii="Arial" w:cs="Arial" w:eastAsia="Arial" w:hAnsi="Arial"/>
          <w:sz w:val="18"/>
          <w:szCs w:val="18"/>
          <w:color w:val="002D73"/>
        </w:rPr>
      </w:pPr>
      <w:r>
        <w:rPr>
          <w:rFonts w:ascii="Arial" w:cs="Arial" w:eastAsia="Arial" w:hAnsi="Arial"/>
          <w:sz w:val="18"/>
          <w:szCs w:val="18"/>
          <w:color w:val="002D73"/>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002D73"/>
        </w:rPr>
      </w:pPr>
    </w:p>
    <w:p>
      <w:pPr>
        <w:ind w:left="1080" w:hanging="424"/>
        <w:spacing w:after="0"/>
        <w:tabs>
          <w:tab w:leader="none" w:pos="1080" w:val="left"/>
        </w:tabs>
        <w:numPr>
          <w:ilvl w:val="0"/>
          <w:numId w:val="78"/>
        </w:numPr>
        <w:rPr>
          <w:rFonts w:ascii="Arial" w:cs="Arial" w:eastAsia="Arial" w:hAnsi="Arial"/>
          <w:sz w:val="18"/>
          <w:szCs w:val="18"/>
          <w:color w:val="002D73"/>
        </w:rPr>
      </w:pPr>
      <w:r>
        <w:rPr>
          <w:rFonts w:ascii="Arial" w:cs="Arial" w:eastAsia="Arial" w:hAnsi="Arial"/>
          <w:sz w:val="18"/>
          <w:szCs w:val="18"/>
          <w:color w:val="002D73"/>
        </w:rPr>
        <w:t>any provisions of the governing unit agreement;</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78"/>
        </w:numPr>
        <w:rPr>
          <w:rFonts w:ascii="Arial" w:cs="Arial" w:eastAsia="Arial" w:hAnsi="Arial"/>
          <w:sz w:val="18"/>
          <w:szCs w:val="18"/>
          <w:color w:val="002D73"/>
        </w:rPr>
      </w:pPr>
      <w:r>
        <w:rPr>
          <w:rFonts w:ascii="Arial" w:cs="Arial" w:eastAsia="Arial" w:hAnsi="Arial"/>
          <w:sz w:val="18"/>
          <w:szCs w:val="18"/>
          <w:color w:val="002D73"/>
        </w:rPr>
        <w:t>the price or prices at which such units will be issued;</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78"/>
        </w:numPr>
        <w:rPr>
          <w:rFonts w:ascii="Arial" w:cs="Arial" w:eastAsia="Arial" w:hAnsi="Arial"/>
          <w:sz w:val="18"/>
          <w:szCs w:val="18"/>
          <w:color w:val="002D73"/>
        </w:rPr>
      </w:pPr>
      <w:r>
        <w:rPr>
          <w:rFonts w:ascii="Arial" w:cs="Arial" w:eastAsia="Arial" w:hAnsi="Arial"/>
          <w:sz w:val="18"/>
          <w:szCs w:val="18"/>
          <w:color w:val="002D73"/>
        </w:rPr>
        <w:t>the applicable United States federal income tax considerations relating to the units;</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78"/>
        </w:numPr>
        <w:rPr>
          <w:rFonts w:ascii="Arial" w:cs="Arial" w:eastAsia="Arial" w:hAnsi="Arial"/>
          <w:sz w:val="17"/>
          <w:szCs w:val="17"/>
          <w:color w:val="002D73"/>
        </w:rPr>
      </w:pPr>
      <w:r>
        <w:rPr>
          <w:rFonts w:ascii="Arial" w:cs="Arial" w:eastAsia="Arial" w:hAnsi="Arial"/>
          <w:sz w:val="17"/>
          <w:szCs w:val="17"/>
          <w:color w:val="002D73"/>
        </w:rPr>
        <w:t>any provisions for the issuance, payment, settlement, transfer or exchange of the units or of the securities comprising the units; and</w:t>
      </w:r>
    </w:p>
    <w:p>
      <w:pPr>
        <w:spacing w:after="0" w:line="142" w:lineRule="exact"/>
        <w:rPr>
          <w:rFonts w:ascii="Arial" w:cs="Arial" w:eastAsia="Arial" w:hAnsi="Arial"/>
          <w:sz w:val="17"/>
          <w:szCs w:val="17"/>
          <w:color w:val="002D73"/>
        </w:rPr>
      </w:pPr>
    </w:p>
    <w:p>
      <w:pPr>
        <w:ind w:left="1080" w:hanging="424"/>
        <w:spacing w:after="0"/>
        <w:tabs>
          <w:tab w:leader="none" w:pos="1080" w:val="left"/>
        </w:tabs>
        <w:numPr>
          <w:ilvl w:val="0"/>
          <w:numId w:val="78"/>
        </w:numPr>
        <w:rPr>
          <w:rFonts w:ascii="Arial" w:cs="Arial" w:eastAsia="Arial" w:hAnsi="Arial"/>
          <w:sz w:val="18"/>
          <w:szCs w:val="18"/>
          <w:color w:val="002D73"/>
        </w:rPr>
      </w:pPr>
      <w:r>
        <w:rPr>
          <w:rFonts w:ascii="Arial" w:cs="Arial" w:eastAsia="Arial" w:hAnsi="Arial"/>
          <w:sz w:val="18"/>
          <w:szCs w:val="18"/>
          <w:color w:val="002D73"/>
        </w:rPr>
        <w:t>any other terms of the units and of the securities comprising the units.</w:t>
      </w:r>
    </w:p>
    <w:p>
      <w:pPr>
        <w:spacing w:after="0" w:line="225"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002D73"/>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Issuance in Series</w:t>
      </w:r>
    </w:p>
    <w:p>
      <w:pPr>
        <w:spacing w:after="0" w:line="12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002D73"/>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D73"/>
        </w:rPr>
        <w:t>Unit Agreements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002D73"/>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002D73"/>
        </w:rPr>
        <w:t>25</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The following provisions will generally apply to all unit agreements unless otherwise stated in the applicable prospectus supplement: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Modification without Consent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7"/>
          <w:szCs w:val="17"/>
          <w:color w:val="002D73"/>
        </w:rPr>
      </w:pPr>
      <w:r>
        <w:rPr>
          <w:rFonts w:ascii="Arial" w:cs="Arial" w:eastAsia="Arial" w:hAnsi="Arial"/>
          <w:sz w:val="17"/>
          <w:szCs w:val="17"/>
          <w:color w:val="002D73"/>
        </w:rPr>
        <w:t>to cure any ambiguity, including modifying any provisions of the governing unit agreement that differ from those described below;</w:t>
      </w:r>
    </w:p>
    <w:p>
      <w:pPr>
        <w:spacing w:after="0" w:line="142" w:lineRule="exact"/>
        <w:rPr>
          <w:rFonts w:ascii="Arial" w:cs="Arial" w:eastAsia="Arial" w:hAnsi="Arial"/>
          <w:sz w:val="17"/>
          <w:szCs w:val="17"/>
          <w:color w:val="002D73"/>
        </w:rPr>
      </w:pPr>
    </w:p>
    <w:p>
      <w:pPr>
        <w:ind w:left="1080" w:hanging="424"/>
        <w:spacing w:after="0"/>
        <w:tabs>
          <w:tab w:leader="none" w:pos="1080" w:val="left"/>
        </w:tabs>
        <w:numPr>
          <w:ilvl w:val="0"/>
          <w:numId w:val="79"/>
        </w:numPr>
        <w:rPr>
          <w:rFonts w:ascii="Arial" w:cs="Arial" w:eastAsia="Arial" w:hAnsi="Arial"/>
          <w:sz w:val="18"/>
          <w:szCs w:val="18"/>
          <w:color w:val="002D73"/>
        </w:rPr>
      </w:pPr>
      <w:r>
        <w:rPr>
          <w:rFonts w:ascii="Arial" w:cs="Arial" w:eastAsia="Arial" w:hAnsi="Arial"/>
          <w:sz w:val="18"/>
          <w:szCs w:val="18"/>
          <w:color w:val="002D73"/>
        </w:rPr>
        <w:t>to correct or supplement any defective or inconsistent provision; or</w:t>
      </w:r>
    </w:p>
    <w:p>
      <w:pPr>
        <w:spacing w:after="0" w:line="130" w:lineRule="exact"/>
        <w:rPr>
          <w:rFonts w:ascii="Arial" w:cs="Arial" w:eastAsia="Arial" w:hAnsi="Arial"/>
          <w:sz w:val="18"/>
          <w:szCs w:val="18"/>
          <w:color w:val="002D73"/>
        </w:rPr>
      </w:pPr>
    </w:p>
    <w:p>
      <w:pPr>
        <w:ind w:left="1080" w:right="80" w:hanging="424"/>
        <w:spacing w:after="0" w:line="277" w:lineRule="auto"/>
        <w:tabs>
          <w:tab w:leader="none" w:pos="1080" w:val="left"/>
        </w:tabs>
        <w:numPr>
          <w:ilvl w:val="0"/>
          <w:numId w:val="79"/>
        </w:numPr>
        <w:rPr>
          <w:rFonts w:ascii="Arial" w:cs="Arial" w:eastAsia="Arial" w:hAnsi="Arial"/>
          <w:sz w:val="18"/>
          <w:szCs w:val="18"/>
          <w:color w:val="002D73"/>
        </w:rPr>
      </w:pPr>
      <w:r>
        <w:rPr>
          <w:rFonts w:ascii="Arial" w:cs="Arial" w:eastAsia="Arial" w:hAnsi="Arial"/>
          <w:sz w:val="18"/>
          <w:szCs w:val="18"/>
          <w:color w:val="002D73"/>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002D73"/>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Modification with Consent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002D73"/>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1080" w:right="160" w:hanging="424"/>
        <w:spacing w:after="0" w:line="277" w:lineRule="auto"/>
        <w:tabs>
          <w:tab w:leader="none" w:pos="1080" w:val="left"/>
        </w:tabs>
        <w:numPr>
          <w:ilvl w:val="0"/>
          <w:numId w:val="80"/>
        </w:numPr>
        <w:rPr>
          <w:rFonts w:ascii="Arial" w:cs="Arial" w:eastAsia="Arial" w:hAnsi="Arial"/>
          <w:sz w:val="18"/>
          <w:szCs w:val="18"/>
          <w:color w:val="002D73"/>
        </w:rPr>
      </w:pPr>
      <w:r>
        <w:rPr>
          <w:rFonts w:ascii="Arial" w:cs="Arial" w:eastAsia="Arial" w:hAnsi="Arial"/>
          <w:sz w:val="18"/>
          <w:szCs w:val="18"/>
          <w:color w:val="002D73"/>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002D73"/>
        </w:rPr>
      </w:pPr>
    </w:p>
    <w:p>
      <w:pPr>
        <w:ind w:left="1080" w:right="180" w:hanging="424"/>
        <w:spacing w:after="0" w:line="277" w:lineRule="auto"/>
        <w:tabs>
          <w:tab w:leader="none" w:pos="1080" w:val="left"/>
        </w:tabs>
        <w:numPr>
          <w:ilvl w:val="0"/>
          <w:numId w:val="80"/>
        </w:numPr>
        <w:rPr>
          <w:rFonts w:ascii="Arial" w:cs="Arial" w:eastAsia="Arial" w:hAnsi="Arial"/>
          <w:sz w:val="18"/>
          <w:szCs w:val="18"/>
          <w:color w:val="002D73"/>
        </w:rPr>
      </w:pPr>
      <w:r>
        <w:rPr>
          <w:rFonts w:ascii="Arial" w:cs="Arial" w:eastAsia="Arial" w:hAnsi="Arial"/>
          <w:sz w:val="18"/>
          <w:szCs w:val="18"/>
          <w:color w:val="002D73"/>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80" w:hanging="424"/>
        <w:spacing w:after="0" w:line="277" w:lineRule="auto"/>
        <w:tabs>
          <w:tab w:leader="none" w:pos="1080" w:val="left"/>
        </w:tabs>
        <w:numPr>
          <w:ilvl w:val="0"/>
          <w:numId w:val="81"/>
        </w:numPr>
        <w:rPr>
          <w:rFonts w:ascii="Arial" w:cs="Arial" w:eastAsia="Arial" w:hAnsi="Arial"/>
          <w:sz w:val="18"/>
          <w:szCs w:val="18"/>
          <w:color w:val="002D73"/>
        </w:rPr>
      </w:pPr>
      <w:r>
        <w:rPr>
          <w:rFonts w:ascii="Arial" w:cs="Arial" w:eastAsia="Arial" w:hAnsi="Arial"/>
          <w:sz w:val="18"/>
          <w:szCs w:val="18"/>
          <w:color w:val="002D73"/>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002D73"/>
        </w:rPr>
      </w:pPr>
    </w:p>
    <w:p>
      <w:pPr>
        <w:jc w:val="both"/>
        <w:ind w:left="1080" w:right="140" w:hanging="424"/>
        <w:spacing w:after="0" w:line="342" w:lineRule="auto"/>
        <w:tabs>
          <w:tab w:leader="none" w:pos="1080" w:val="left"/>
        </w:tabs>
        <w:numPr>
          <w:ilvl w:val="0"/>
          <w:numId w:val="81"/>
        </w:numPr>
        <w:rPr>
          <w:rFonts w:ascii="Arial" w:cs="Arial" w:eastAsia="Arial" w:hAnsi="Arial"/>
          <w:sz w:val="16"/>
          <w:szCs w:val="16"/>
          <w:color w:val="002D73"/>
        </w:rPr>
      </w:pPr>
      <w:r>
        <w:rPr>
          <w:rFonts w:ascii="Arial" w:cs="Arial" w:eastAsia="Arial" w:hAnsi="Arial"/>
          <w:sz w:val="16"/>
          <w:szCs w:val="16"/>
          <w:color w:val="002D73"/>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002D73"/>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In each case, the required approval must be given by written consent.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Unit Agreements Will Not Be Qualified under Trust Indenture Act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002D73"/>
        </w:rPr>
        <w:t>No unit agreement will be qualified as an indenture, and no unit agent will be required to qualify as a trustee, under the Trust Indenture Act.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002D73"/>
        </w:rPr>
        <w:t>Therefore, holders of units issued under unit agreements will not have the protections of the Trust Indenture Act with respect to their units.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Mergers and Similar Transactions Permitted; No Restrictive Covenants or Events of Default</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002D73"/>
        </w:rPr>
        <w:t>The unit agreements will not restrict our ability to merge or consolidate with, or sell our assets to, another corporation or other entity or to engage in any other transactions. If at any time we merge or consolidate with,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002D73"/>
        </w:rPr>
        <w:t>26</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002D73"/>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002D73"/>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Governing Law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The unit agreements and the units will be governed by Delaware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Form, Exchange and Transfer</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002D73"/>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Each unit and all securities comprising the unit will be issued in the same form.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If we issue any units in registered, non-global form, the following will apply to them.</w:t>
      </w:r>
    </w:p>
    <w:p>
      <w:pPr>
        <w:spacing w:after="0" w:line="225"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002D73"/>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52" w:lineRule="exact"/>
        <w:rPr>
          <w:sz w:val="20"/>
          <w:szCs w:val="20"/>
          <w:color w:val="auto"/>
        </w:rPr>
      </w:pPr>
    </w:p>
    <w:p>
      <w:pPr>
        <w:ind w:left="1080" w:right="260" w:hanging="424"/>
        <w:spacing w:after="0" w:line="308" w:lineRule="auto"/>
        <w:tabs>
          <w:tab w:leader="none" w:pos="1080" w:val="left"/>
        </w:tabs>
        <w:numPr>
          <w:ilvl w:val="0"/>
          <w:numId w:val="82"/>
        </w:numPr>
        <w:rPr>
          <w:rFonts w:ascii="Arial" w:cs="Arial" w:eastAsia="Arial" w:hAnsi="Arial"/>
          <w:sz w:val="17"/>
          <w:szCs w:val="17"/>
          <w:color w:val="002D73"/>
        </w:rPr>
      </w:pPr>
      <w:r>
        <w:rPr>
          <w:rFonts w:ascii="Arial" w:cs="Arial" w:eastAsia="Arial" w:hAnsi="Arial"/>
          <w:sz w:val="17"/>
          <w:szCs w:val="17"/>
          <w:color w:val="002D73"/>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1" w:lineRule="exact"/>
        <w:rPr>
          <w:rFonts w:ascii="Arial" w:cs="Arial" w:eastAsia="Arial" w:hAnsi="Arial"/>
          <w:sz w:val="17"/>
          <w:szCs w:val="17"/>
          <w:color w:val="002D73"/>
        </w:rPr>
      </w:pPr>
    </w:p>
    <w:p>
      <w:pPr>
        <w:ind w:left="1080" w:hanging="424"/>
        <w:spacing w:after="0" w:line="259" w:lineRule="auto"/>
        <w:tabs>
          <w:tab w:leader="none" w:pos="1080" w:val="left"/>
        </w:tabs>
        <w:numPr>
          <w:ilvl w:val="0"/>
          <w:numId w:val="82"/>
        </w:numPr>
        <w:rPr>
          <w:rFonts w:ascii="Arial" w:cs="Arial" w:eastAsia="Arial" w:hAnsi="Arial"/>
          <w:sz w:val="18"/>
          <w:szCs w:val="18"/>
          <w:color w:val="002D73"/>
        </w:rPr>
      </w:pPr>
      <w:r>
        <w:rPr>
          <w:rFonts w:ascii="Arial" w:cs="Arial" w:eastAsia="Arial" w:hAnsi="Arial"/>
          <w:sz w:val="18"/>
          <w:szCs w:val="18"/>
          <w:color w:val="002D73"/>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92" w:lineRule="exact"/>
        <w:rPr>
          <w:rFonts w:ascii="Arial" w:cs="Arial" w:eastAsia="Arial" w:hAnsi="Arial"/>
          <w:sz w:val="18"/>
          <w:szCs w:val="18"/>
          <w:color w:val="002D73"/>
        </w:rPr>
      </w:pPr>
    </w:p>
    <w:p>
      <w:pPr>
        <w:ind w:left="1080" w:right="20" w:hanging="424"/>
        <w:spacing w:after="0" w:line="273" w:lineRule="auto"/>
        <w:tabs>
          <w:tab w:leader="none" w:pos="1080" w:val="left"/>
        </w:tabs>
        <w:numPr>
          <w:ilvl w:val="0"/>
          <w:numId w:val="82"/>
        </w:numPr>
        <w:rPr>
          <w:rFonts w:ascii="Arial" w:cs="Arial" w:eastAsia="Arial" w:hAnsi="Arial"/>
          <w:sz w:val="17"/>
          <w:szCs w:val="17"/>
          <w:color w:val="002D73"/>
        </w:rPr>
      </w:pPr>
      <w:r>
        <w:rPr>
          <w:rFonts w:ascii="Arial" w:cs="Arial" w:eastAsia="Arial" w:hAnsi="Arial"/>
          <w:sz w:val="17"/>
          <w:szCs w:val="17"/>
          <w:color w:val="002D73"/>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Only the depositary will be entitled to transfer or exchange a unit in global form, since it will be the sole holder of the unit.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D73"/>
        </w:rPr>
        <w:t>Payments and Notices</w:t>
      </w:r>
    </w:p>
    <w:p>
      <w:pPr>
        <w:spacing w:after="0" w:line="11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002D73"/>
        </w:rPr>
        <w:t>In making payments and giving notices with respect to our units, we will follow the procedures as described in the applicable prospectus supplement.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2D73"/>
        </w:rPr>
        <w:t>27</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02D73"/>
        </w:rPr>
        <w:t>PLAN OF DISTRIBUTION</w:t>
      </w:r>
    </w:p>
    <w:p>
      <w:pPr>
        <w:spacing w:after="0" w:line="229"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002D73"/>
        </w:rPr>
        <w:t>We may sell the securities offered through this prospectus and any accompanying prospectus supplement, if required, in any of the following ways: (1) to or through underwriters or dealers, (2) directly to purchasers, including our affiliates, or to a single purchaser (3) through agents, or</w:t>
      </w:r>
    </w:p>
    <w:p>
      <w:pPr>
        <w:ind w:left="120" w:right="460" w:hanging="4"/>
        <w:spacing w:after="0" w:line="260" w:lineRule="auto"/>
        <w:tabs>
          <w:tab w:leader="none" w:pos="375" w:val="left"/>
        </w:tabs>
        <w:numPr>
          <w:ilvl w:val="0"/>
          <w:numId w:val="83"/>
        </w:numPr>
        <w:rPr>
          <w:rFonts w:ascii="Arial" w:cs="Arial" w:eastAsia="Arial" w:hAnsi="Arial"/>
          <w:sz w:val="18"/>
          <w:szCs w:val="18"/>
          <w:color w:val="002D73"/>
        </w:rPr>
      </w:pPr>
      <w:r>
        <w:rPr>
          <w:rFonts w:ascii="Arial" w:cs="Arial" w:eastAsia="Arial" w:hAnsi="Arial"/>
          <w:sz w:val="18"/>
          <w:szCs w:val="18"/>
          <w:color w:val="002D73"/>
        </w:rPr>
        <w:t>through a combination of any these methods. The securities may be distributed at a fixed price or prices, which may be changed, market prices prevailing at the time of sale, prices related to the prevailing market prices, or negotiated prices, either:</w:t>
      </w:r>
    </w:p>
    <w:p>
      <w:pPr>
        <w:spacing w:after="0" w:line="90" w:lineRule="exact"/>
        <w:rPr>
          <w:rFonts w:ascii="Arial" w:cs="Arial" w:eastAsia="Arial" w:hAnsi="Arial"/>
          <w:sz w:val="18"/>
          <w:szCs w:val="18"/>
          <w:color w:val="002D73"/>
        </w:rPr>
      </w:pPr>
    </w:p>
    <w:p>
      <w:pPr>
        <w:ind w:left="1080" w:right="120" w:hanging="424"/>
        <w:spacing w:after="0" w:line="277" w:lineRule="auto"/>
        <w:tabs>
          <w:tab w:leader="none" w:pos="1080" w:val="left"/>
        </w:tabs>
        <w:numPr>
          <w:ilvl w:val="1"/>
          <w:numId w:val="83"/>
        </w:numPr>
        <w:rPr>
          <w:rFonts w:ascii="Arial" w:cs="Arial" w:eastAsia="Arial" w:hAnsi="Arial"/>
          <w:sz w:val="18"/>
          <w:szCs w:val="18"/>
          <w:color w:val="002D73"/>
        </w:rPr>
      </w:pPr>
      <w:r>
        <w:rPr>
          <w:rFonts w:ascii="Arial" w:cs="Arial" w:eastAsia="Arial" w:hAnsi="Arial"/>
          <w:sz w:val="18"/>
          <w:szCs w:val="18"/>
          <w:color w:val="002D73"/>
        </w:rPr>
        <w:t>on or through the facilities of The Nasdaq Global Select Market or any other securities exchange or quotation or trading service on which such securities may be listed, quoted or traded at the time of sale; and/or</w:t>
      </w:r>
    </w:p>
    <w:p>
      <w:pPr>
        <w:spacing w:after="0" w:line="75" w:lineRule="exact"/>
        <w:rPr>
          <w:rFonts w:ascii="Arial" w:cs="Arial" w:eastAsia="Arial" w:hAnsi="Arial"/>
          <w:sz w:val="18"/>
          <w:szCs w:val="18"/>
          <w:color w:val="002D73"/>
        </w:rPr>
      </w:pPr>
    </w:p>
    <w:p>
      <w:pPr>
        <w:ind w:left="1080" w:right="480" w:hanging="424"/>
        <w:spacing w:after="0" w:line="277" w:lineRule="auto"/>
        <w:tabs>
          <w:tab w:leader="none" w:pos="1080" w:val="left"/>
        </w:tabs>
        <w:numPr>
          <w:ilvl w:val="1"/>
          <w:numId w:val="83"/>
        </w:numPr>
        <w:rPr>
          <w:rFonts w:ascii="Arial" w:cs="Arial" w:eastAsia="Arial" w:hAnsi="Arial"/>
          <w:sz w:val="18"/>
          <w:szCs w:val="18"/>
          <w:color w:val="002D73"/>
        </w:rPr>
      </w:pPr>
      <w:r>
        <w:rPr>
          <w:rFonts w:ascii="Arial" w:cs="Arial" w:eastAsia="Arial" w:hAnsi="Arial"/>
          <w:sz w:val="18"/>
          <w:szCs w:val="18"/>
          <w:color w:val="002D73"/>
        </w:rPr>
        <w:t>to or through a market maker otherwise than on The Nasdaq Global Select Market or such other securities exchanges or quotation or trading services.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002D73"/>
        </w:rPr>
        <w:t>In addition, we may issue the securities as a dividend or distribution or in a subscription rights offering to our existing security holders.</w:t>
      </w:r>
    </w:p>
    <w:p>
      <w:pPr>
        <w:spacing w:after="0" w:line="23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002D73"/>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002D73"/>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002D73"/>
        </w:rPr>
      </w:pPr>
      <w:r>
        <w:rPr>
          <w:rFonts w:ascii="Arial" w:cs="Arial" w:eastAsia="Arial" w:hAnsi="Arial"/>
          <w:sz w:val="18"/>
          <w:szCs w:val="18"/>
          <w:color w:val="002D73"/>
        </w:rPr>
        <w:t>the type and amount of securities we are offering;</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84"/>
        </w:numPr>
        <w:rPr>
          <w:rFonts w:ascii="Arial" w:cs="Arial" w:eastAsia="Arial" w:hAnsi="Arial"/>
          <w:sz w:val="18"/>
          <w:szCs w:val="18"/>
          <w:color w:val="002D73"/>
        </w:rPr>
      </w:pPr>
      <w:r>
        <w:rPr>
          <w:rFonts w:ascii="Arial" w:cs="Arial" w:eastAsia="Arial" w:hAnsi="Arial"/>
          <w:sz w:val="18"/>
          <w:szCs w:val="18"/>
          <w:color w:val="002D73"/>
        </w:rPr>
        <w:t>the name of the agent or any underwriters;</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84"/>
        </w:numPr>
        <w:rPr>
          <w:rFonts w:ascii="Arial" w:cs="Arial" w:eastAsia="Arial" w:hAnsi="Arial"/>
          <w:sz w:val="18"/>
          <w:szCs w:val="18"/>
          <w:color w:val="002D73"/>
        </w:rPr>
      </w:pPr>
      <w:r>
        <w:rPr>
          <w:rFonts w:ascii="Arial" w:cs="Arial" w:eastAsia="Arial" w:hAnsi="Arial"/>
          <w:sz w:val="18"/>
          <w:szCs w:val="18"/>
          <w:color w:val="002D73"/>
        </w:rPr>
        <w:t>the public offering or purchase price;</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84"/>
        </w:numPr>
        <w:rPr>
          <w:rFonts w:ascii="Arial" w:cs="Arial" w:eastAsia="Arial" w:hAnsi="Arial"/>
          <w:sz w:val="16"/>
          <w:szCs w:val="16"/>
          <w:color w:val="002D73"/>
        </w:rPr>
      </w:pPr>
      <w:r>
        <w:rPr>
          <w:rFonts w:ascii="Arial" w:cs="Arial" w:eastAsia="Arial" w:hAnsi="Arial"/>
          <w:sz w:val="16"/>
          <w:szCs w:val="16"/>
          <w:color w:val="002D73"/>
        </w:rPr>
        <w:t>any discounts and commissions to be allowed or paid to the agent or underwriters; all other items constituting underwriting compensation;</w:t>
      </w:r>
    </w:p>
    <w:p>
      <w:pPr>
        <w:spacing w:after="0" w:line="153" w:lineRule="exact"/>
        <w:rPr>
          <w:rFonts w:ascii="Arial" w:cs="Arial" w:eastAsia="Arial" w:hAnsi="Arial"/>
          <w:sz w:val="16"/>
          <w:szCs w:val="16"/>
          <w:color w:val="002D73"/>
        </w:rPr>
      </w:pPr>
    </w:p>
    <w:p>
      <w:pPr>
        <w:ind w:left="1080" w:hanging="424"/>
        <w:spacing w:after="0"/>
        <w:tabs>
          <w:tab w:leader="none" w:pos="1080" w:val="left"/>
        </w:tabs>
        <w:numPr>
          <w:ilvl w:val="0"/>
          <w:numId w:val="84"/>
        </w:numPr>
        <w:rPr>
          <w:rFonts w:ascii="Arial" w:cs="Arial" w:eastAsia="Arial" w:hAnsi="Arial"/>
          <w:sz w:val="18"/>
          <w:szCs w:val="18"/>
          <w:color w:val="002D73"/>
        </w:rPr>
      </w:pPr>
      <w:r>
        <w:rPr>
          <w:rFonts w:ascii="Arial" w:cs="Arial" w:eastAsia="Arial" w:hAnsi="Arial"/>
          <w:sz w:val="18"/>
          <w:szCs w:val="18"/>
          <w:color w:val="002D73"/>
        </w:rPr>
        <w:t>any discounts and commissions to be allowed or paid to dealers; and</w:t>
      </w:r>
    </w:p>
    <w:p>
      <w:pPr>
        <w:spacing w:after="0" w:line="130" w:lineRule="exact"/>
        <w:rPr>
          <w:rFonts w:ascii="Arial" w:cs="Arial" w:eastAsia="Arial" w:hAnsi="Arial"/>
          <w:sz w:val="18"/>
          <w:szCs w:val="18"/>
          <w:color w:val="002D73"/>
        </w:rPr>
      </w:pPr>
    </w:p>
    <w:p>
      <w:pPr>
        <w:ind w:left="1080" w:hanging="424"/>
        <w:spacing w:after="0"/>
        <w:tabs>
          <w:tab w:leader="none" w:pos="1080" w:val="left"/>
        </w:tabs>
        <w:numPr>
          <w:ilvl w:val="0"/>
          <w:numId w:val="84"/>
        </w:numPr>
        <w:rPr>
          <w:rFonts w:ascii="Arial" w:cs="Arial" w:eastAsia="Arial" w:hAnsi="Arial"/>
          <w:sz w:val="18"/>
          <w:szCs w:val="18"/>
          <w:color w:val="002D73"/>
        </w:rPr>
      </w:pPr>
      <w:r>
        <w:rPr>
          <w:rFonts w:ascii="Arial" w:cs="Arial" w:eastAsia="Arial" w:hAnsi="Arial"/>
          <w:sz w:val="18"/>
          <w:szCs w:val="18"/>
          <w:color w:val="002D73"/>
        </w:rPr>
        <w:t>any exchanges on which the securities will be listed.</w:t>
      </w:r>
    </w:p>
    <w:p>
      <w:pPr>
        <w:spacing w:after="0" w:line="225"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002D73"/>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002D73"/>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002D73"/>
        </w:rPr>
        <w:t>If a dealer is used in the sale of the securities in respect of which the prospectus is delivered, we will sell such securities to the dealer, as principal. The dealer, who may be deemed to be an “underwriter” as that term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002D73"/>
        </w:rPr>
        <w:t>28</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002D73"/>
        </w:rPr>
        <w:t>defined in the Securities Act, may then resell such securities to the public at varying prices to be determined by such dealer at the time of resale.</w:t>
      </w:r>
    </w:p>
    <w:p>
      <w:pPr>
        <w:spacing w:after="0" w:line="23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002D73"/>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002D73"/>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002D73"/>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20" w:hanging="424"/>
        <w:spacing w:after="0" w:line="277" w:lineRule="auto"/>
        <w:tabs>
          <w:tab w:leader="none" w:pos="1080" w:val="left"/>
        </w:tabs>
        <w:numPr>
          <w:ilvl w:val="0"/>
          <w:numId w:val="85"/>
        </w:numPr>
        <w:rPr>
          <w:rFonts w:ascii="Arial" w:cs="Arial" w:eastAsia="Arial" w:hAnsi="Arial"/>
          <w:sz w:val="18"/>
          <w:szCs w:val="18"/>
          <w:color w:val="002D73"/>
        </w:rPr>
      </w:pPr>
      <w:r>
        <w:rPr>
          <w:rFonts w:ascii="Arial" w:cs="Arial" w:eastAsia="Arial" w:hAnsi="Arial"/>
          <w:sz w:val="18"/>
          <w:szCs w:val="18"/>
          <w:color w:val="002D73"/>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002D73"/>
        </w:rPr>
      </w:pPr>
    </w:p>
    <w:p>
      <w:pPr>
        <w:ind w:left="1080" w:right="80" w:hanging="424"/>
        <w:spacing w:after="0" w:line="263" w:lineRule="auto"/>
        <w:tabs>
          <w:tab w:leader="none" w:pos="1080" w:val="left"/>
        </w:tabs>
        <w:numPr>
          <w:ilvl w:val="0"/>
          <w:numId w:val="85"/>
        </w:numPr>
        <w:rPr>
          <w:rFonts w:ascii="Arial" w:cs="Arial" w:eastAsia="Arial" w:hAnsi="Arial"/>
          <w:sz w:val="18"/>
          <w:szCs w:val="18"/>
          <w:color w:val="002D73"/>
        </w:rPr>
      </w:pPr>
      <w:r>
        <w:rPr>
          <w:rFonts w:ascii="Arial" w:cs="Arial" w:eastAsia="Arial" w:hAnsi="Arial"/>
          <w:sz w:val="18"/>
          <w:szCs w:val="18"/>
          <w:color w:val="002D73"/>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002D73"/>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8"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002D73"/>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002D73"/>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002D73"/>
        </w:rPr>
        <w:t>29</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002D73"/>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002D73"/>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92"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002D73"/>
        </w:rPr>
        <w:t>The securities may be new issues of securities and may have no established trading market. The securities may or may not be listed on a national securities exchange. We can make no assurance as to the liquidity of or the existence of trading market for any of the securities.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002D73"/>
        </w:rPr>
        <w:t>The specific terms of any lock-up provisions in respect of any given offering will be described in the applicable prospectus supplement.</w:t>
      </w:r>
    </w:p>
    <w:p>
      <w:pPr>
        <w:spacing w:after="0" w:line="23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002D73"/>
        </w:rPr>
        <w:t>The underwriters, dealers and agents may engage in transactions with us, or perform services for us, in the ordinary course of business for which they receive compensation.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002D73"/>
        </w:rPr>
        <w:t>The anticipated date of delivery of offered securities will be set forth in the applicable prospectus supplement relating to each offer.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002D73"/>
        </w:rPr>
        <w:t>30</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02D73"/>
        </w:rPr>
        <w:t>LEGAL MATTERS</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002D73"/>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02D73"/>
        </w:rPr>
        <w:t>EXPERTS</w:t>
      </w:r>
    </w:p>
    <w:p>
      <w:pPr>
        <w:spacing w:after="0" w:line="229"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002D73"/>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02D73"/>
        </w:rPr>
        <w:t>WHERE YOU CAN FIND MORE INFORMATION</w:t>
      </w:r>
    </w:p>
    <w:p>
      <w:pPr>
        <w:spacing w:after="0" w:line="22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002D73"/>
        </w:rPr>
        <w:t>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002D73"/>
        </w:rPr>
        <w:t>www.sec.gov</w:t>
      </w:r>
      <w:r>
        <w:rPr>
          <w:rFonts w:ascii="Arial" w:cs="Arial" w:eastAsia="Arial" w:hAnsi="Arial"/>
          <w:sz w:val="18"/>
          <w:szCs w:val="18"/>
          <w:color w:val="002D73"/>
        </w:rPr>
        <w:t>).</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002D73"/>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and our website is located at </w:t>
      </w:r>
      <w:r>
        <w:rPr>
          <w:rFonts w:ascii="Arial" w:cs="Arial" w:eastAsia="Arial" w:hAnsi="Arial"/>
          <w:sz w:val="18"/>
          <w:szCs w:val="18"/>
          <w:i w:val="1"/>
          <w:iCs w:val="1"/>
          <w:color w:val="002D73"/>
        </w:rPr>
        <w:t xml:space="preserve">www.avrobio.com. </w:t>
      </w:r>
      <w:r>
        <w:rPr>
          <w:rFonts w:ascii="Arial" w:cs="Arial" w:eastAsia="Arial" w:hAnsi="Arial"/>
          <w:sz w:val="18"/>
          <w:szCs w:val="18"/>
          <w:color w:val="002D73"/>
        </w:rPr>
        <w:t>Information contained on our website is not incorporated by reference into this prospectus and, therefore, is not part of this</w:t>
      </w:r>
      <w:r>
        <w:rPr>
          <w:rFonts w:ascii="Arial" w:cs="Arial" w:eastAsia="Arial" w:hAnsi="Arial"/>
          <w:sz w:val="18"/>
          <w:szCs w:val="18"/>
          <w:i w:val="1"/>
          <w:iCs w:val="1"/>
          <w:color w:val="002D73"/>
        </w:rPr>
        <w:t xml:space="preserve"> </w:t>
      </w:r>
      <w:r>
        <w:rPr>
          <w:rFonts w:ascii="Arial" w:cs="Arial" w:eastAsia="Arial" w:hAnsi="Arial"/>
          <w:sz w:val="18"/>
          <w:szCs w:val="18"/>
          <w:color w:val="002D73"/>
        </w:rPr>
        <w:t>prospectus or any accompanying prospectus supplement.</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002D73"/>
        </w:rPr>
        <w:t>31</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02D73"/>
        </w:rPr>
        <w:t>INCORPORATION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002D73"/>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100"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002D73"/>
        </w:rPr>
      </w:pPr>
      <w:r>
        <w:rPr>
          <w:rFonts w:ascii="Arial" w:cs="Arial" w:eastAsia="Arial" w:hAnsi="Arial"/>
          <w:sz w:val="18"/>
          <w:szCs w:val="18"/>
          <w:color w:val="002D73"/>
        </w:rPr>
        <w:t xml:space="preserve">our Annual Report on </w:t>
      </w:r>
      <w:hyperlink r:id="rId147">
        <w:r>
          <w:rPr>
            <w:rFonts w:ascii="Arial" w:cs="Arial" w:eastAsia="Arial" w:hAnsi="Arial"/>
            <w:sz w:val="18"/>
            <w:szCs w:val="18"/>
            <w:u w:val="single" w:color="auto"/>
            <w:color w:val="0000EE"/>
          </w:rPr>
          <w:t>Form 10-K</w:t>
        </w:r>
        <w:r>
          <w:rPr>
            <w:rFonts w:ascii="Arial" w:cs="Arial" w:eastAsia="Arial" w:hAnsi="Arial"/>
            <w:sz w:val="18"/>
            <w:szCs w:val="18"/>
            <w:u w:val="single" w:color="auto"/>
            <w:color w:val="002D73"/>
          </w:rPr>
          <w:t xml:space="preserve"> </w:t>
        </w:r>
      </w:hyperlink>
      <w:r>
        <w:rPr>
          <w:rFonts w:ascii="Arial" w:cs="Arial" w:eastAsia="Arial" w:hAnsi="Arial"/>
          <w:sz w:val="18"/>
          <w:szCs w:val="18"/>
          <w:color w:val="002D73"/>
        </w:rPr>
        <w:t>for the year ended December 31, 2018, filed with the SEC on March 25, 2019;</w:t>
      </w:r>
    </w:p>
    <w:p>
      <w:pPr>
        <w:spacing w:after="0" w:line="130" w:lineRule="exact"/>
        <w:rPr>
          <w:rFonts w:ascii="Arial" w:cs="Arial" w:eastAsia="Arial" w:hAnsi="Arial"/>
          <w:sz w:val="18"/>
          <w:szCs w:val="18"/>
          <w:color w:val="002D73"/>
        </w:rPr>
      </w:pPr>
    </w:p>
    <w:p>
      <w:pPr>
        <w:ind w:left="1080" w:right="140" w:hanging="424"/>
        <w:spacing w:after="0" w:line="263" w:lineRule="auto"/>
        <w:tabs>
          <w:tab w:leader="none" w:pos="1080" w:val="left"/>
        </w:tabs>
        <w:numPr>
          <w:ilvl w:val="0"/>
          <w:numId w:val="86"/>
        </w:numPr>
        <w:rPr>
          <w:rFonts w:ascii="Arial" w:cs="Arial" w:eastAsia="Arial" w:hAnsi="Arial"/>
          <w:sz w:val="18"/>
          <w:szCs w:val="18"/>
          <w:color w:val="002D73"/>
        </w:rPr>
      </w:pPr>
      <w:r>
        <w:rPr>
          <w:rFonts w:ascii="Arial" w:cs="Arial" w:eastAsia="Arial" w:hAnsi="Arial"/>
          <w:sz w:val="18"/>
          <w:szCs w:val="18"/>
          <w:color w:val="002D73"/>
        </w:rPr>
        <w:t xml:space="preserve">the information specifically incorporated by reference into our Annual Report on Form 10-K for the year ended December 31, 2018 from our </w:t>
      </w:r>
      <w:hyperlink r:id="rId148">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002D73"/>
          </w:rPr>
          <w:t xml:space="preserve"> </w:t>
        </w:r>
      </w:hyperlink>
      <w:r>
        <w:rPr>
          <w:rFonts w:ascii="Arial" w:cs="Arial" w:eastAsia="Arial" w:hAnsi="Arial"/>
          <w:sz w:val="18"/>
          <w:szCs w:val="18"/>
          <w:color w:val="002D73"/>
        </w:rPr>
        <w:t>on Schedule 14A (other than information furnished rather than filed), which was filed with the SEC on April 26, 2019;</w:t>
      </w:r>
    </w:p>
    <w:p>
      <w:pPr>
        <w:spacing w:after="0" w:line="89" w:lineRule="exact"/>
        <w:rPr>
          <w:rFonts w:ascii="Arial" w:cs="Arial" w:eastAsia="Arial" w:hAnsi="Arial"/>
          <w:sz w:val="18"/>
          <w:szCs w:val="18"/>
          <w:color w:val="002D73"/>
        </w:rPr>
      </w:pPr>
    </w:p>
    <w:p>
      <w:pPr>
        <w:ind w:left="1080" w:right="60" w:hanging="424"/>
        <w:spacing w:after="0" w:line="263" w:lineRule="auto"/>
        <w:tabs>
          <w:tab w:leader="none" w:pos="1080" w:val="left"/>
        </w:tabs>
        <w:numPr>
          <w:ilvl w:val="0"/>
          <w:numId w:val="86"/>
        </w:numPr>
        <w:rPr>
          <w:rFonts w:ascii="Arial" w:cs="Arial" w:eastAsia="Arial" w:hAnsi="Arial"/>
          <w:sz w:val="18"/>
          <w:szCs w:val="18"/>
          <w:color w:val="002D73"/>
        </w:rPr>
      </w:pPr>
      <w:r>
        <w:rPr>
          <w:rFonts w:ascii="Arial" w:cs="Arial" w:eastAsia="Arial" w:hAnsi="Arial"/>
          <w:sz w:val="18"/>
          <w:szCs w:val="18"/>
          <w:color w:val="002D73"/>
        </w:rPr>
        <w:t xml:space="preserve">our Quarterly Report on Form 10-Q for the quarter ended March 31, 2019, filed with the SEC on </w:t>
      </w:r>
      <w:hyperlink r:id="rId149">
        <w:r>
          <w:rPr>
            <w:rFonts w:ascii="Arial" w:cs="Arial" w:eastAsia="Arial" w:hAnsi="Arial"/>
            <w:sz w:val="18"/>
            <w:szCs w:val="18"/>
            <w:u w:val="single" w:color="auto"/>
            <w:color w:val="0000EE"/>
          </w:rPr>
          <w:t>May 13, 2019</w:t>
        </w:r>
      </w:hyperlink>
      <w:r>
        <w:rPr>
          <w:rFonts w:ascii="Arial" w:cs="Arial" w:eastAsia="Arial" w:hAnsi="Arial"/>
          <w:sz w:val="18"/>
          <w:szCs w:val="18"/>
          <w:color w:val="002D73"/>
        </w:rPr>
        <w:t xml:space="preserve">; our Quarterly Report on Form 10-Q for the quarter ended June 30, 2019, filed with the SEC on </w:t>
      </w:r>
      <w:hyperlink r:id="rId150">
        <w:r>
          <w:rPr>
            <w:rFonts w:ascii="Arial" w:cs="Arial" w:eastAsia="Arial" w:hAnsi="Arial"/>
            <w:sz w:val="18"/>
            <w:szCs w:val="18"/>
            <w:u w:val="single" w:color="auto"/>
            <w:color w:val="0000EE"/>
          </w:rPr>
          <w:t>August 8, 2019</w:t>
        </w:r>
      </w:hyperlink>
      <w:r>
        <w:rPr>
          <w:rFonts w:ascii="Arial" w:cs="Arial" w:eastAsia="Arial" w:hAnsi="Arial"/>
          <w:sz w:val="18"/>
          <w:szCs w:val="18"/>
          <w:color w:val="002D73"/>
        </w:rPr>
        <w:t xml:space="preserve">; our Quarterly Report on Form 10-Q for the quarter ended September 30, 2019, filed with the SEC on </w:t>
      </w:r>
      <w:hyperlink r:id="rId151">
        <w:r>
          <w:rPr>
            <w:rFonts w:ascii="Arial" w:cs="Arial" w:eastAsia="Arial" w:hAnsi="Arial"/>
            <w:sz w:val="18"/>
            <w:szCs w:val="18"/>
            <w:u w:val="single" w:color="auto"/>
            <w:color w:val="0000EE"/>
          </w:rPr>
          <w:t>November 7, 2019</w:t>
        </w:r>
      </w:hyperlink>
      <w:r>
        <w:rPr>
          <w:rFonts w:ascii="Arial" w:cs="Arial" w:eastAsia="Arial" w:hAnsi="Arial"/>
          <w:sz w:val="18"/>
          <w:szCs w:val="18"/>
          <w:color w:val="002D73"/>
        </w:rPr>
        <w:t>;</w:t>
      </w:r>
    </w:p>
    <w:p>
      <w:pPr>
        <w:spacing w:after="0" w:line="89" w:lineRule="exact"/>
        <w:rPr>
          <w:rFonts w:ascii="Arial" w:cs="Arial" w:eastAsia="Arial" w:hAnsi="Arial"/>
          <w:sz w:val="18"/>
          <w:szCs w:val="18"/>
          <w:color w:val="002D73"/>
        </w:rPr>
      </w:pPr>
    </w:p>
    <w:p>
      <w:pPr>
        <w:ind w:left="1080" w:right="360" w:hanging="424"/>
        <w:spacing w:after="0" w:line="259" w:lineRule="auto"/>
        <w:tabs>
          <w:tab w:leader="none" w:pos="1080" w:val="left"/>
        </w:tabs>
        <w:numPr>
          <w:ilvl w:val="0"/>
          <w:numId w:val="86"/>
        </w:numPr>
        <w:rPr>
          <w:rFonts w:ascii="Arial" w:cs="Arial" w:eastAsia="Arial" w:hAnsi="Arial"/>
          <w:sz w:val="18"/>
          <w:szCs w:val="18"/>
          <w:color w:val="0000EE"/>
        </w:rPr>
      </w:pPr>
      <w:r>
        <w:rPr>
          <w:rFonts w:ascii="Arial" w:cs="Arial" w:eastAsia="Arial" w:hAnsi="Arial"/>
          <w:sz w:val="18"/>
          <w:szCs w:val="18"/>
          <w:color w:val="002D73"/>
        </w:rPr>
        <w:t xml:space="preserve">our Current Report on Form 8-K filed with the SEC on </w:t>
      </w:r>
      <w:hyperlink r:id="rId152">
        <w:r>
          <w:rPr>
            <w:rFonts w:ascii="Arial" w:cs="Arial" w:eastAsia="Arial" w:hAnsi="Arial"/>
            <w:sz w:val="18"/>
            <w:szCs w:val="18"/>
            <w:u w:val="single" w:color="auto"/>
            <w:color w:val="0000EE"/>
          </w:rPr>
          <w:t>January 7, 2019</w:t>
        </w:r>
      </w:hyperlink>
      <w:r>
        <w:rPr>
          <w:rFonts w:ascii="Arial" w:cs="Arial" w:eastAsia="Arial" w:hAnsi="Arial"/>
          <w:sz w:val="18"/>
          <w:szCs w:val="18"/>
          <w:color w:val="002D73"/>
        </w:rPr>
        <w:t xml:space="preserve">, our Current Report on Form 8-K/A filed with the SEC on </w:t>
      </w:r>
      <w:hyperlink r:id="rId153">
        <w:r>
          <w:rPr>
            <w:rFonts w:ascii="Arial" w:cs="Arial" w:eastAsia="Arial" w:hAnsi="Arial"/>
            <w:sz w:val="18"/>
            <w:szCs w:val="18"/>
            <w:u w:val="single" w:color="auto"/>
            <w:color w:val="0000EE"/>
          </w:rPr>
          <w:t>January 11, 2019</w:t>
        </w:r>
        <w:r>
          <w:rPr>
            <w:rFonts w:ascii="Arial" w:cs="Arial" w:eastAsia="Arial" w:hAnsi="Arial"/>
            <w:sz w:val="18"/>
            <w:szCs w:val="18"/>
            <w:color w:val="0000EE"/>
          </w:rPr>
          <w:t xml:space="preserve"> </w:t>
        </w:r>
      </w:hyperlink>
      <w:r>
        <w:rPr>
          <w:rFonts w:ascii="Arial" w:cs="Arial" w:eastAsia="Arial" w:hAnsi="Arial"/>
          <w:sz w:val="18"/>
          <w:szCs w:val="18"/>
          <w:color w:val="002D73"/>
        </w:rPr>
        <w:t>and</w:t>
      </w:r>
      <w:r>
        <w:rPr>
          <w:rFonts w:ascii="Arial" w:cs="Arial" w:eastAsia="Arial" w:hAnsi="Arial"/>
          <w:sz w:val="18"/>
          <w:szCs w:val="18"/>
          <w:color w:val="0000EE"/>
        </w:rPr>
        <w:t xml:space="preserve"> </w:t>
      </w:r>
      <w:r>
        <w:rPr>
          <w:rFonts w:ascii="Arial" w:cs="Arial" w:eastAsia="Arial" w:hAnsi="Arial"/>
          <w:sz w:val="18"/>
          <w:szCs w:val="18"/>
          <w:color w:val="002D73"/>
        </w:rPr>
        <w:t>our Current Reports on Form 8-K filed with the SEC on</w:t>
      </w:r>
      <w:r>
        <w:rPr>
          <w:rFonts w:ascii="Arial" w:cs="Arial" w:eastAsia="Arial" w:hAnsi="Arial"/>
          <w:sz w:val="18"/>
          <w:szCs w:val="18"/>
          <w:color w:val="0000EE"/>
        </w:rPr>
        <w:t xml:space="preserve"> </w:t>
      </w:r>
      <w:hyperlink r:id="rId154">
        <w:r>
          <w:rPr>
            <w:rFonts w:ascii="Arial" w:cs="Arial" w:eastAsia="Arial" w:hAnsi="Arial"/>
            <w:sz w:val="18"/>
            <w:szCs w:val="18"/>
            <w:u w:val="single" w:color="auto"/>
            <w:color w:val="0000EE"/>
          </w:rPr>
          <w:t>January 22, 2019</w:t>
        </w:r>
      </w:hyperlink>
      <w:r>
        <w:rPr>
          <w:rFonts w:ascii="Arial" w:cs="Arial" w:eastAsia="Arial" w:hAnsi="Arial"/>
          <w:sz w:val="18"/>
          <w:szCs w:val="18"/>
          <w:color w:val="002D73"/>
        </w:rPr>
        <w:t>,</w:t>
      </w:r>
      <w:r>
        <w:rPr>
          <w:rFonts w:ascii="Arial" w:cs="Arial" w:eastAsia="Arial" w:hAnsi="Arial"/>
          <w:sz w:val="18"/>
          <w:szCs w:val="18"/>
          <w:color w:val="0000EE"/>
        </w:rPr>
        <w:t xml:space="preserve"> </w:t>
      </w:r>
      <w:hyperlink r:id="rId155">
        <w:r>
          <w:rPr>
            <w:rFonts w:ascii="Arial" w:cs="Arial" w:eastAsia="Arial" w:hAnsi="Arial"/>
            <w:sz w:val="18"/>
            <w:szCs w:val="18"/>
            <w:u w:val="single" w:color="auto"/>
            <w:color w:val="0000EE"/>
          </w:rPr>
          <w:t>February 6, 2019</w:t>
        </w:r>
      </w:hyperlink>
      <w:r>
        <w:rPr>
          <w:rFonts w:ascii="Arial" w:cs="Arial" w:eastAsia="Arial" w:hAnsi="Arial"/>
          <w:sz w:val="18"/>
          <w:szCs w:val="18"/>
          <w:color w:val="002D73"/>
        </w:rPr>
        <w:t>,</w:t>
      </w:r>
      <w:r>
        <w:rPr>
          <w:rFonts w:ascii="Arial" w:cs="Arial" w:eastAsia="Arial" w:hAnsi="Arial"/>
          <w:sz w:val="18"/>
          <w:szCs w:val="18"/>
          <w:color w:val="0000EE"/>
        </w:rPr>
        <w:t xml:space="preserve"> </w:t>
      </w:r>
      <w:hyperlink r:id="rId156">
        <w:r>
          <w:rPr>
            <w:rFonts w:ascii="Arial" w:cs="Arial" w:eastAsia="Arial" w:hAnsi="Arial"/>
            <w:sz w:val="18"/>
            <w:szCs w:val="18"/>
            <w:u w:val="single" w:color="auto"/>
            <w:color w:val="0000EE"/>
          </w:rPr>
          <w:t>April 29, 2019</w:t>
        </w:r>
      </w:hyperlink>
      <w:r>
        <w:rPr>
          <w:rFonts w:ascii="Arial" w:cs="Arial" w:eastAsia="Arial" w:hAnsi="Arial"/>
          <w:sz w:val="18"/>
          <w:szCs w:val="18"/>
          <w:color w:val="002D73"/>
        </w:rPr>
        <w:t>,</w:t>
      </w:r>
      <w:r>
        <w:rPr>
          <w:rFonts w:ascii="Arial" w:cs="Arial" w:eastAsia="Arial" w:hAnsi="Arial"/>
          <w:sz w:val="18"/>
          <w:szCs w:val="18"/>
          <w:color w:val="0000EE"/>
        </w:rPr>
        <w:t xml:space="preserve"> </w:t>
      </w:r>
      <w:hyperlink r:id="rId157">
        <w:r>
          <w:rPr>
            <w:rFonts w:ascii="Arial" w:cs="Arial" w:eastAsia="Arial" w:hAnsi="Arial"/>
            <w:sz w:val="18"/>
            <w:szCs w:val="18"/>
            <w:u w:val="single" w:color="auto"/>
            <w:color w:val="0000EE"/>
          </w:rPr>
          <w:t>June 12, 2019</w:t>
        </w:r>
      </w:hyperlink>
      <w:r>
        <w:rPr>
          <w:rFonts w:ascii="Arial" w:cs="Arial" w:eastAsia="Arial" w:hAnsi="Arial"/>
          <w:sz w:val="18"/>
          <w:szCs w:val="18"/>
          <w:color w:val="002D73"/>
        </w:rPr>
        <w:t>,</w:t>
      </w:r>
      <w:r>
        <w:rPr>
          <w:rFonts w:ascii="Arial" w:cs="Arial" w:eastAsia="Arial" w:hAnsi="Arial"/>
          <w:sz w:val="18"/>
          <w:szCs w:val="18"/>
          <w:color w:val="0000EE"/>
        </w:rPr>
        <w:t xml:space="preserve"> </w:t>
      </w:r>
      <w:hyperlink r:id="rId158">
        <w:r>
          <w:rPr>
            <w:rFonts w:ascii="Arial" w:cs="Arial" w:eastAsia="Arial" w:hAnsi="Arial"/>
            <w:sz w:val="18"/>
            <w:szCs w:val="18"/>
            <w:u w:val="single" w:color="auto"/>
            <w:color w:val="0000EE"/>
          </w:rPr>
          <w:t xml:space="preserve">July 15, 2019 </w:t>
        </w:r>
      </w:hyperlink>
      <w:r>
        <w:rPr>
          <w:rFonts w:ascii="Arial" w:cs="Arial" w:eastAsia="Arial" w:hAnsi="Arial"/>
          <w:sz w:val="18"/>
          <w:szCs w:val="18"/>
          <w:color w:val="002D73"/>
        </w:rPr>
        <w:t>and</w:t>
      </w:r>
      <w:r>
        <w:rPr>
          <w:rFonts w:ascii="Arial" w:cs="Arial" w:eastAsia="Arial" w:hAnsi="Arial"/>
          <w:sz w:val="18"/>
          <w:szCs w:val="18"/>
          <w:color w:val="0000EE"/>
        </w:rPr>
        <w:t xml:space="preserve"> </w:t>
      </w:r>
      <w:hyperlink r:id="rId159">
        <w:r>
          <w:rPr>
            <w:rFonts w:ascii="Arial" w:cs="Arial" w:eastAsia="Arial" w:hAnsi="Arial"/>
            <w:sz w:val="18"/>
            <w:szCs w:val="18"/>
            <w:u w:val="single" w:color="auto"/>
            <w:color w:val="0000EE"/>
          </w:rPr>
          <w:t>July 17, 2019</w:t>
        </w:r>
      </w:hyperlink>
      <w:r>
        <w:rPr>
          <w:rFonts w:ascii="Arial" w:cs="Arial" w:eastAsia="Arial" w:hAnsi="Arial"/>
          <w:sz w:val="18"/>
          <w:szCs w:val="18"/>
          <w:color w:val="002D73"/>
        </w:rPr>
        <w:t>,</w:t>
      </w:r>
      <w:r>
        <w:rPr>
          <w:rFonts w:ascii="Arial" w:cs="Arial" w:eastAsia="Arial" w:hAnsi="Arial"/>
          <w:sz w:val="18"/>
          <w:szCs w:val="18"/>
          <w:color w:val="0000EE"/>
        </w:rPr>
        <w:t xml:space="preserve"> </w:t>
      </w:r>
      <w:r>
        <w:rPr>
          <w:rFonts w:ascii="Arial" w:cs="Arial" w:eastAsia="Arial" w:hAnsi="Arial"/>
          <w:sz w:val="18"/>
          <w:szCs w:val="18"/>
          <w:color w:val="002D73"/>
        </w:rPr>
        <w:t>(in each case, except for information contained therein which is furnished rather than</w:t>
      </w:r>
      <w:r>
        <w:rPr>
          <w:rFonts w:ascii="Arial" w:cs="Arial" w:eastAsia="Arial" w:hAnsi="Arial"/>
          <w:sz w:val="18"/>
          <w:szCs w:val="18"/>
          <w:color w:val="0000EE"/>
        </w:rPr>
        <w:t xml:space="preserve"> </w:t>
      </w:r>
      <w:r>
        <w:rPr>
          <w:rFonts w:ascii="Arial" w:cs="Arial" w:eastAsia="Arial" w:hAnsi="Arial"/>
          <w:sz w:val="18"/>
          <w:szCs w:val="18"/>
          <w:color w:val="002D73"/>
        </w:rPr>
        <w:t>filed); and</w:t>
      </w:r>
    </w:p>
    <w:p>
      <w:pPr>
        <w:spacing w:after="0" w:line="92" w:lineRule="exact"/>
        <w:rPr>
          <w:rFonts w:ascii="Arial" w:cs="Arial" w:eastAsia="Arial" w:hAnsi="Arial"/>
          <w:sz w:val="18"/>
          <w:szCs w:val="18"/>
          <w:color w:val="0000EE"/>
        </w:rPr>
      </w:pPr>
    </w:p>
    <w:p>
      <w:pPr>
        <w:ind w:left="1080" w:right="140" w:hanging="424"/>
        <w:spacing w:after="0" w:line="277" w:lineRule="auto"/>
        <w:tabs>
          <w:tab w:leader="none" w:pos="1080" w:val="left"/>
        </w:tabs>
        <w:numPr>
          <w:ilvl w:val="0"/>
          <w:numId w:val="86"/>
        </w:numPr>
        <w:rPr>
          <w:rFonts w:ascii="Arial" w:cs="Arial" w:eastAsia="Arial" w:hAnsi="Arial"/>
          <w:sz w:val="18"/>
          <w:szCs w:val="18"/>
          <w:color w:val="002D73"/>
        </w:rPr>
      </w:pPr>
      <w:r>
        <w:rPr>
          <w:rFonts w:ascii="Arial" w:cs="Arial" w:eastAsia="Arial" w:hAnsi="Arial"/>
          <w:sz w:val="18"/>
          <w:szCs w:val="18"/>
          <w:color w:val="002D73"/>
        </w:rPr>
        <w:t xml:space="preserve">the description of our common stock contained in our registration statement on </w:t>
      </w:r>
      <w:hyperlink r:id="rId109">
        <w:r>
          <w:rPr>
            <w:rFonts w:ascii="Arial" w:cs="Arial" w:eastAsia="Arial" w:hAnsi="Arial"/>
            <w:sz w:val="18"/>
            <w:szCs w:val="18"/>
            <w:u w:val="single" w:color="auto"/>
            <w:color w:val="0000EE"/>
          </w:rPr>
          <w:t>Form 8-A</w:t>
        </w:r>
        <w:r>
          <w:rPr>
            <w:rFonts w:ascii="Arial" w:cs="Arial" w:eastAsia="Arial" w:hAnsi="Arial"/>
            <w:sz w:val="18"/>
            <w:szCs w:val="18"/>
            <w:u w:val="single" w:color="auto"/>
            <w:color w:val="002D73"/>
          </w:rPr>
          <w:t xml:space="preserve"> </w:t>
        </w:r>
      </w:hyperlink>
      <w:r>
        <w:rPr>
          <w:rFonts w:ascii="Arial" w:cs="Arial" w:eastAsia="Arial" w:hAnsi="Arial"/>
          <w:sz w:val="18"/>
          <w:szCs w:val="18"/>
          <w:color w:val="002D73"/>
        </w:rPr>
        <w:t>filed with the SEC on June 18, 2018, including any amendments or reports filed for the purposes of updating this description.</w:t>
      </w:r>
    </w:p>
    <w:p>
      <w:pPr>
        <w:spacing w:after="0" w:line="170" w:lineRule="exact"/>
        <w:rPr>
          <w:rFonts w:ascii="Arial" w:cs="Arial" w:eastAsia="Arial" w:hAnsi="Arial"/>
          <w:sz w:val="18"/>
          <w:szCs w:val="18"/>
          <w:color w:val="0000EE"/>
        </w:rPr>
      </w:pPr>
    </w:p>
    <w:p>
      <w:pPr>
        <w:ind w:left="120" w:right="20" w:firstLine="440"/>
        <w:spacing w:after="0" w:line="257" w:lineRule="auto"/>
        <w:rPr>
          <w:sz w:val="20"/>
          <w:szCs w:val="20"/>
          <w:color w:val="auto"/>
        </w:rPr>
      </w:pPr>
      <w:r>
        <w:rPr>
          <w:rFonts w:ascii="Arial" w:cs="Arial" w:eastAsia="Arial" w:hAnsi="Arial"/>
          <w:sz w:val="18"/>
          <w:szCs w:val="18"/>
          <w:color w:val="002D73"/>
        </w:rPr>
        <w:t>Upon request, either orally or in writing,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us at the following address: Investor Relations, AVROBIO, Inc., One Kendall Square, Building 300, Suite 201, Cambridge, Massachusetts 02139, or via telephone at (617) 914-8420.</w:t>
      </w:r>
    </w:p>
    <w:p>
      <w:pPr>
        <w:spacing w:after="0" w:line="188" w:lineRule="exact"/>
        <w:rPr>
          <w:rFonts w:ascii="Arial" w:cs="Arial" w:eastAsia="Arial" w:hAnsi="Arial"/>
          <w:sz w:val="18"/>
          <w:szCs w:val="18"/>
          <w:color w:val="0000EE"/>
        </w:rPr>
      </w:pPr>
    </w:p>
    <w:p>
      <w:pPr>
        <w:ind w:left="120" w:right="480" w:firstLine="440"/>
        <w:spacing w:after="0" w:line="277" w:lineRule="auto"/>
        <w:rPr>
          <w:sz w:val="20"/>
          <w:szCs w:val="20"/>
          <w:color w:val="auto"/>
        </w:rPr>
      </w:pPr>
      <w:r>
        <w:rPr>
          <w:rFonts w:ascii="Arial" w:cs="Arial" w:eastAsia="Arial" w:hAnsi="Arial"/>
          <w:sz w:val="18"/>
          <w:szCs w:val="18"/>
          <w:color w:val="002D73"/>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rFonts w:ascii="Arial" w:cs="Arial" w:eastAsia="Arial" w:hAnsi="Arial"/>
          <w:sz w:val="18"/>
          <w:szCs w:val="18"/>
          <w:color w:val="0000EE"/>
        </w:rPr>
      </w:pPr>
    </w:p>
    <w:p>
      <w:pPr>
        <w:ind w:left="120" w:right="40" w:firstLine="440"/>
        <w:spacing w:after="0" w:line="259" w:lineRule="auto"/>
        <w:rPr>
          <w:sz w:val="20"/>
          <w:szCs w:val="20"/>
          <w:color w:val="auto"/>
        </w:rPr>
      </w:pPr>
      <w:r>
        <w:rPr>
          <w:rFonts w:ascii="Arial" w:cs="Arial" w:eastAsia="Arial" w:hAnsi="Arial"/>
          <w:sz w:val="18"/>
          <w:szCs w:val="18"/>
          <w:color w:val="002D73"/>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9"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002D73"/>
        </w:rPr>
        <w:t>32</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Arial" w:cs="Arial" w:eastAsia="Arial" w:hAnsi="Arial"/>
          <w:sz w:val="32"/>
          <w:szCs w:val="32"/>
          <w:i w:val="1"/>
          <w:iCs w:val="1"/>
          <w:color w:val="32406B"/>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653415</wp:posOffset>
            </wp:positionV>
            <wp:extent cx="1440180" cy="3346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14401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980"/>
        <w:spacing w:after="0"/>
        <w:rPr>
          <w:sz w:val="20"/>
          <w:szCs w:val="20"/>
          <w:color w:val="auto"/>
        </w:rPr>
      </w:pPr>
      <w:r>
        <w:rPr>
          <w:rFonts w:ascii="Arial" w:cs="Arial" w:eastAsia="Arial" w:hAnsi="Arial"/>
          <w:sz w:val="22"/>
          <w:szCs w:val="22"/>
          <w:i w:val="1"/>
          <w:iCs w:val="1"/>
          <w:color w:val="32406B"/>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32"/>
          <w:szCs w:val="32"/>
          <w:i w:val="1"/>
          <w:iCs w:val="1"/>
          <w:color w:val="32406B"/>
        </w:rPr>
        <w:t>MORGAN STANLEY</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32"/>
          <w:szCs w:val="32"/>
          <w:i w:val="1"/>
          <w:iCs w:val="1"/>
          <w:color w:val="32406B"/>
        </w:rPr>
        <w:t>COWEN</w:t>
      </w:r>
    </w:p>
    <w:p>
      <w:pPr>
        <w:jc w:val="center"/>
        <w:ind w:right="-1120"/>
        <w:spacing w:after="0"/>
        <w:rPr>
          <w:sz w:val="20"/>
          <w:szCs w:val="20"/>
          <w:color w:val="auto"/>
        </w:rPr>
      </w:pPr>
      <w:r>
        <w:rPr>
          <w:rFonts w:ascii="Arial" w:cs="Arial" w:eastAsia="Arial" w:hAnsi="Arial"/>
          <w:sz w:val="29"/>
          <w:szCs w:val="29"/>
          <w:i w:val="1"/>
          <w:iCs w:val="1"/>
          <w:color w:val="32406B"/>
        </w:rPr>
        <w:t>WELLS FARGO SECURITIES</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32"/>
          <w:szCs w:val="32"/>
          <w:i w:val="1"/>
          <w:iCs w:val="1"/>
          <w:color w:val="32406B"/>
        </w:rPr>
        <w:t>BARCLAYS</w:t>
      </w:r>
    </w:p>
    <w:p>
      <w:pPr>
        <w:jc w:val="center"/>
        <w:ind w:right="-1120"/>
        <w:spacing w:after="0"/>
        <w:rPr>
          <w:sz w:val="20"/>
          <w:szCs w:val="20"/>
          <w:color w:val="auto"/>
        </w:rPr>
      </w:pPr>
      <w:r>
        <w:rPr>
          <w:rFonts w:ascii="Arial" w:cs="Arial" w:eastAsia="Arial" w:hAnsi="Arial"/>
          <w:sz w:val="32"/>
          <w:szCs w:val="32"/>
          <w:i w:val="1"/>
          <w:iCs w:val="1"/>
          <w:color w:val="32406B"/>
        </w:rPr>
        <w:t>WEDBUSH PACGROW</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16"/>
          <w:szCs w:val="16"/>
          <w:i w:val="1"/>
          <w:iCs w:val="1"/>
          <w:color w:val="32406B"/>
        </w:rPr>
        <w:t>November 19, 2020</w:t>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1)"/>
      <w:numFmt w:val="decimal"/>
      <w:start w:val="3"/>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1)"/>
      <w:numFmt w:val="lowerLetter"/>
      <w:start w:val="1"/>
    </w:lvl>
  </w:abstractNum>
  <w:abstractNum w:abstractNumId="50">
    <w:nsid w:val="100F8FCA"/>
    <w:multiLevelType w:val="hybridMultilevel"/>
    <w:lvl w:ilvl="0">
      <w:lvlJc w:val="left"/>
      <w:lvlText w:val="(%1)"/>
      <w:numFmt w:val="lowerLetter"/>
      <w:start w:val="2"/>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1)"/>
      <w:numFmt w:val="lowerRoman"/>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4"/>
    </w:lvl>
    <w:lvl w:ilvl="1">
      <w:lvlJc w:val="left"/>
      <w:lvlText w:val="•"/>
      <w:numFmt w:val="bullet"/>
      <w:start w:val="1"/>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jpe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jpeg"/><Relationship Id="rId102" Type="http://schemas.openxmlformats.org/officeDocument/2006/relationships/hyperlink" Target="http://www.sec.gov/Archives/edgar/data/1681087/000156459020011144/avro-10k_20191231.htm" TargetMode="External"/><Relationship Id="rId103" Type="http://schemas.openxmlformats.org/officeDocument/2006/relationships/hyperlink" Target="http://www.sec.gov/Archives/edgar/data/1681087/000156459020017934/avro-def14a_20200604.htm" TargetMode="External"/><Relationship Id="rId104" Type="http://schemas.openxmlformats.org/officeDocument/2006/relationships/hyperlink" Target="http://www.sec.gov/Archives/edgar/data/1681087/000156459020022815/avro-10q_20200331.htm" TargetMode="External"/><Relationship Id="rId105" Type="http://schemas.openxmlformats.org/officeDocument/2006/relationships/hyperlink" Target="http://www.sec.gov/ix?doc=/Archives/edgar/data/1681087/000156459020037237/avro-10q_20200630.htm" TargetMode="External"/><Relationship Id="rId106" Type="http://schemas.openxmlformats.org/officeDocument/2006/relationships/hyperlink" Target="http://www.sec.gov/ix?doc=/Archives/edgar/data/1681087/000156459020051456/avro-10q_20200930.htm" TargetMode="External"/><Relationship Id="rId107" Type="http://schemas.openxmlformats.org/officeDocument/2006/relationships/hyperlink" Target="http://www.sec.gov/Archives/edgar/data/1681087/000119312520141026/d930129d8k.htm" TargetMode="External"/><Relationship Id="rId108" Type="http://schemas.openxmlformats.org/officeDocument/2006/relationships/hyperlink" Target="http://www.sec.gov/ix?doc=/Archives/edgar/data/1681087/000119312520295466/d201515d8k.htm" TargetMode="External"/><Relationship Id="rId109" Type="http://schemas.openxmlformats.org/officeDocument/2006/relationships/hyperlink" Target="http://www.sec.gov/Archives/edgar/data/1681087/000119312518195637/d562006d8a12b.htm" TargetMode="External"/><Relationship Id="rId147" Type="http://schemas.openxmlformats.org/officeDocument/2006/relationships/hyperlink" Target="http://www.sec.gov/Archives/edgar/data/1681087/000119312519085321/d677215d10k.htm" TargetMode="External"/><Relationship Id="rId148" Type="http://schemas.openxmlformats.org/officeDocument/2006/relationships/hyperlink" Target="http://www.sec.gov/Archives/edgar/data/1681087/000119312519120864/d677210ddef14a.htm" TargetMode="External"/><Relationship Id="rId149" Type="http://schemas.openxmlformats.org/officeDocument/2006/relationships/hyperlink" Target="http://www.sec.gov/Archives/edgar/data/1681087/000119312519145337/d704561d10q.htm" TargetMode="External"/><Relationship Id="rId150" Type="http://schemas.openxmlformats.org/officeDocument/2006/relationships/hyperlink" Target="http://www.sec.gov/Archives/edgar/data/1681087/000156459019030417/avro-10q_20190630.htm" TargetMode="External"/><Relationship Id="rId151" Type="http://schemas.openxmlformats.org/officeDocument/2006/relationships/hyperlink" Target="http://www.sec.gov/Archives/edgar/data/1681087/000156459019041704/avro-10q_20190930.htm" TargetMode="External"/><Relationship Id="rId152" Type="http://schemas.openxmlformats.org/officeDocument/2006/relationships/hyperlink" Target="http://www.sec.gov/Archives/edgar/data/1681087/000119312519003876/d667521d8k.htm" TargetMode="External"/><Relationship Id="rId153" Type="http://schemas.openxmlformats.org/officeDocument/2006/relationships/hyperlink" Target="http://www.sec.gov/Archives/edgar/data/1681087/000119312519007398/d666627d8ka.htm" TargetMode="External"/><Relationship Id="rId154" Type="http://schemas.openxmlformats.org/officeDocument/2006/relationships/hyperlink" Target="http://www.sec.gov/Archives/edgar/data/1681087/000119312519013423/d688889d8k.htm" TargetMode="External"/><Relationship Id="rId155" Type="http://schemas.openxmlformats.org/officeDocument/2006/relationships/hyperlink" Target="http://www.sec.gov/Archives/edgar/data/1681087/000119312519028978/d664592d8k.htm" TargetMode="External"/><Relationship Id="rId156" Type="http://schemas.openxmlformats.org/officeDocument/2006/relationships/hyperlink" Target="http://www.sec.gov/Archives/edgar/data/1681087/000119312519123672/d668056d8k.htm" TargetMode="External"/><Relationship Id="rId157" Type="http://schemas.openxmlformats.org/officeDocument/2006/relationships/hyperlink" Target="http://www.sec.gov/Archives/edgar/data/1681087/000119312519170745/d766114d8k.htm" TargetMode="External"/><Relationship Id="rId158" Type="http://schemas.openxmlformats.org/officeDocument/2006/relationships/hyperlink" Target="http://www.sec.gov/Archives/edgar/data/1681087/000119312519193574/d753129d8k.htm" TargetMode="External"/><Relationship Id="rId159" Type="http://schemas.openxmlformats.org/officeDocument/2006/relationships/hyperlink" Target="http://www.sec.gov/Archives/edgar/data/1681087/000119312519195748/d77523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2020-11-20T15:05:15Z</dcterms:created>
  <dcterms:modified xsi:type="dcterms:W3CDTF">2020-11-20T15:05:15Z</dcterms:modified>
</cp:coreProperties>
</file>