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13G/A*</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2 )*</w:t>
      </w:r>
    </w:p>
    <w:p>
      <w:pPr>
        <w:spacing w:after="0" w:line="18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80" w:firstLine="8"/>
        <w:spacing w:after="0" w:line="226" w:lineRule="exact"/>
        <w:tabs>
          <w:tab w:leader="none" w:pos="20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97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BML Investment Partners, L.P.</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right w:val="single" w:sz="8" w:color="auto"/>
            </w:tcBorders>
            <w:vMerge w:val="continue"/>
          </w:tcPr>
          <w:p>
            <w:pPr>
              <w:spacing w:after="0"/>
              <w:rPr>
                <w:sz w:val="23"/>
                <w:szCs w:val="23"/>
                <w:color w:val="auto"/>
              </w:rPr>
            </w:pPr>
          </w:p>
        </w:tc>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4,768,262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tcBorders>
            <w:vMerge w:val="restart"/>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6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tcBorders>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4,768,262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4,768,262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20" w:type="dxa"/>
            <w:vAlign w:val="bottom"/>
            <w:tcBorders>
              <w:left w:val="single" w:sz="8" w:color="auto"/>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20" w:type="dxa"/>
            <w:vAlign w:val="bottom"/>
            <w:tcBorders>
              <w:left w:val="single" w:sz="8" w:color="auto"/>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Borders>
              <w:bottom w:val="single" w:sz="8" w:color="auto"/>
            </w:tcBorders>
          </w:tcPr>
          <w:p>
            <w:pPr>
              <w:spacing w:after="0"/>
              <w:rPr>
                <w:sz w:val="18"/>
                <w:szCs w:val="18"/>
                <w:color w:val="auto"/>
              </w:rPr>
            </w:pPr>
          </w:p>
        </w:tc>
        <w:tc>
          <w:tcPr>
            <w:tcW w:w="9700" w:type="dxa"/>
            <w:vAlign w:val="bottom"/>
            <w:tcBorders>
              <w:bottom w:val="single" w:sz="8" w:color="auto"/>
            </w:tcBorders>
            <w:gridSpan w:val="6"/>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97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Braden M Leonard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9700" w:type="dxa"/>
            <w:vAlign w:val="bottom"/>
            <w:tcBorders>
              <w:bottom w:val="single" w:sz="8" w:color="auto"/>
            </w:tcBorders>
            <w:gridSpan w:val="6"/>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9700" w:type="dxa"/>
            <w:vAlign w:val="bottom"/>
            <w:tcBorders>
              <w:bottom w:val="single" w:sz="8" w:color="auto"/>
            </w:tcBorders>
            <w:gridSpan w:val="6"/>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80" w:type="dxa"/>
            <w:vAlign w:val="bottom"/>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42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4,768,262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395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957320"/>
                    </a:xfrm>
                    <a:prstGeom prst="rect">
                      <a:avLst/>
                    </a:prstGeom>
                    <a:noFill/>
                  </pic:spPr>
                </pic:pic>
              </a:graphicData>
            </a:graphic>
          </wp:anchor>
        </w:drawing>
      </w:r>
    </w:p>
    <w:p>
      <w:pPr>
        <w:spacing w:after="0" w:line="1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SOLE DISPOSITIVE POWER</w:t>
      </w:r>
    </w:p>
    <w:p>
      <w:pPr>
        <w:ind w:left="2780" w:hanging="504"/>
        <w:spacing w:after="0" w:line="182" w:lineRule="auto"/>
        <w:tabs>
          <w:tab w:leader="none" w:pos="2780" w:val="left"/>
        </w:tabs>
        <w:numPr>
          <w:ilvl w:val="0"/>
          <w:numId w:val="3"/>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400,000</w:t>
      </w:r>
    </w:p>
    <w:p>
      <w:pPr>
        <w:ind w:left="2720" w:hanging="444"/>
        <w:spacing w:after="0" w:line="182" w:lineRule="auto"/>
        <w:tabs>
          <w:tab w:leader="none" w:pos="2720" w:val="left"/>
        </w:tabs>
        <w:numPr>
          <w:ilvl w:val="0"/>
          <w:numId w:val="4"/>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6"/>
          <w:szCs w:val="16"/>
          <w:b w:val="1"/>
          <w:bCs w:val="1"/>
          <w:color w:val="auto"/>
        </w:rPr>
        <w:t>SHARED DISPOSITIVE POWER</w:t>
      </w:r>
    </w:p>
    <w:p>
      <w:pPr>
        <w:sectPr>
          <w:pgSz w:w="11900" w:h="16838" w:orient="portrait"/>
          <w:cols w:equalWidth="0" w:num="1">
            <w:col w:w="11240"/>
          </w:cols>
          <w:pgMar w:left="320" w:top="336" w:right="339" w:bottom="0" w:gutter="0" w:footer="0" w:header="0"/>
        </w:sectPr>
      </w:pPr>
    </w:p>
    <w:bookmarkStart w:id="2" w:name="page3"/>
    <w:bookmarkEnd w:id="2"/>
    <w:p>
      <w:pPr>
        <w:ind w:left="2240"/>
        <w:spacing w:after="0"/>
        <w:rPr>
          <w:sz w:val="20"/>
          <w:szCs w:val="20"/>
          <w:color w:val="auto"/>
        </w:rPr>
      </w:pPr>
      <w:r>
        <w:rPr>
          <w:rFonts w:ascii="Times New Roman" w:cs="Times New Roman" w:eastAsia="Times New Roman" w:hAnsi="Times New Roman"/>
          <w:sz w:val="18"/>
          <w:szCs w:val="18"/>
          <w:color w:val="auto"/>
        </w:rPr>
        <w:t>4,768,262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-119380</wp:posOffset>
            </wp:positionV>
            <wp:extent cx="7132320" cy="2425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3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p>
      <w:pPr>
        <w:ind w:left="940" w:hanging="858"/>
        <w:spacing w:after="0" w:line="182" w:lineRule="auto"/>
        <w:tabs>
          <w:tab w:leader="none" w:pos="94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5,168,262</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CHECK IF THE AGGREGATE AMOUNT IN ROW (9) EXCLUDES CERTAIN SHARES (SEE INSTRUCTIONS)</w:t>
      </w:r>
    </w:p>
    <w:p>
      <w:pPr>
        <w:spacing w:after="0" w:line="379" w:lineRule="exact"/>
        <w:tabs>
          <w:tab w:leader="none" w:pos="86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20"/>
        <w:spacing w:after="0" w:line="181" w:lineRule="auto"/>
        <w:tabs>
          <w:tab w:leader="none" w:pos="92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11.5%</w:t>
      </w:r>
    </w:p>
    <w:p>
      <w:pPr>
        <w:spacing w:after="0" w:line="3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spacing w:after="0" w:line="181" w:lineRule="auto"/>
        <w:tabs>
          <w:tab w:leader="none" w:pos="920" w:val="left"/>
        </w:tabs>
        <w:rPr>
          <w:sz w:val="20"/>
          <w:szCs w:val="20"/>
          <w:color w:val="auto"/>
        </w:rPr>
      </w:pPr>
      <w:r>
        <w:rPr>
          <w:rFonts w:ascii="Times New Roman" w:cs="Times New Roman" w:eastAsia="Times New Roman" w:hAnsi="Times New Roman"/>
          <w:sz w:val="27"/>
          <w:szCs w:val="27"/>
          <w:b w:val="1"/>
          <w:bCs w:val="1"/>
          <w:color w:val="auto"/>
          <w:vertAlign w:val="superscript"/>
        </w:rPr>
        <w:t>12</w:t>
      </w:r>
      <w:r>
        <w:rPr>
          <w:sz w:val="20"/>
          <w:szCs w:val="20"/>
          <w:color w:val="auto"/>
        </w:rPr>
        <w:tab/>
      </w:r>
      <w:r>
        <w:rPr>
          <w:rFonts w:ascii="Times New Roman" w:cs="Times New Roman" w:eastAsia="Times New Roman" w:hAnsi="Times New Roman"/>
          <w:sz w:val="14"/>
          <w:szCs w:val="14"/>
          <w:color w:val="auto"/>
        </w:rPr>
        <w:t>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488950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20"/>
          </w:cols>
          <w:pgMar w:left="860" w:top="121" w:right="1219" w:bottom="1440" w:gutter="0" w:footer="0" w:header="0"/>
        </w:sectPr>
      </w:pPr>
    </w:p>
    <w:bookmarkStart w:id="3" w:name="page4"/>
    <w:bookmarkEnd w:id="3"/>
    <w:p>
      <w:pPr>
        <w:jc w:val="right"/>
        <w:ind w:right="7939"/>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5" w:lineRule="exact"/>
        <w:rPr>
          <w:sz w:val="20"/>
          <w:szCs w:val="20"/>
          <w:color w:val="auto"/>
        </w:rPr>
      </w:pPr>
    </w:p>
    <w:p>
      <w:pPr>
        <w:jc w:val="right"/>
        <w:ind w:right="78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100 Technology Square, Sixth Floor, Cambridge, MA 02139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00" w:lineRule="exact"/>
        <w:rPr>
          <w:sz w:val="20"/>
          <w:szCs w:val="20"/>
          <w:color w:val="auto"/>
        </w:rPr>
      </w:pPr>
    </w:p>
    <w:p>
      <w:pPr>
        <w:spacing w:after="0" w:line="2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BML Investment Partners, L.P.</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 E Cedar, Suite 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Zionsville, IN 46077</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Delaware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Sections 240.13d-1(b) or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240.13d-2(b) or (c), Check Whether the Person Filing Is a(n):</w:t>
      </w:r>
    </w:p>
    <w:p>
      <w:pPr>
        <w:spacing w:after="0" w:line="166" w:lineRule="exact"/>
        <w:rPr>
          <w:sz w:val="20"/>
          <w:szCs w:val="20"/>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Section 240.13d-1(b)(1)(ii)(E);</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Section 240.13d-1(b)(1)(ii)(F);</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Section 240.13d-1(b)(1)(ii)(G);</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00" w:hanging="320"/>
        <w:spacing w:after="0" w:line="245"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240.13d-1(b)(1)(ii)(K). If filing as a non-U.S. institution in accordance with Section 240.13d-1(b)</w:t>
      </w:r>
    </w:p>
    <w:p>
      <w:pPr>
        <w:spacing w:after="0" w:line="6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____________________________ .</w:t>
      </w: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5,168,262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11.5</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400,000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4,768,262</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400,000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4,768,262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21,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BML Capital Management, LLC</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Braden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Braden M Leonard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474980</wp:posOffset>
            </wp:positionV>
            <wp:extent cx="713613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7"/>
      <w:numFmt w:val="bullet"/>
      <w:start w:val="1"/>
    </w:lvl>
  </w:abstractNum>
  <w:abstractNum w:abstractNumId="3">
    <w:nsid w:val="3D1B58BA"/>
    <w:multiLevelType w:val="hybridMultilevel"/>
    <w:lvl w:ilvl="0">
      <w:lvlJc w:val="left"/>
      <w:lvlText w:val="8"/>
      <w:numFmt w:val="bullet"/>
      <w:start w:val="1"/>
    </w:lvl>
  </w:abstractNum>
  <w:abstractNum w:abstractNumId="4">
    <w:nsid w:val="507ED7AB"/>
    <w:multiLevelType w:val="hybridMultilevel"/>
    <w:lvl w:ilvl="0">
      <w:lvlJc w:val="left"/>
      <w:lvlText w:val="9"/>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2024-05-21T09:04:26Z</dcterms:created>
  <dcterms:modified xsi:type="dcterms:W3CDTF">2024-05-21T09:04:26Z</dcterms:modified>
</cp:coreProperties>
</file>