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2"/>
        </w:rPr>
      </w:pPr>
      <w:bookmarkStart w:id="0" w:name="tecx-20241231.htm"/>
      <w:bookmarkStart w:id="1" w:name="kstecx20241231"/>
      <w:bookmarkEnd w:id="0"/>
      <w:bookmarkEnd w:id="1"/>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10-K</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b/>
          <w:color w:val="000000"/>
          <w:sz w:val="18"/>
        </w:rPr>
      </w:pPr>
      <w:r>
        <w:rPr>
          <w:rFonts w:ascii="Times New Roman" w:hAnsi="Times New Roman"/>
          <w:b/>
          <w:color w:val="000000"/>
          <w:sz w:val="18"/>
        </w:rPr>
        <w:t>(Mark One)</w:t>
      </w:r>
    </w:p>
    <w:tbl>
      <w:tblPr>
        <w:tblW w:w="9422" w:type="dxa"/>
        <w:jc w:val="left"/>
        <w:tblInd w:w="0" w:type="dxa"/>
        <w:tblLayout w:type="fixed"/>
        <w:tblCellMar>
          <w:top w:w="28" w:type="dxa"/>
          <w:left w:w="28" w:type="dxa"/>
          <w:bottom w:w="28" w:type="dxa"/>
          <w:right w:w="28" w:type="dxa"/>
        </w:tblCellMar>
      </w:tblPr>
      <w:tblGrid>
        <w:gridCol w:w="331"/>
        <w:gridCol w:w="9091"/>
      </w:tblGrid>
      <w:tr>
        <w:trPr/>
        <w:tc>
          <w:tcPr>
            <w:tcW w:w="331"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ANNUAL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fiscal year ended December 31, 2024</w:t>
      </w:r>
    </w:p>
    <w:p>
      <w:pPr>
        <w:pStyle w:val="TextBody"/>
        <w:bidi w:val="0"/>
        <w:spacing w:before="6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transition period from _________________ to _________________</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Commission File Number: 001-38537</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TECTONIC THERAPEUTIC,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8" w:space="1" w:color="000000"/>
        </w:pBdr>
        <w:bidi w:val="0"/>
        <w:jc w:val="center"/>
        <w:rPr/>
      </w:pPr>
      <w:r>
        <w:rPr/>
        <w:t> </w:t>
      </w:r>
    </w:p>
    <w:tbl>
      <w:tblPr>
        <w:tblW w:w="3853" w:type="dxa"/>
        <w:jc w:val="left"/>
        <w:tblInd w:w="0" w:type="dxa"/>
        <w:tblLayout w:type="fixed"/>
        <w:tblCellMar>
          <w:top w:w="28" w:type="dxa"/>
          <w:left w:w="28" w:type="dxa"/>
          <w:bottom w:w="28" w:type="dxa"/>
          <w:right w:w="28" w:type="dxa"/>
        </w:tblCellMar>
      </w:tblPr>
      <w:tblGrid>
        <w:gridCol w:w="2461"/>
        <w:gridCol w:w="146"/>
        <w:gridCol w:w="124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81-0710585</w:t>
            </w:r>
          </w:p>
        </w:tc>
      </w:tr>
      <w:tr>
        <w:trPr/>
        <w:tc>
          <w:tcPr>
            <w:tcW w:w="24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61" w:type="dxa"/>
            <w:tcBorders/>
            <w:tcMar>
              <w:top w:w="0" w:type="dxa"/>
              <w:left w:w="0" w:type="dxa"/>
              <w:bottom w:w="0" w:type="dxa"/>
              <w:right w:w="0" w:type="dxa"/>
            </w:tcMar>
            <w:vAlign w:val="center"/>
          </w:tcPr>
          <w:p>
            <w:pPr>
              <w:pStyle w:val="TableContents"/>
              <w:bidi w:val="0"/>
              <w:spacing w:before="60" w:after="15"/>
              <w:jc w:val="center"/>
              <w:rPr>
                <w:rFonts w:ascii="Times New Roman" w:hAnsi="Times New Roman"/>
                <w:b/>
                <w:color w:val="000000"/>
                <w:sz w:val="20"/>
              </w:rPr>
            </w:pPr>
            <w:r>
              <w:rPr>
                <w:rFonts w:ascii="Times New Roman" w:hAnsi="Times New Roman"/>
                <w:b/>
                <w:color w:val="000000"/>
                <w:sz w:val="20"/>
              </w:rPr>
              <w:t>490 Arsenal Way, Suite 210</w:t>
            </w:r>
          </w:p>
          <w:p>
            <w:pPr>
              <w:pStyle w:val="TableContents"/>
              <w:bidi w:val="0"/>
              <w:spacing w:before="60" w:after="15"/>
              <w:jc w:val="center"/>
              <w:rPr>
                <w:rFonts w:ascii="Times New Roman" w:hAnsi="Times New Roman"/>
                <w:b/>
                <w:color w:val="000000"/>
                <w:sz w:val="20"/>
              </w:rPr>
            </w:pPr>
            <w:r>
              <w:rPr>
                <w:rFonts w:ascii="Times New Roman" w:hAnsi="Times New Roman"/>
                <w:b/>
                <w:color w:val="000000"/>
                <w:sz w:val="20"/>
              </w:rPr>
              <w:t>Watertown, MA</w:t>
            </w:r>
          </w:p>
        </w:tc>
        <w:tc>
          <w:tcPr>
            <w:tcW w:w="146" w:type="dxa"/>
            <w:tcBorders/>
            <w:tcMar>
              <w:top w:w="0" w:type="dxa"/>
              <w:left w:w="0" w:type="dxa"/>
              <w:bottom w:w="0" w:type="dxa"/>
              <w:right w:w="0" w:type="dxa"/>
            </w:tcMar>
            <w:vAlign w:val="center"/>
          </w:tcPr>
          <w:p>
            <w:pPr>
              <w:pStyle w:val="TableContents"/>
              <w:bidi w:val="0"/>
              <w:spacing w:before="60" w:after="15"/>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02472</w:t>
            </w:r>
          </w:p>
        </w:tc>
      </w:tr>
      <w:tr>
        <w:trPr/>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(339) 666-3320</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color w:val="000000"/>
          <w:sz w:val="17"/>
        </w:rPr>
      </w:pPr>
      <w:r>
        <w:rPr>
          <w:rFonts w:ascii="Times New Roman" w:hAnsi="Times New Roman"/>
          <w:color w:val="000000"/>
          <w:sz w:val="17"/>
        </w:rPr>
        <w:t>Securities registered pursuant to Section 12(b) of the Act:</w:t>
      </w:r>
    </w:p>
    <w:p>
      <w:pPr>
        <w:pStyle w:val="TextBody"/>
        <w:bidi w:val="0"/>
        <w:jc w:val="left"/>
        <w:rPr/>
      </w:pPr>
      <w:r>
        <w:rPr/>
        <w:t> </w:t>
      </w:r>
    </w:p>
    <w:tbl>
      <w:tblPr>
        <w:tblW w:w="7675" w:type="dxa"/>
        <w:jc w:val="left"/>
        <w:tblInd w:w="0" w:type="dxa"/>
        <w:tblLayout w:type="fixed"/>
        <w:tblCellMar>
          <w:top w:w="28" w:type="dxa"/>
          <w:left w:w="28" w:type="dxa"/>
          <w:bottom w:w="28" w:type="dxa"/>
          <w:right w:w="28" w:type="dxa"/>
        </w:tblCellMar>
      </w:tblPr>
      <w:tblGrid>
        <w:gridCol w:w="3241"/>
        <w:gridCol w:w="146"/>
        <w:gridCol w:w="826"/>
        <w:gridCol w:w="146"/>
        <w:gridCol w:w="3316"/>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TECX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The Nasdaq Stock Market LLC</w:t>
            </w:r>
          </w:p>
        </w:tc>
      </w:tr>
    </w:tbl>
    <w:p>
      <w:pPr>
        <w:pStyle w:val="TextBody"/>
        <w:bidi w:val="0"/>
        <w:spacing w:before="60" w:after="283"/>
        <w:jc w:val="left"/>
        <w:rPr>
          <w:rFonts w:ascii="Times New Roman" w:hAnsi="Times New Roman"/>
          <w:sz w:val="20"/>
        </w:rPr>
      </w:pPr>
      <w:r>
        <w:rPr>
          <w:rFonts w:ascii="Times New Roman" w:hAnsi="Times New Roman"/>
          <w:color w:val="000000"/>
          <w:sz w:val="15"/>
        </w:rPr>
        <w:t xml:space="preserve">Securities registered pursuant to Section 12(g) of the Act: </w:t>
      </w:r>
      <w:r>
        <w:rPr>
          <w:rFonts w:ascii="Times New Roman" w:hAnsi="Times New Roman"/>
          <w:b/>
          <w:color w:val="000000"/>
          <w:sz w:val="15"/>
        </w:rPr>
        <w:t>None</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Indicate by check mark if the Registrant is not required to file reports pursuant to Section 13 or 15(d) of the Act. YES</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267" w:type="dxa"/>
        <w:jc w:val="left"/>
        <w:tblInd w:w="0" w:type="dxa"/>
        <w:tblLayout w:type="fixed"/>
        <w:tblCellMar>
          <w:top w:w="28" w:type="dxa"/>
          <w:left w:w="28" w:type="dxa"/>
          <w:bottom w:w="28" w:type="dxa"/>
          <w:right w:w="28" w:type="dxa"/>
        </w:tblCellMar>
      </w:tblPr>
      <w:tblGrid>
        <w:gridCol w:w="1411"/>
        <w:gridCol w:w="146"/>
        <w:gridCol w:w="316"/>
        <w:gridCol w:w="146"/>
        <w:gridCol w:w="1741"/>
        <w:gridCol w:w="146"/>
        <w:gridCol w:w="36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The aggregate market value of the voting and non-voting common equity held by non-affiliates of the Registrant, based on the closing price of the shares of common stock on The Nasdaq Stock Market LLC on June 30, 2024, was $115.0</w:t>
      </w:r>
      <w:r>
        <w:rPr>
          <w:rFonts w:ascii="Times New Roman" w:hAnsi="Times New Roman"/>
          <w:color w:val="000000"/>
          <w:sz w:val="20"/>
        </w:rPr>
        <w:t xml:space="preserve"> </w:t>
      </w:r>
      <w:r>
        <w:rPr>
          <w:rFonts w:ascii="Times New Roman" w:hAnsi="Times New Roman"/>
          <w:color w:val="000000"/>
          <w:sz w:val="15"/>
        </w:rPr>
        <w:t>million.</w:t>
      </w:r>
    </w:p>
    <w:p>
      <w:pPr>
        <w:pStyle w:val="TextBody"/>
        <w:bidi w:val="0"/>
        <w:spacing w:before="60" w:after="283"/>
        <w:jc w:val="left"/>
        <w:rPr>
          <w:rFonts w:ascii="Times New Roman" w:hAnsi="Times New Roman"/>
          <w:sz w:val="20"/>
        </w:rPr>
      </w:pPr>
      <w:r>
        <w:rPr>
          <w:rFonts w:ascii="Times New Roman" w:hAnsi="Times New Roman"/>
          <w:color w:val="000000"/>
          <w:sz w:val="15"/>
        </w:rPr>
        <w:t>As of March 1, 2025, the registrant had 18,662,672</w:t>
      </w:r>
      <w:r>
        <w:rPr>
          <w:rFonts w:ascii="Times New Roman" w:hAnsi="Times New Roman"/>
          <w:color w:val="000000"/>
          <w:sz w:val="20"/>
        </w:rPr>
        <w:t xml:space="preserve"> </w:t>
      </w:r>
      <w:r>
        <w:rPr>
          <w:rFonts w:ascii="Times New Roman" w:hAnsi="Times New Roman"/>
          <w:color w:val="000000"/>
          <w:sz w:val="15"/>
        </w:rPr>
        <w:t>shares of common stock, $0.0001 par value per share, outstanding.</w:t>
      </w:r>
    </w:p>
    <w:p>
      <w:pPr>
        <w:pStyle w:val="TextBody"/>
        <w:bidi w:val="0"/>
        <w:spacing w:before="60" w:after="283"/>
        <w:jc w:val="center"/>
        <w:rPr>
          <w:rFonts w:ascii="Times New Roman" w:hAnsi="Times New Roman"/>
          <w:b/>
          <w:color w:val="000000"/>
          <w:sz w:val="14"/>
        </w:rPr>
      </w:pPr>
      <w:r>
        <w:rPr>
          <w:rFonts w:ascii="Times New Roman" w:hAnsi="Times New Roman"/>
          <w:b/>
          <w:color w:val="000000"/>
          <w:sz w:val="14"/>
        </w:rPr>
        <w:t>DOCUMENTS INCORPORATED BY REFERENCE</w:t>
      </w:r>
    </w:p>
    <w:p>
      <w:pPr>
        <w:pStyle w:val="TextBody"/>
        <w:bidi w:val="0"/>
        <w:jc w:val="left"/>
        <w:rPr>
          <w:rFonts w:ascii="Times New Roman" w:hAnsi="Times New Roman"/>
          <w:color w:val="000000"/>
          <w:sz w:val="16"/>
        </w:rPr>
      </w:pPr>
      <w:r>
        <w:rPr>
          <w:rFonts w:ascii="Times New Roman" w:hAnsi="Times New Roman"/>
          <w:color w:val="000000"/>
          <w:sz w:val="16"/>
        </w:rPr>
        <w:t>Portions of the registrant’s definitive Proxy Statement relating to the 2025 Annual Meeting of Stockholders are incorporated herein by reference in Part III of this Annual Report on Form 10-K to the extent stated herein. The proxy statement will be filed with the Securities and Exchange Commission within 120 days of the registrant’s fiscal year ended December 31, 2024.</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22"/>
        <w:gridCol w:w="8488"/>
        <w:gridCol w:w="283"/>
        <w:gridCol w:w="512"/>
      </w:tblGrid>
      <w:tr>
        <w:trPr/>
        <w:tc>
          <w:tcPr>
            <w:tcW w:w="922" w:type="dxa"/>
            <w:tcBorders/>
            <w:vAlign w:val="center"/>
          </w:tcPr>
          <w:p>
            <w:pPr>
              <w:pStyle w:val="TableContents"/>
              <w:bidi w:val="0"/>
              <w:spacing w:before="0" w:after="283"/>
              <w:jc w:val="left"/>
              <w:rPr>
                <w:sz w:val="4"/>
                <w:szCs w:val="4"/>
              </w:rPr>
            </w:pPr>
            <w:r>
              <w:rPr>
                <w:sz w:val="4"/>
                <w:szCs w:val="4"/>
              </w:rPr>
            </w:r>
          </w:p>
        </w:tc>
        <w:tc>
          <w:tcPr>
            <w:tcW w:w="84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w:t>
              </w:r>
            </w:hyperlink>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_business">
              <w:r>
                <w:rPr>
                  <w:rStyle w:val="InternetLink"/>
                  <w:rFonts w:ascii="Times New Roman" w:hAnsi="Times New Roman"/>
                  <w:color w:val="0000FF"/>
                  <w:sz w:val="20"/>
                  <w:u w:val="single"/>
                </w:rPr>
                <w:t>Business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a_risk_factors">
              <w:r>
                <w:rPr>
                  <w:rStyle w:val="InternetLink"/>
                  <w:rFonts w:ascii="Times New Roman" w:hAnsi="Times New Roman"/>
                  <w:color w:val="0000FF"/>
                  <w:sz w:val="20"/>
                  <w:u w:val="single"/>
                </w:rPr>
                <w:t>Risk Factors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30</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1B.</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
              <w:r>
                <w:rPr>
                  <w:rStyle w:val="InternetLink"/>
                  <w:rFonts w:ascii="Times New Roman" w:hAnsi="Times New Roman"/>
                  <w:color w:val="0000FF"/>
                  <w:sz w:val="20"/>
                  <w:u w:val="single"/>
                </w:rPr>
                <w:t>Unresolved Staff Comments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79</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1C.</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
              <w:r>
                <w:rPr>
                  <w:rStyle w:val="InternetLink"/>
                  <w:rFonts w:ascii="Times New Roman" w:hAnsi="Times New Roman"/>
                  <w:color w:val="0000FF"/>
                  <w:sz w:val="20"/>
                  <w:u w:val="single"/>
                </w:rPr>
                <w:t>Cybersecurity</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79</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
              <w:r>
                <w:rPr>
                  <w:rStyle w:val="InternetLink"/>
                  <w:rFonts w:ascii="Times New Roman" w:hAnsi="Times New Roman"/>
                  <w:color w:val="0000FF"/>
                  <w:sz w:val="20"/>
                  <w:u w:val="single"/>
                </w:rPr>
                <w:t>Properties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81</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
              <w:r>
                <w:rPr>
                  <w:rStyle w:val="InternetLink"/>
                  <w:rFonts w:ascii="Times New Roman" w:hAnsi="Times New Roman"/>
                  <w:color w:val="0000FF"/>
                  <w:sz w:val="20"/>
                  <w:u w:val="single"/>
                </w:rPr>
                <w:t>Legal Proceedings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81</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Times New Roman" w:hAnsi="Times New Roman"/>
                  <w:color w:val="0000FF"/>
                  <w:sz w:val="20"/>
                  <w:u w:val="single"/>
                </w:rPr>
                <w:t>Mine Safety Disclosures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w:t>
              </w:r>
            </w:hyperlink>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82</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FF"/>
                <w:sz w:val="20"/>
                <w:u w:val="single"/>
              </w:rPr>
              <w:t>[Reserved]</w:t>
            </w:r>
            <w:r>
              <w:rPr>
                <w:rFonts w:ascii="Times New Roman" w:hAnsi="Times New Roman"/>
                <w:color w:val="0000FF"/>
                <w:sz w:val="20"/>
              </w:rPr>
              <w:t xml:space="preserve">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82</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
              <w:r>
                <w:rPr>
                  <w:rStyle w:val="InternetLink"/>
                  <w:rFonts w:ascii="Times New Roman" w:hAnsi="Times New Roman"/>
                  <w:color w:val="0000FF"/>
                  <w:sz w:val="20"/>
                  <w:u w:val="single"/>
                </w:rPr>
                <w:t>Management’s Discussion and Analysis of Financial Condition and Results of Operations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83</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7A.</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
              <w:r>
                <w:rPr>
                  <w:rStyle w:val="InternetLink"/>
                  <w:rFonts w:ascii="Times New Roman" w:hAnsi="Times New Roman"/>
                  <w:color w:val="0000FF"/>
                  <w:sz w:val="20"/>
                  <w:u w:val="single"/>
                </w:rPr>
                <w:t>Quantitative and Qualitative Disclosures About Market Risk</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91</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8.</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
              <w:r>
                <w:rPr>
                  <w:rStyle w:val="InternetLink"/>
                  <w:rFonts w:ascii="Times New Roman" w:hAnsi="Times New Roman"/>
                  <w:color w:val="0000FF"/>
                  <w:sz w:val="20"/>
                  <w:u w:val="single"/>
                </w:rPr>
                <w:t>Financial Statements and Supplementary Data</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92</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
              <w:r>
                <w:rPr>
                  <w:rStyle w:val="InternetLink"/>
                  <w:rFonts w:ascii="Times New Roman" w:hAnsi="Times New Roman"/>
                  <w:color w:val="0000FF"/>
                  <w:sz w:val="20"/>
                  <w:u w:val="single"/>
                </w:rPr>
                <w:t>Changes in and Disagreements With Accountants on Accounting and Financial Disclosure</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93</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9A.</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
              <w:r>
                <w:rPr>
                  <w:rStyle w:val="InternetLink"/>
                  <w:rFonts w:ascii="Times New Roman" w:hAnsi="Times New Roman"/>
                  <w:color w:val="0000FF"/>
                  <w:sz w:val="20"/>
                  <w:u w:val="single"/>
                </w:rPr>
                <w:t>Controls and Procedures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93</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9B.</w:t>
            </w:r>
          </w:p>
        </w:tc>
        <w:tc>
          <w:tcPr>
            <w:tcW w:w="848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9b">
              <w:r>
                <w:rPr>
                  <w:rStyle w:val="InternetLink"/>
                  <w:rFonts w:ascii="Times New Roman" w:hAnsi="Times New Roman"/>
                  <w:color w:val="0000FF"/>
                  <w:sz w:val="20"/>
                  <w:u w:val="single"/>
                </w:rPr>
                <w:t>Other Information</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93</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9C.</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
              <w:r>
                <w:rPr>
                  <w:rStyle w:val="InternetLink"/>
                  <w:rFonts w:ascii="Times New Roman" w:hAnsi="Times New Roman"/>
                  <w:color w:val="0000FF"/>
                  <w:sz w:val="20"/>
                  <w:u w:val="single"/>
                </w:rPr>
                <w:t>Disclosure Regarding Foreign Jurisdictions that Prevent Inspections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b/>
                  <w:color w:val="0000FF"/>
                  <w:sz w:val="20"/>
                  <w:u w:val="single"/>
                </w:rPr>
                <w:t>PART III</w:t>
              </w:r>
            </w:hyperlink>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10.</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
              <w:r>
                <w:rPr>
                  <w:rStyle w:val="InternetLink"/>
                  <w:rFonts w:ascii="Times New Roman" w:hAnsi="Times New Roman"/>
                  <w:color w:val="0000FF"/>
                  <w:sz w:val="20"/>
                  <w:u w:val="single"/>
                </w:rPr>
                <w:t>Directors, Executive Officers and Corporate Governance</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94</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11.</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
              <w:r>
                <w:rPr>
                  <w:rStyle w:val="InternetLink"/>
                  <w:rFonts w:ascii="Times New Roman" w:hAnsi="Times New Roman"/>
                  <w:color w:val="0000FF"/>
                  <w:sz w:val="20"/>
                  <w:u w:val="single"/>
                </w:rPr>
                <w:t>Executive Compensation</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94</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12.</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
              <w:r>
                <w:rPr>
                  <w:rStyle w:val="InternetLink"/>
                  <w:rFonts w:ascii="Times New Roman" w:hAnsi="Times New Roman"/>
                  <w:color w:val="0000FF"/>
                  <w:sz w:val="20"/>
                  <w:u w:val="single"/>
                </w:rPr>
                <w:t>Security Ownership of Certain Beneficial Owners and Management and Related Stockholder Matters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94</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13.</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
              <w:r>
                <w:rPr>
                  <w:rStyle w:val="InternetLink"/>
                  <w:rFonts w:ascii="Times New Roman" w:hAnsi="Times New Roman"/>
                  <w:color w:val="0000FF"/>
                  <w:sz w:val="20"/>
                  <w:u w:val="single"/>
                </w:rPr>
                <w:t>Certain Relationships and Related Transactions, and Director Independence</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94</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14.</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
              <w:r>
                <w:rPr>
                  <w:rStyle w:val="InternetLink"/>
                  <w:rFonts w:ascii="Times New Roman" w:hAnsi="Times New Roman"/>
                  <w:color w:val="0000FF"/>
                  <w:sz w:val="20"/>
                  <w:u w:val="single"/>
                </w:rPr>
                <w:t>Principal Accounting Fees and Services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Times New Roman" w:hAnsi="Times New Roman"/>
                  <w:b/>
                  <w:color w:val="0000FF"/>
                  <w:sz w:val="20"/>
                  <w:u w:val="single"/>
                </w:rPr>
                <w:t>PART IV</w:t>
              </w:r>
            </w:hyperlink>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15.</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
              <w:r>
                <w:rPr>
                  <w:rStyle w:val="InternetLink"/>
                  <w:rFonts w:ascii="Times New Roman" w:hAnsi="Times New Roman"/>
                  <w:color w:val="0000FF"/>
                  <w:sz w:val="20"/>
                  <w:u w:val="single"/>
                </w:rPr>
                <w:t>Exhibits, Financial Statement Schedules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95</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16.</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
              <w:r>
                <w:rPr>
                  <w:rStyle w:val="InternetLink"/>
                  <w:rFonts w:ascii="Times New Roman" w:hAnsi="Times New Roman"/>
                  <w:color w:val="0000FF"/>
                  <w:sz w:val="20"/>
                  <w:u w:val="single"/>
                </w:rPr>
                <w:t>Form 10-K Summary</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This Annual Report on Form 10-K contains “forward-looking statements” within the meaning of Section 21E the Securities Exchange Act of 1934, as amended (the “Exchange Act”). All statements other than statements of historical facts contained in this Annual Report on Form 10-K are statements that could be deemed forward-looking statements reflecting the current beliefs and expectations of management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These statements are often identified by the use of words such as “aim,” “anticipate,” “assume,” “believe,” “contemplate,” “continue,” “could,” “due,” “estimate,” “expect,” “goal,” “if,” “intend,” “may,” “objective,” “plan,” “predict,” “potential,” “positioned,” “seek,” “should,” “target,” “until,” “will,” “would,” and similar expressions or variations. Forward-looking statements in this Annual Report on Form 10-K may include, for example,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strategies, prospects, plans, expectations or objectives of management for our future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progress, scope or timing of the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surrounding the potential safety, efficacy, and regulatory and clinical progress of TX45, TX2100 and any other product candidates, and our anticipated milestones and timing therefor;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benefits that may be derived from any of our future products, if approved, or the commercial or market opportunity with respect to any of our future products,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protect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operations, financial position, ability to raise capital to fund our operations, revenues, costs or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statements regarding our future economic conditions or performance, statements of belief and any statement of assumptions underlying any of the foregoing.</w:t>
      </w:r>
    </w:p>
    <w:p>
      <w:pPr>
        <w:pStyle w:val="TextBody"/>
        <w:bidi w:val="0"/>
        <w:jc w:val="left"/>
        <w:rPr>
          <w:rFonts w:ascii="Times New Roman" w:hAnsi="Times New Roman"/>
          <w:color w:val="000000"/>
          <w:sz w:val="20"/>
        </w:rPr>
      </w:pPr>
      <w:r>
        <w:rPr>
          <w:rFonts w:ascii="Times New Roman" w:hAnsi="Times New Roman"/>
          <w:color w:val="000000"/>
          <w:sz w:val="20"/>
        </w:rPr>
        <w:t>We caution you that the foregoing list may not contain all of the forward-looking statements made in this Annual Report on Form 10-K.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“Risk Factors” and elsewhere in this Annual Report on Form 10-K as well as our other filings made with the Securities and Exchange Commission (“SEC”). Given these uncertainties, you should not place undue reliance on these forward-looking statements. Also, forward-looking statements represent our management’s beliefs and assumptions only as of the date of this Annual Report on Form 10-K.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pStyle w:val="TextBody"/>
        <w:bidi w:val="0"/>
        <w:jc w:val="center"/>
        <w:rPr>
          <w:rFonts w:ascii="Times New Roman" w:hAnsi="Times New Roman"/>
          <w:color w:val="000000"/>
          <w:sz w:val="20"/>
        </w:rPr>
      </w:pPr>
      <w:r>
        <w:rPr>
          <w:rFonts w:ascii="Times New Roman" w:hAnsi="Times New Roman"/>
          <w:color w:val="000000"/>
          <w:sz w:val="20"/>
        </w:rPr>
        <w:t>TRADEMARKS</w:t>
      </w:r>
    </w:p>
    <w:p>
      <w:pPr>
        <w:pStyle w:val="TextBody"/>
        <w:bidi w:val="0"/>
        <w:jc w:val="left"/>
        <w:rPr>
          <w:rFonts w:ascii="Times New Roman" w:hAnsi="Times New Roman"/>
          <w:sz w:val="20"/>
        </w:rPr>
      </w:pPr>
      <w:r>
        <w:rPr>
          <w:rFonts w:ascii="Times New Roman" w:hAnsi="Times New Roman"/>
          <w:color w:val="000000"/>
          <w:sz w:val="20"/>
        </w:rPr>
        <w:t xml:space="preserve">We use various trademarks and trade names in our business, including without limitation our corporate name and logo. All other trademarks or trade names referred to in this Annual Report on Form 10-K are the property of their respective owners. Solely for convenience, the trademarks and trade names in this Annual Report on Form 10-K may be referred to without the </w:t>
      </w:r>
      <w:r>
        <w:rPr>
          <w:rFonts w:ascii="Times New Roman" w:hAnsi="Times New Roman"/>
          <w:color w:val="000000"/>
          <w:sz w:val="15"/>
        </w:rPr>
        <w:t xml:space="preserve">® </w:t>
      </w:r>
      <w:r>
        <w:rPr>
          <w:rFonts w:ascii="Times New Roman" w:hAnsi="Times New Roman"/>
          <w:color w:val="000000"/>
          <w:sz w:val="20"/>
        </w:rPr>
        <w:t xml:space="preserve">and </w:t>
      </w:r>
      <w:r>
        <w:rPr>
          <w:rFonts w:ascii="Times New Roman" w:hAnsi="Times New Roman"/>
          <w:color w:val="000000"/>
          <w:sz w:val="15"/>
        </w:rPr>
        <w:t xml:space="preserve"> </w:t>
      </w:r>
      <w:r>
        <w:rPr>
          <w:rFonts w:ascii="Times New Roman" w:hAnsi="Times New Roman"/>
          <w:color w:val="000000"/>
          <w:sz w:val="20"/>
        </w:rPr>
        <w:t>symbols, but such references should not be construed as any indicator that their respective owners will not assert, to the fullest extent under applicable law, their rights thereto.</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part_i"/>
      <w:bookmarkEnd w:id="2"/>
      <w:r>
        <w:rPr>
          <w:rFonts w:ascii="Times New Roman" w:hAnsi="Times New Roman"/>
          <w:b/>
          <w:color w:val="000000"/>
          <w:sz w:val="20"/>
        </w:rPr>
        <w:t>PART I</w:t>
      </w:r>
    </w:p>
    <w:p>
      <w:pPr>
        <w:pStyle w:val="TextBody"/>
        <w:bidi w:val="0"/>
        <w:spacing w:before="240" w:after="240"/>
        <w:jc w:val="left"/>
        <w:rPr>
          <w:rFonts w:ascii="Times New Roman" w:hAnsi="Times New Roman"/>
          <w:b/>
          <w:color w:val="000000"/>
          <w:sz w:val="20"/>
        </w:rPr>
      </w:pPr>
      <w:bookmarkStart w:id="3" w:name="item1_business"/>
      <w:bookmarkEnd w:id="3"/>
      <w:r>
        <w:rPr>
          <w:rFonts w:ascii="Times New Roman" w:hAnsi="Times New Roman"/>
          <w:b/>
          <w:color w:val="000000"/>
          <w:sz w:val="20"/>
        </w:rPr>
        <w:t>Item 1. Business.</w:t>
      </w:r>
    </w:p>
    <w:p>
      <w:pPr>
        <w:pStyle w:val="TextBody"/>
        <w:bidi w:val="0"/>
        <w:spacing w:before="120" w:after="283"/>
        <w:jc w:val="left"/>
        <w:rPr>
          <w:rFonts w:ascii="Times New Roman" w:hAnsi="Times New Roman"/>
          <w:sz w:val="20"/>
        </w:rPr>
      </w:pPr>
      <w:r>
        <w:rPr>
          <w:rFonts w:ascii="Times New Roman" w:hAnsi="Times New Roman"/>
          <w:color w:val="000000"/>
          <w:sz w:val="20"/>
        </w:rPr>
        <w:t>O</w:t>
      </w:r>
      <w:r>
        <w:rPr>
          <w:rFonts w:ascii="Times New Roman" w:hAnsi="Times New Roman"/>
          <w:i/>
          <w:color w:val="000000"/>
          <w:sz w:val="20"/>
        </w:rPr>
        <w:t xml:space="preserve">n January 30, 2024, we entered into the Agreement and Plan of Merger and Reorganization (the “Merger Agreement”) with Tectonic Operating Company, Inc. (previously Tectonic Therapeutic, Inc., referred to as “Legacy Tectonic”) and Alpine Merger Subsidiary, Inc. (“Merger Sub”). Pursuant to the Merger Agreement and the satisfaction of the conditions described in the Merger Agreement, on June 20, 2024, Merger Sub merged with and into Legacy Tectonic, with Legacy Tectonic surviving as our wholly owned subsidiary (the </w:t>
      </w:r>
      <w:r>
        <w:rPr>
          <w:rFonts w:ascii="Times New Roman" w:hAnsi="Times New Roman"/>
          <w:color w:val="000000"/>
          <w:sz w:val="20"/>
        </w:rPr>
        <w:t xml:space="preserve">“Merger”). </w:t>
      </w:r>
      <w:r>
        <w:rPr>
          <w:rFonts w:ascii="Times New Roman" w:hAnsi="Times New Roman"/>
          <w:i/>
          <w:color w:val="000000"/>
          <w:sz w:val="20"/>
        </w:rPr>
        <w:t>In connection with the completion of the Merger, we changed our name from “AVROBIO, Inc.” to “Tectonic Therapeutic, Inc.,” and our business became primarily the business conducted by Legacy Tectonic. We are now a clinical stage biotechnology company focused on developing novel GPCR-targeted biologics to effectively and safely treat patients with serious medical conditions where there are currently limited or no medical options. The Merger is intended to qualify for federal income tax purposes as a tax-free reorganization under the provisions of Section 368(a) of the Internal Revenue Code of 1986, as amended (the “Code”).</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 used in this Annual Report on Form 10-K, the words “Company,” “we,” “our,” “us” and “Tectonic” refer, collectively to Tectonic Therapeutic, Inc. and its consolidated subsidiaries following completion of the Merger. Unless otherwise noted, all references to shares of common stock and per share amounts prior to the Merger in this Annual Report on Form 10-K have been retroactively adjusted to reflect the conversion of shares in the Merger based on an exchange ratio of 0.53441999 (after giving effect to the 1-for-12 reverse stock split effected on June 20, 2024).</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are a biotechnology company focused on the discovery and development of therapeutic proteins and antibodies that modulate the activity of G protein-coupled receptors (“GPCRs”). The discovery of biologics that can modulate GPCRs has historically been quite challenging. We have developed a proprietary technology platform called GEODe</w:t>
      </w:r>
      <w:r>
        <w:rPr>
          <w:rFonts w:ascii="Times New Roman" w:hAnsi="Times New Roman"/>
          <w:color w:val="000000"/>
          <w:sz w:val="10"/>
        </w:rPr>
        <w:t></w:t>
      </w:r>
      <w:r>
        <w:rPr>
          <w:rFonts w:ascii="Times New Roman" w:hAnsi="Times New Roman"/>
          <w:color w:val="000000"/>
          <w:sz w:val="20"/>
        </w:rPr>
        <w:t xml:space="preserve">, with the aim of addressing these challenges and to enable the discovery and development of GPCR-targeted biologic medicines that can modify the course of disease. We focus on areas of significant unmet medical need, often where therapeutic options are poor or nonexistent, and where new medicines have the potential to improve patient quality of life or extend duration of life.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GPCRs are receptor molecules found on the surface of cells that act as sensors for various extracellular stimuli to enable communication between cells and their environment. These molecules regulate diverse aspects of human biology including blood pressure, glucose metabolism, transmission between neurons and immune surveillance. There are over 800 human genes encoding GPCRs, underscoring the extent to which human biology has relied on this molecular system for physiological control. The breadth of effects controlled by GPCRs is illustrated by the fact that greater than 30% of all approved drugs address targets in this class. The vast majority of these drugs, however, are small molecules, and their targets have been largely confined to a few GPCR subfamilies, many of which have a natural ligand that is also a small molecule. We believe there are many situations where biologics could present advantages over small molecules for this class of targets. For instance, when targeting a single member of a highly related family of GPCRs, the selectivity profile achievable with an antibody may be preferable to that of a small molecule in order to optimize the therapeutic efficacy and safety for the patient. Conversely, when multi-modal action is needed to achieve a desired physiological effect, proteins engineered for bispecific function allow for dual target engagement, unlike small molecules that are generally optimized for action on a single target. We are focused on developing biologics to address GPCRs with the goal of capturing such opportunities. </w:t>
      </w:r>
    </w:p>
    <w:p>
      <w:pPr>
        <w:pStyle w:val="TextBody"/>
        <w:bidi w:val="0"/>
        <w:spacing w:before="120" w:after="283"/>
        <w:jc w:val="left"/>
        <w:rPr>
          <w:rFonts w:ascii="Times New Roman" w:hAnsi="Times New Roman"/>
          <w:sz w:val="20"/>
        </w:rPr>
      </w:pPr>
      <w:r>
        <w:rPr>
          <w:rFonts w:ascii="Times New Roman" w:hAnsi="Times New Roman"/>
          <w:color w:val="000000"/>
          <w:sz w:val="20"/>
        </w:rPr>
        <w:t>It has been historically difficult to discover therapeutic proteins and antibodies that bind to and modulate the activity of GPCRs because of the low endogenous level of expression of many GPCRs, complex biochemistry and their inherent instability when removed from their natural environment in, the cell membrane. To unlock the potential for biologic therapeutics to broaden the clinical utility of GPCRs, we use our proprietary GEODe</w:t>
      </w:r>
      <w:r>
        <w:rPr>
          <w:rFonts w:ascii="Times New Roman" w:hAnsi="Times New Roman"/>
          <w:color w:val="000000"/>
          <w:sz w:val="10"/>
        </w:rPr>
        <w:t xml:space="preserve"> </w:t>
      </w:r>
      <w:r>
        <w:rPr>
          <w:rFonts w:ascii="Times New Roman" w:hAnsi="Times New Roman"/>
          <w:color w:val="000000"/>
          <w:sz w:val="20"/>
        </w:rPr>
        <w:t>technology platform in an attempt to overcome the known challenges of GPCR-targeted drug discovery.</w:t>
      </w:r>
    </w:p>
    <w:p>
      <w:pPr>
        <w:pStyle w:val="TextBody"/>
        <w:bidi w:val="0"/>
        <w:spacing w:before="120" w:after="283"/>
        <w:jc w:val="left"/>
        <w:rPr>
          <w:rFonts w:ascii="Times New Roman" w:hAnsi="Times New Roman"/>
          <w:sz w:val="20"/>
        </w:rPr>
      </w:pPr>
      <w:r>
        <w:rPr>
          <w:rFonts w:ascii="Times New Roman" w:hAnsi="Times New Roman"/>
          <w:color w:val="000000"/>
          <w:sz w:val="20"/>
        </w:rPr>
        <w:t>The initial components of the platform, its first generation yeast library design and initial yeast selection protocols, were developed at the Harvard Medical School. However, over the last few years we have improved and modified all aspects of the platform including second and third generation library designs, optimized GPCR engineering strategies and yeast selection protocols better suited to GPCR antibody discovery. These modifications have resulted in selection campaigns that have a higher success rate with molecules that have higher affinity and potency and better biophysical properties compared to hits identified from initial antibody selection campaigns. The GEODe</w:t>
      </w:r>
      <w:r>
        <w:rPr>
          <w:rFonts w:ascii="Times New Roman" w:hAnsi="Times New Roman"/>
          <w:color w:val="000000"/>
          <w:sz w:val="10"/>
        </w:rPr>
        <w:t></w:t>
      </w:r>
      <w:r>
        <w:rPr>
          <w:rFonts w:ascii="Times New Roman" w:hAnsi="Times New Roman"/>
          <w:color w:val="000000"/>
          <w:sz w:val="20"/>
        </w:rPr>
        <w:t xml:space="preserve"> platform includes components aimed at optimizing the expression, purification, and stabilization of GPCRs and pairs these advances with our protein engineering and structural biology capabilities. While the current libraries, receptor engineering and selection strategies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are producing GPCR-targeted antibodies, we continue to evolve and modify aspects of the platform, which we believe will lead to even better results.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Development and Pipeline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key information about our development programs and other pipeline programs: </w:t>
      </w:r>
    </w:p>
    <w:p>
      <w:pPr>
        <w:pStyle w:val="TextBody"/>
        <w:bidi w:val="0"/>
        <w:spacing w:before="120" w:after="283"/>
        <w:jc w:val="left"/>
        <w:rPr/>
      </w:pPr>
      <w:r>
        <w:rPr/>
        <w:drawing>
          <wp:inline distT="0" distB="0" distL="0" distR="0">
            <wp:extent cx="5381625" cy="416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381625" cy="4162425"/>
                    </a:xfrm>
                    <a:prstGeom prst="rect">
                      <a:avLst/>
                    </a:prstGeom>
                  </pic:spPr>
                </pic:pic>
              </a:graphicData>
            </a:graphic>
          </wp:inline>
        </w:drawing>
      </w:r>
    </w:p>
    <w:p>
      <w:pPr>
        <w:pStyle w:val="TextBody"/>
        <w:bidi w:val="0"/>
        <w:jc w:val="center"/>
        <w:rPr/>
      </w:pPr>
      <w:r>
        <w:rPr/>
        <w:t>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TX000045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lead asset TX000045, referred to as TX45, is an Fc-relaxin fusion molecule that activates the RXFP1 receptor, the GPCR target of the hormone, relaxin. Relaxin is an endogenous protein that is expressed at low levels in both men and women. In normal human physiology, relaxin is upregulated during pregnancy where it exerts vasodilatory effects, reduces systemic and pulmonary vascular resistance and increases cardiac output to accommodate the increased demand for oxygen and nutrients from the developing fetus. Relaxin also exerts anti-fibrotic effects on pelvic ligaments to facilitate delivery of the baby. Scientists have hypothesized that these unique dual aspects of relaxin biology may offer therapeutic potential in the treatment of cardiovascular disease. Unfortunately, the development of a viable therapeutic targeting Fc-relaxin has been challenging, primarily because of relaxin’s very short half-life.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TX45’s pharmacological profile, which is the direct result of applying our protein engineering capabilities, has the potential to overcome the limitations that have impeded previous attempts to develop relaxin as a therapeutic protein. We have identified Group 2 pulmonary hypertension (“PH”) in the setting of heart failure with preserved ejection Fraction (“HFpEF”) referred to as PH-HFpEF, as the initial disease in which to interrogate the therapeutic potential of relaxin. We hypothesize that treatment with relaxin could improve hemodynamics through effects on pulmonary and systemic vasodilation, cardiac diastolic dysfunction and potential remodeling in both the pulmonary vessels and the heart which could translate into a clinically meaningful improvement in exercise capacity in these patients. Clinical trials are ongoing to confirm this hypothesis. Despite this belief, our business carries substantial risks, including our limited experience in therapeutic discovery and development, and the risk that the platform may never result in the regulatory approval of a product candidate. See “Risk Factors – Risks Related to the Discovery, Development and Regulatory Approval of Our Product Candidates – We have limited experience in therapeutic discovery and development and our GEODe platform may never result in the regulatory approval of a product candidate.”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Group 2 PH is a subtype of PH which develops secondary to left heart disease (“LHD”). This is a common, chronic, life-threatening condition with complex causality for which there are presently no FDA-approved medications. PH-HFpEF is characterized by declining cardiac function, fibrotic tissue remodeling in the heart, and in some patients, fibrotic remodeling in the pulmonary vasculature as well. We have elected to prioritize development of TX45 in PH-HFpEF because of the high unmet medical need in this population and the specific physiological actions of relaxin that suggest that it could address the key pathophysiology of the disease which involves both impairment of left ventricular function and high pressures in the pulmonary arteries, and in some patients, high resistance in the pulmonary vasculature. There are no FDA approved therapies in Group 2 PH including PH-HFpEF. Furthermore, prior clinical data in patients with acute and chronic heart failure treated with a continuous infusion of a short half-life relaxin is supportive of the potential utility of relaxin administration in these patients. Clinical trials are ongoing to evaluate the hypothesis that relaxin could provide efficacy in patients with PH-HFpEF. Beyond PH-HFpEF, we believe there are additional areas where TX45 could provide benefit to patients, such as pulmonary hypertension in the setting of heart failure with reduced ejection fraction (“PH-HFrEF”), as well as with diseases that result in the chronic deterioration of lung and/or kidney function due to vasoconstriction and fibrotic remodeling.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2024, we announced favorable results from a Phase 1a trial evaluating safety, tolerability and pharmacokinetic (“PK”) and pharmacodynamic (“PD”) properties for TX45. In this trial, TX45 was well tolerated after intravenous (IV) doses ranging from 0.3mg/kg to 3 mg/kg and subcutaneous (“SC”) doses ranging from 150mg to 600mg. PK profile revealed dose proportional PK and a half-life of 14-20 days. PD response of TX45 on renal plasma flow (“RPF”) was assessed in each dose cohort at multiple timepoints post dose. From the multiple PK/PD measurements a robust exposure-response Emax model was developed to enable dose selection for our Phase 2 trial. Based on this exposure-response model the doses of 300 mg SC every 2 weeks and 300 mg SC every 4 weeks were chosen for the TX45 Phase 2 trial in PH-HFpEF. Both of these doses are expected to result in steady state trough exposures yielding near maximal (300mg Q4W) or maximal (300mg Q2W) pharmacodynamic effects throughout the dosing interval.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Phase 1b acute hemodynamic trial (TX000045-002) has completed enrollment in Part A which included 19 patients with PH-HFpEF. Part A included participants with both combined pre- and post-capillary PH (“CpcPH”) and isolated post-capillary PH (“IpcPH”). Top line data of Day1 hemodynamics and accumulated safety revealed that TX45 was well tolerated in this patient population after single IV doses ranging from 0.3mg/kg to 3mg/kg. There have been no serious or severe adverse events, no evidence of an immune related reaction, and no trial discontinuations. Data from an interim analysis of 16 of 19 patients reported in January 2025, showed that IV administration of TX45 resulted in significant improvements in various hemodynamic measures as assessed by right heart catheterization over the first 8 hours post dose. These improvements included the reduction in pulmonary capillary wedge pressure (“PCWP”) in the whole population and a reduction in pulmonary vascular resistance (“PVR”) in patients with CpcPH. Additionally, TX45 produced a reduction in mean pulmonary artery pressure (“mPAP”) and an increase in cardiac output and stroke volume. Part B of this trial is ongoing and plans to evaluate single IV safety and hemodynamic effects of TX45 in patients with PH-HFrEF.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Phase 2 clinical trial, which we refer to as the APEX trial (TX000045-003), was initiated early in the fourth quarter of 2024. This trial is a Phase 2, randomized, double-blind, placebo-controlled 24-week trial in PH-HFpEF patients, enriched for patients with CpcPH. In this trial, approximately 180 participants will be randomized in a 1:1:1 manner to either placebo, 300mg every 2 weeks or 300mg every 4 weeks. The primary endpoint for the Phase 2 trial is the change from baseline in PVR and a key secondary endpoint is change from baseline in PCWP. Other secondary endpoints include additional hemodynamic endpoints, change from baseline in 6 minute walk distance and change in symptoms as assessed by the Kansas City Cardiomyopathy Questionnaire (“KCCQ”).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TX2100: GPCR Antagonist for Hereditary Hemorrhagic Telangiectasia (“HHT”)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second program, TX2100, is aimed at the discovery and development of a GPCR targeting biotherapeutic as a potential treatment for HHT, the second-most common genetic bleeding disorder. In HHT, abnormal blood vessel formations result in telangiectasias and arterio-venous malformations or “AVMs.” These abnormal vessels are prone to spontaneous and severe bleeding that can be life-threatening. There are no currently approved therapies to treat HHT.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HHT patients, mutations have been identified in BMP9, BMP10, Endoglin, ALK1 and SMAD4 proteins, all of which are members of a common signaling pathway. Preclinically, knock-out or inhibition of pathway members leads to increased expression of factors that drive angiogenesis and abnormal blood vessel formation that phenocopy the clinical situation. The GPCR target for our HHT program is a receptor for an angiogenic factor known to be upregulated in HHT animal models. By blocking the signaling of this receptor, we anticipate the potential for decreased bleeding resulting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the abnormal angiogenesis seen in HHT. We selected TX2100 as a development candidate. TX2100 is a VHH-Fc fusion antagonist to an undisclosed GPCR target (“GPCR3”). We intend to start IND enabling toxicology studies in the second quarter of 2025 and expect to initiate a Phase 1 clinical trial for TX2100 in the fourth quarter of 2025 or the first quarter of 2026, subject to the results of IND-enabling studies.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GPCR Modulator Bispecific for Fibrosis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third program is aimed at the discovery and development of a potential therapy for fibrotic diseases and employs a bispecific format for the construction of a molecule with a differentiated mechanism of action. The strategy leverages two targets, one with previous human proof of concept and one novel target. Both targets are expressed on overlapping cell types with complementary and nonoverlapping modes of action that simultaneously could enhance the therapeutic potential over modulating either target on its own.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Anticipated Milestones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 the next few years, we anticipate that several significant milestones could be achieved for our lead asset TX45. This includes presentation of the final data from Part A of our Phase 1b acute hemodynamic trial at a medical meeting later this year, data from Part B of the Phase 1b trial in patients with PH-HFrEF in the second half of 2025, and data from the randomized Phase 2 trial in patients with PH-HFpEF in 2026. A development candidate from our HHT program may also advance into clinical trials in the fourth quarter of 2025 or the first quarter of 2026 and could progress into efficacy trials in patients in late 2026 or early 2027. </w:t>
      </w:r>
    </w:p>
    <w:p>
      <w:pPr>
        <w:pStyle w:val="TextBody"/>
        <w:bidi w:val="0"/>
        <w:spacing w:before="120" w:after="283"/>
        <w:jc w:val="left"/>
        <w:rPr>
          <w:rFonts w:ascii="Times New Roman" w:hAnsi="Times New Roman"/>
          <w:sz w:val="20"/>
        </w:rPr>
      </w:pPr>
      <w:r>
        <w:rPr>
          <w:rFonts w:ascii="Times New Roman" w:hAnsi="Times New Roman"/>
          <w:color w:val="000000"/>
          <w:sz w:val="20"/>
        </w:rPr>
        <w:t>Our GEODe</w:t>
      </w:r>
      <w:r>
        <w:rPr>
          <w:rFonts w:ascii="Times New Roman" w:hAnsi="Times New Roman"/>
          <w:color w:val="000000"/>
          <w:sz w:val="13"/>
        </w:rPr>
        <w:t xml:space="preserve">TM </w:t>
      </w:r>
      <w:r>
        <w:rPr>
          <w:rFonts w:ascii="Times New Roman" w:hAnsi="Times New Roman"/>
          <w:color w:val="000000"/>
          <w:sz w:val="20"/>
        </w:rPr>
        <w:t>platform has been optimized over the last three years and is being used to discover biologic drugs targeting GPCRs. We are deploying our GEODe</w:t>
      </w:r>
      <w:r>
        <w:rPr>
          <w:rFonts w:ascii="Times New Roman" w:hAnsi="Times New Roman"/>
          <w:color w:val="000000"/>
          <w:sz w:val="13"/>
        </w:rPr>
        <w:t xml:space="preserve">TM </w:t>
      </w:r>
      <w:r>
        <w:rPr>
          <w:rFonts w:ascii="Times New Roman" w:hAnsi="Times New Roman"/>
          <w:color w:val="000000"/>
          <w:sz w:val="20"/>
        </w:rPr>
        <w:t xml:space="preserve">platform to generate additional pipeline assets by identifying and optimizing new GPCR targeted biologics that have the potential to address areas of substantial unmet need. </w:t>
      </w:r>
    </w:p>
    <w:p>
      <w:pPr>
        <w:pStyle w:val="TextBody"/>
        <w:bidi w:val="0"/>
        <w:spacing w:before="120" w:after="283"/>
        <w:jc w:val="left"/>
        <w:rPr>
          <w:rFonts w:ascii="Times New Roman" w:hAnsi="Times New Roman"/>
          <w:sz w:val="20"/>
        </w:rPr>
      </w:pPr>
      <w:r>
        <w:rPr>
          <w:rFonts w:ascii="Times New Roman" w:hAnsi="Times New Roman"/>
          <w:b/>
          <w:color w:val="000000"/>
          <w:sz w:val="20"/>
        </w:rPr>
        <w:t>Background on GPCRs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GPCRs are a family of over 800 proteins found on the surface of cells throughout the body that mediate the body’s response to extracellular stimuli by initiating a series of enzymatic reactions on the inside of cells which result in changes to cellular physiology. The diversity, functional specificity and localization to particular cell or tissue types makes GPCRs an especially compelling class of drug targets. Over 30% of approved drugs spanning a wide range of therapeutic areas, including metabolic diseases, inflammation, respiratory diseases, neurology and cancer, exert their action by modulating GPCRs. The targets for these medicines, however, represent only approximately 12% of known GPCRs, leaving at least as many GPCRs that are considered druggable still unexploited. GPCRs have a complex topology which has made both the protein production and purification of GPCRs outside of their natural environment in the cellular lipid membrane, as well as the identification of viable drug candidates to target them, challenging. </w:t>
      </w:r>
    </w:p>
    <w:p>
      <w:pPr>
        <w:pStyle w:val="TextBody"/>
        <w:bidi w:val="0"/>
        <w:spacing w:before="120" w:after="240"/>
        <w:jc w:val="left"/>
        <w:rPr>
          <w:rFonts w:ascii="Times New Roman" w:hAnsi="Times New Roman"/>
          <w:sz w:val="20"/>
        </w:rPr>
      </w:pPr>
      <w:r>
        <w:rPr>
          <w:rFonts w:ascii="Times New Roman" w:hAnsi="Times New Roman"/>
          <w:b/>
          <w:color w:val="000000"/>
          <w:sz w:val="20"/>
        </w:rPr>
        <w:t>Background on Relaxin / RXFP1 Biology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Relaxin is a naturally occurring peptide hormone that was first identified in 1926 in the setting of pregnancy. Relaxin is upregulated during pregnancy to allow for hemodynamic adaptation and increased cardiac output in response to the increased demands to the developing fetus and to allow for loosening of the pelvic ligaments prior to delivery. Relaxin is a member of the insulin superfamily of peptide hormones, and it consists of two peptide chains linked by disulfide bonds. Notably, activation of the RXFP1 receptor by relaxin does not result in internalization of the receptor, as is observed with many other GPCRs, which suggests there would be no receptor desensitization with chronic therapy using a relaxin-based agent.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Relaxin has long been of interest as a therapeutic agent for the treatment of cardiovascular disease because of its natural effects on hemodynamic function. The development of relaxin-based therapeutics, however, has been limited by the short half-life of the native peptide hormone, which necessitated continuous IV or subcutaneous administration to establish and maintain target therapeutic levels of the compound in circulation. Previous efforts to develop recombinant native human relaxin (“serelaxin”) to treat acute heart failure (“AHF”) have shown signs of clinical benefit.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address the pharmacological limitations of the native relaxin hormone and enable its development beyond AHF, we have engineered a single-chain relaxin-Fc fusion protein, TX45, that features differentiated pharmacokinetic and biophysical properties to enhance key pharmacodynamic properties. TX45 was developed in a subcutaneous formulation with the goal of chronic administration via intermittent subcutaneous injection. As noted above, to interrogate the therapeutic potential of relaxin, we have identified PH-HFpEF as the initial indication with an emphasis on the CpCPH subpopulation and have started to explore its potential in PH-HFrEF as well. We believe that in these settings, treatment with relaxin could improve hemodynamics and promote beneficial remodeling in both the pulmonary vessels and the heart, making it potentially ideally suited for this indication. Clinical trials are ongoing to confirm this hypothesis.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sz w:val="20"/>
        </w:rPr>
      </w:pPr>
      <w:r>
        <w:rPr>
          <w:rFonts w:ascii="Times New Roman" w:hAnsi="Times New Roman"/>
          <w:b/>
          <w:color w:val="000000"/>
          <w:sz w:val="20"/>
        </w:rPr>
        <w:t>Background on Group 2 PH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 is a serious, life-threatening condition that affects hundreds of thousands of patients in the United States. In PH, the blood pressure in the pulmonary arteries is increased, exerting severe strain on the right side of the heart, which adapts poorly to the increased pressure. PH gradually causes worsening exercise capacity, shortness of breath and right-sided heart failure which can lead to death.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World Health Organization has specified 5 different groups of PH. Group 1 PH is also known as pulmonary arterial hypertension (“PAH”) and is caused by spontaneous thickening and fibrosis of the pulmonary arteries and arterioles without underlying significant cardiac, lung parenchymal, or chronic thromboembolic disease. Group 2 PH is due to left-sided heart disease (“PH-LHD”) and is the largest group of PH. Although several Group 1 PH medications have been explored in Group 2 PH, no medications have yet been approved by the FDA for its treatment. </w:t>
      </w:r>
    </w:p>
    <w:p>
      <w:pPr>
        <w:pStyle w:val="TextBody"/>
        <w:bidi w:val="0"/>
        <w:spacing w:before="120" w:after="240"/>
        <w:jc w:val="left"/>
        <w:rPr>
          <w:rFonts w:ascii="Times New Roman" w:hAnsi="Times New Roman"/>
          <w:sz w:val="20"/>
        </w:rPr>
      </w:pPr>
      <w:r>
        <w:rPr>
          <w:rFonts w:ascii="Times New Roman" w:hAnsi="Times New Roman"/>
          <w:b/>
          <w:color w:val="000000"/>
          <w:sz w:val="20"/>
        </w:rPr>
        <w:t>Group 2 PH Pathophysiology and Epidemiology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Group 2 PH is caused by left-sided heart disease, including heart failure with HFpEF, heart failure with reduced ejection fraction (“HFrEF”), and valvular heart disease (“VHD”). Group 2 PH itself consists of two disease subtypes, isolated IpcPH or CpcPH.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patients with left-sided heart disease, whether HFpEF, HFrEF or VHD, the development of PH is associated with a much worse prognosis. In the various forms of heart failure, the heart fails to pump sufficient blood throughout the body to meet the metabolic demands of the individual. To compensate for inadequate cardiac output, the kidneys retain excess fluid to help increase the filling of the heart (“priming the pump”) during the relaxation phase of the cardiac cycle. This attempt to increase the filling of the heart leads to increased pressure during the relaxation phase. PH can develop in this setting when the pressure is transmitted backwards from the left atrium of the heart into the pulmonary veins and pulmonary arteries. This passive backflow of high pressure leads initially to post-capillary hypertension. These patients have a subtype of Group 2 PH called isolated post-capillary pulmonary hypertension (IpcPH). Over time this increased pressure can lead to the thickening and fibrosis of the pulmonary arteries and arterioles resulting in disease of the precapillary vasculature of the lung and this is demonstrated by increased PVR. When Group 2 PH results in both increased pulmonary artery pressures from the passive backflow of pressure from the left atrium along with intrinsic changes, such as thickening, fibrosis, and narrowing of the lumen of the pulmonary arteries, it is called Combined pre-and post-capillary Pulmonary Hypertension (CpcPH). To differentiate patients with IpcPH and CpcPH, a right heart catheterization is performed. Patients with elevated PVR, elevated pulmonary artery pressure (“PAP”) and an elevated Pulmonary Capillary Wedge Pressure (“PCWP”) have CpcPH, while those with just elevated PAP and PCWP and normal PVR have IpcPH. PH places a great strain on the right ventricle which is unable to compensate for this increased workload. Eventually, PH causes the right ventricle to dilate and fail, ultimately leading to death. </w:t>
      </w:r>
    </w:p>
    <w:p>
      <w:pPr>
        <w:pStyle w:val="TextBody"/>
        <w:bidi w:val="0"/>
        <w:spacing w:before="120" w:after="283"/>
        <w:jc w:val="left"/>
        <w:rPr>
          <w:rFonts w:ascii="Times New Roman" w:hAnsi="Times New Roman"/>
          <w:sz w:val="20"/>
        </w:rPr>
      </w:pPr>
      <w:r>
        <w:rPr>
          <w:rFonts w:ascii="Times New Roman" w:hAnsi="Times New Roman"/>
          <w:color w:val="000000"/>
          <w:sz w:val="20"/>
        </w:rPr>
        <w:t>There are an estimated 7.3 million patients with heart failure in the United States, with HFpEF and HFrEF representing approximately 50% each of heart failure cases. We estimate the combined Group 2 PH population with HFpEF or HFmrEF (Left Ventricular Ejection Fraction between 40-50%) who are NYHA Class II or III is approximately 1.4 million and the prevalences of IpcPH of approximately 1 million and CpcPH of approximately 0.4 million using a PVR cutoff of &gt;3 Wood units. We estimate the combined Group 2 PH population, class II and III patients, with HFrEF (LVEF</w:t>
      </w:r>
      <w:r>
        <w:rPr>
          <w:rFonts w:ascii="Times New Roman" w:hAnsi="Times New Roman"/>
          <w:color w:val="000000"/>
          <w:sz w:val="20"/>
          <w:u w:val="single"/>
        </w:rPr>
        <w:t>&lt;</w:t>
      </w:r>
      <w:r>
        <w:rPr>
          <w:rFonts w:ascii="Times New Roman" w:hAnsi="Times New Roman"/>
          <w:color w:val="000000"/>
          <w:sz w:val="20"/>
        </w:rPr>
        <w:t xml:space="preserve">40%) at approximately 1.1 million and the prevalences of IpcPH of approximately 0.8 million and CpcPH of approximately 0.3 million using a PVR cutoff of &gt;3 Wood units.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Pathophysiology of PH-HFpEF and Therapeutic Potential of Relaxin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suffering from CpcPH typically face worse outcomes than those with IpcPH (23% survival at five years vs. 40%-50%, respectively). Optimal treatment of heart failure may improve IpcPH to some extent. However, because of the specific pulmonary vascular pathology in CpcPH, treatment of heart failure alone is often insufficient to have a meaningful impact on this form of the disease.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Several of the drugs used to treat pulmonary arterial hypertension (PAH, Group 1 PH) failed to demonstrate benefits in Group 2 PH-HFpEF. Most of these agents act as vasodilators in the lung, thereby increasing blood flow to the left side of the heart. However, pulmonary vasodilators have limited effect on left sided heart function especially diastolic function, or systemic circulation, and therefore, do not increase the ability of the left side of the heart to pump blood. This could worsen heart failure without improving exercise function. Relaxin’s hemodynamic effects are mediated both by inhibition of endothelin-1 as well as activation of the nitric oxide signaling pathway. Relaxin also serves as a lusitropic agent via inhibition of SERCA2 in cardiomyocytes, which enables the heart to actively relax and fill adequately during diastole. In addition, relaxin exerts anti-fibrotic and anti-inflammatory effects via activation of metalloproteinases, inhibition of the TGF-beta pathway and inhibition of IL-1beta and IL-6.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support of TX45 is based upon our hypothesis that relaxin’s activities, through its pulmonary vasodilatory, remodeling and anti-fibrotic effects, may reverse the deleterious changes in the pulmonary vasculature present in CpcPH. Furthermore, relaxin’s pulmonary and systemic vasodilatory activity could unload the left ventricle, while relaxin’s anti-fibrotic and anti-inflammatory activities could promote reverse remodeling of the left ventricle in HFpEF. Lastly, relaxin’s ability to relax the heart muscle could improve diastolic filling in HFpEF where cardiac hypertrophy and fibrosis lead to diastolic dysfunction and heart failure. While we believe these benefits are most likely to be greatest in the CpCPH population, these benefits could also extend to IpcPH patients and thus to the entire PH-HFpEF population.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depicted in the table below, we hypothesize that the inherent vasodilatory, anti-fibrotic, and anti-inflammatory activities of relaxin could be well suited to address both the pulmonary and cardiac pathologies of PH-HFpEF.</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282"/>
        <w:gridCol w:w="109"/>
        <w:gridCol w:w="571"/>
        <w:gridCol w:w="109"/>
        <w:gridCol w:w="631"/>
        <w:gridCol w:w="109"/>
        <w:gridCol w:w="4394"/>
      </w:tblGrid>
      <w:tr>
        <w:trPr/>
        <w:tc>
          <w:tcPr>
            <w:tcW w:w="4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4" w:type="dxa"/>
            <w:tcBorders/>
            <w:vAlign w:val="center"/>
          </w:tcPr>
          <w:p>
            <w:pPr>
              <w:pStyle w:val="TableContents"/>
              <w:bidi w:val="0"/>
              <w:spacing w:before="0" w:after="283"/>
              <w:jc w:val="left"/>
              <w:rPr>
                <w:sz w:val="4"/>
                <w:szCs w:val="4"/>
              </w:rPr>
            </w:pPr>
            <w:r>
              <w:rPr>
                <w:sz w:val="4"/>
                <w:szCs w:val="4"/>
              </w:rPr>
            </w:r>
          </w:p>
        </w:tc>
      </w:tr>
      <w:tr>
        <w:trPr/>
        <w:tc>
          <w:tcPr>
            <w:tcW w:w="4282"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Characteristics of Group 2 PH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IpcPH</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CpcPH</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94"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Anticipated Relaxin Effects</w:t>
            </w:r>
          </w:p>
        </w:tc>
      </w:tr>
      <w:tr>
        <w:trPr/>
        <w:tc>
          <w:tcPr>
            <w:tcW w:w="42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Pulmonary artery narrowing, thickening, stiffening, fibrotic remodeling</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Pulmonary vasodilation anti-inflammatory, anti-fibrotic</w:t>
            </w:r>
          </w:p>
        </w:tc>
      </w:tr>
      <w:tr>
        <w:trPr/>
        <w:tc>
          <w:tcPr>
            <w:tcW w:w="4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ventricular dysfunction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ventricular remodeling</w:t>
            </w:r>
          </w:p>
        </w:tc>
      </w:tr>
      <w:tr>
        <w:trPr/>
        <w:tc>
          <w:tcPr>
            <w:tcW w:w="4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Thickening and stiffening of left ventricle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Peripheral vasodilation, cardiac relaxation, left ventricular remodeling</w:t>
            </w:r>
          </w:p>
        </w:tc>
      </w:tr>
      <w:tr>
        <w:trPr/>
        <w:tc>
          <w:tcPr>
            <w:tcW w:w="4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Compromised kidney function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Improvement in kidney function</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Relaxin’s numerous physiologic activities, promoting vasodilation in both the systemic and pulmonary vasculature, increasing cardiac output and decreasing pulmonary capillary wedge pressure (PCWP, a measure of left ventricular diastolic function) have previously been demonstrated with serelaxin (recombinant native human relaxin-2). As reported by Ponikowski P. et al in </w:t>
      </w:r>
      <w:r>
        <w:rPr>
          <w:rFonts w:ascii="Times New Roman" w:hAnsi="Times New Roman"/>
          <w:i/>
          <w:color w:val="000000"/>
          <w:sz w:val="20"/>
        </w:rPr>
        <w:t xml:space="preserve">European Heart Journal </w:t>
      </w:r>
      <w:r>
        <w:rPr>
          <w:rFonts w:ascii="Times New Roman" w:hAnsi="Times New Roman"/>
          <w:color w:val="000000"/>
          <w:sz w:val="20"/>
        </w:rPr>
        <w:t xml:space="preserve">in 2014, patients with acute heart failure who had a right heart catheterization exhibited improved hemodynamics with relaxin treatment. </w:t>
      </w:r>
    </w:p>
    <w:p>
      <w:pPr>
        <w:pStyle w:val="TextBody"/>
        <w:bidi w:val="0"/>
        <w:spacing w:before="240" w:after="283"/>
        <w:jc w:val="left"/>
        <w:rPr>
          <w:rFonts w:ascii="Times New Roman" w:hAnsi="Times New Roman"/>
          <w:sz w:val="20"/>
        </w:rPr>
      </w:pPr>
      <w:r>
        <w:rPr>
          <w:rFonts w:ascii="Times New Roman" w:hAnsi="Times New Roman"/>
          <w:b/>
          <w:color w:val="000000"/>
          <w:sz w:val="20"/>
        </w:rPr>
        <w:t>Background on TX45</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TX45 is a recombinant protein consisting of an engineered single chain human relaxin domain fused to the Fc domain of human immunoglobulin 1 (IgG1) using a peptide chain linker. The Fc portion of TX45 was modified to reduce Fc</w:t>
      </w:r>
      <w:r>
        <w:rPr>
          <w:rFonts w:ascii="Symbol;serif" w:hAnsi="Symbol;serif"/>
          <w:color w:val="000000"/>
          <w:sz w:val="20"/>
        </w:rPr>
        <w:t>g</w:t>
      </w:r>
      <w:r>
        <w:rPr>
          <w:rFonts w:ascii="Times New Roman" w:hAnsi="Times New Roman"/>
          <w:color w:val="000000"/>
          <w:sz w:val="20"/>
        </w:rPr>
        <w:t xml:space="preserve"> receptor activation, and to increase binding to the neonatal Fc receptor (FcRn) with the goal of significantly increasing the half-life of the molecule in circulation, relative to the half-life of native human relaxin. TX45 was further engineered to reduce the isoelectric point (pI) of the molecule to enhance its pharmacokinetic properties and improve its biophysical profile. Reduction of the molecule’s pI was deemed necessary to avoid the non-specific clearance of high pI molecules from the circulation that takes place immediately following administration as a result of binding to negatively charged heparin proteoglycans on the blood vessel wall. This effect can dramatically reduce the amount of bioavailable drug to exert pharmacologic action. </w:t>
      </w:r>
    </w:p>
    <w:p>
      <w:pPr>
        <w:pStyle w:val="TextBody"/>
        <w:bidi w:val="0"/>
        <w:spacing w:before="120" w:after="283"/>
        <w:jc w:val="left"/>
        <w:rPr>
          <w:rFonts w:ascii="Times New Roman" w:hAnsi="Times New Roman"/>
          <w:sz w:val="20"/>
        </w:rPr>
      </w:pPr>
      <w:r>
        <w:rPr>
          <w:rFonts w:ascii="Times New Roman" w:hAnsi="Times New Roman"/>
          <w:b/>
          <w:color w:val="000000"/>
          <w:sz w:val="20"/>
        </w:rPr>
        <w:t>TX45 Pharmacology Studies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TX45 has been tested in several non-clinical </w:t>
      </w:r>
      <w:r>
        <w:rPr>
          <w:rFonts w:ascii="Times New Roman" w:hAnsi="Times New Roman"/>
          <w:i/>
          <w:color w:val="000000"/>
          <w:sz w:val="20"/>
        </w:rPr>
        <w:t xml:space="preserve">in vivo </w:t>
      </w:r>
      <w:r>
        <w:rPr>
          <w:rFonts w:ascii="Times New Roman" w:hAnsi="Times New Roman"/>
          <w:color w:val="000000"/>
          <w:sz w:val="20"/>
        </w:rPr>
        <w:t>PK and pharmacology studies. These include a rat renal blood flow model that is used as a PD endpoint that demonstrates the vasodilatory effects of relaxin. TX45 administration shows a dose-response and exposure-response relationship on increasing rat renal blood flow. TX45 also demonstrated a significant effect on a number of clinically relevant parameters in the rat monocrotaline-induced (MCT) model of PH. Significant reductions in pulmonary artery pressure, right ventricular hypertrophy, NT-proBNP, and pulmonary artery muscularization were demonstrated along with improvement in survival compared with control animals. The trough exposure corrected for human potency that is associated with maximal efficacy in this chronic rat model was approximately 2ug/ml. The trough exposure for maximal efficacy in this chronic model corresponds to a near maximal effect in our acute renal blood flow assay. This exposure is on the order of EC</w:t>
      </w:r>
      <w:r>
        <w:rPr>
          <w:rFonts w:ascii="Times New Roman" w:hAnsi="Times New Roman"/>
          <w:color w:val="000000"/>
          <w:sz w:val="13"/>
        </w:rPr>
        <w:t>70</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TX45 Non-clinical Toxicology Studies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TX45 has been tested in rat and non-human primate (NHP) 1-month GLP toxicology and 6-month GLP toxicology studies at ITR in Canada. There is relatively low sequence homology between the active portion of TX45 and rat relaxin (approximately 50%) or NHP relaxin (approximately 73%). In the 1-month GLP toxicology studies, there were no specific toxicities identified and no observable adverse effect level (NOAEL), which is the greatest dose of a drug at which no detectable adverse effects occur in an exposed population, was 100 mg/kg for both species. Administration of TX45 resulted in the development of anti-drug antibodies (ADAs) in some rats and monkeys, but the ADA response was most prevalent in rats receiving TX45 by subcutaneous injection.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weeks 6-9 of the 26-week GLP chronic toxicology study in NHPs, 5/32 monkeys treated with TX45 developed monkey anti-human anti-drug antibodies. ADAs formed in these 5 animals while they were recovering from an upper respiratory infection (URI) during weeks 5-9 of the study. Three animals were terminated prematurely due to severe immune related reactions, two of which had measured ADAs at the time of termination. We believe the URI acted as an adjuvant to heighten the immunologic response to TX45. Only animals that had URI symptoms developed ADAs and no additional animals developed ADAs as of week 25 (out of 26) of the study. The development of ADAs was not unexpected since there is only 75% homology between human and monkey relaxin, and ADAs were previously reported in serelaxin chronic toxicology studies. There is no expected correlation between the development of ADAs against a substantially human protein administered to NHPs and the immunogenicity profile of the same protein in humans. The absence of high sequence homology between non-clinical species and human protein therapeutics is a common cause of immunogenicity in toxicology studies, particularly in longer-term studies, and does not predict immunogenicity in human clinical studies. The preclinical data for TX45 have not yet been published.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color w:val="000000"/>
          <w:sz w:val="20"/>
        </w:rPr>
        <w:t>TX45 Clinical Development Studies and Plans</w:t>
      </w:r>
      <w:r>
        <w:rPr>
          <w:rFonts w:ascii="Times New Roman" w:hAnsi="Times New Roman"/>
          <w:color w:val="000000"/>
          <w:sz w:val="20"/>
        </w:rPr>
        <w:t xml:space="preserve"> </w:t>
      </w:r>
    </w:p>
    <w:p>
      <w:pPr>
        <w:pStyle w:val="TextBody"/>
        <w:bidi w:val="0"/>
        <w:spacing w:before="240" w:after="240"/>
        <w:jc w:val="left"/>
        <w:rPr/>
      </w:pPr>
      <w:r>
        <w:rPr/>
        <w:drawing>
          <wp:inline distT="0" distB="0" distL="0" distR="0">
            <wp:extent cx="5219700" cy="2933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219700" cy="2933700"/>
                    </a:xfrm>
                    <a:prstGeom prst="rect">
                      <a:avLst/>
                    </a:prstGeom>
                  </pic:spPr>
                </pic:pic>
              </a:graphicData>
            </a:graphic>
          </wp:inline>
        </w:drawing>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TX45 clinical development program was designed to provide data supporting key inflection points. TX000045-001, a first in human, single ascending dose trial, was completed in third quarter of 2024. This trial was designed to provide data on safety and tolerability, and immunogenicity as well as define the PK and PD profile of TX45 after single doses in healthy volunteers.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 A of the Phase 1b single dose acute hemodynamic trial in PH-HFpEF patients completed dosing of the 19 patients in this part of the trial. In January 2025, we reported interim data on the safety and day 1 hemodynamic effects of TX45 in 16 out of the total 19 participants in Part A. The final data is expected to be presented at an upcoming medical conference. Data from Part B of the Phase 1b trial in PH-HFrEF patients is anticipated to be reported in the second half of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first patient was enrolled in the Phase 2 proof-of-concept randomized, double-blind, placebo-controlled trial in PH-HFpEF in October 2024 and data from this trial is expected to be available in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pre-IND consultation between us and the FDA occurred in early 2024. No significant issues were identified by the FDA with our planned clinical development strategy for TX45. The agency agreed that demonstration of an improvement in exercise capacity would be a suitable pivotal endpoint for regulatory approval. They confirmed that an appropriate endpoint for an assessment of exercise capacity would be six-minute walk distance (6MWD). Provided the Phase 1 and 2 trials result in sufficient safety and efficacy data to justify proceeding to Phase 3, the conduct of global Phase 3 pivotal trials including sites in the United States, and additional non-clinical development work including scale-up of GMP manufacturing to commercial scale would also be needed to generate the data package necessary to support regulatory approval for marketing authorization in the United States. through the submission of a Biologic License Application (“BLA”) to the FDA. We would also seek similar regulatory approvals through equivalent submissions to regulatory bodies in territories outside of the United States.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950"/>
        <w:gridCol w:w="146"/>
        <w:gridCol w:w="2197"/>
        <w:gridCol w:w="146"/>
        <w:gridCol w:w="3260"/>
        <w:gridCol w:w="146"/>
        <w:gridCol w:w="2360"/>
      </w:tblGrid>
      <w:tr>
        <w:trPr/>
        <w:tc>
          <w:tcPr>
            <w:tcW w:w="1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r>
      <w:tr>
        <w:trPr/>
        <w:tc>
          <w:tcPr>
            <w:tcW w:w="19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0"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Trial, Status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Trial Design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60"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Treatments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0"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Subject Population and</w:t>
              <w:br/>
              <w:t>Number</w:t>
            </w:r>
          </w:p>
        </w:tc>
      </w:tr>
      <w:tr>
        <w:trPr/>
        <w:tc>
          <w:tcPr>
            <w:tcW w:w="19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TX000045-001 Phase 1a (Completed)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Randomized, double- blind, SAD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TX000045 or placebo</w:t>
            </w:r>
          </w:p>
          <w:p>
            <w:pPr>
              <w:pStyle w:val="TableContents"/>
              <w:bidi w:val="0"/>
              <w:jc w:val="left"/>
              <w:rPr>
                <w:rFonts w:ascii="Times New Roman" w:hAnsi="Times New Roman"/>
                <w:color w:val="000000"/>
                <w:sz w:val="20"/>
              </w:rPr>
            </w:pPr>
            <w:r>
              <w:rPr>
                <w:rFonts w:ascii="Times New Roman" w:hAnsi="Times New Roman"/>
                <w:color w:val="000000"/>
                <w:sz w:val="20"/>
              </w:rPr>
              <w:t>Single ascending IV and SC doses per clinical trial protocol: IV: 0.3mg/kg, 1mg/kg, 3mg/kg SC: 150mg, 300mg, 600mg</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47 Healthy male and female subjects</w:t>
            </w:r>
          </w:p>
          <w:p>
            <w:pPr>
              <w:pStyle w:val="TableContents"/>
              <w:bidi w:val="0"/>
              <w:jc w:val="left"/>
              <w:rPr/>
            </w:pPr>
            <w:r>
              <w:rPr/>
              <w:t> </w:t>
            </w:r>
          </w:p>
          <w:p>
            <w:pPr>
              <w:pStyle w:val="TableContents"/>
              <w:bidi w:val="0"/>
              <w:jc w:val="left"/>
              <w:rPr/>
            </w:pPr>
            <w:r>
              <w:rPr/>
              <w:t> </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Each cohort had up to 8 subjects, 6 on TX45 and 2 on placebo</w:t>
            </w:r>
          </w:p>
        </w:tc>
      </w:tr>
      <w:tr>
        <w:trPr/>
        <w:tc>
          <w:tcPr>
            <w:tcW w:w="1950"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TX000045-002 Phase 1b, Part A (Dosing Completed)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7"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Open-label single dose</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60"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TX000045 0.3, 1, or 3 mg/kg IV</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60"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19 patients with PH-HFpEF dosed</w:t>
            </w:r>
          </w:p>
          <w:p>
            <w:pPr>
              <w:pStyle w:val="TableContents"/>
              <w:bidi w:val="0"/>
              <w:spacing w:before="0" w:after="283"/>
              <w:jc w:val="left"/>
              <w:rPr/>
            </w:pPr>
            <w:r>
              <w:rPr/>
              <w:t> </w:t>
            </w:r>
          </w:p>
        </w:tc>
      </w:tr>
      <w:tr>
        <w:trPr/>
        <w:tc>
          <w:tcPr>
            <w:tcW w:w="1950"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TX000045-002 Phase 1b, Part B (Ongoing)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7"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Open-label single dose</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60"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TX000045 3 mg/kg IV</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60"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Approximately 10 patients with PH-HFrEF to be dosed</w:t>
            </w:r>
          </w:p>
          <w:p>
            <w:pPr>
              <w:pStyle w:val="TableContents"/>
              <w:bidi w:val="0"/>
              <w:spacing w:before="0" w:after="283"/>
              <w:jc w:val="left"/>
              <w:rPr/>
            </w:pPr>
            <w:r>
              <w:rPr/>
              <w:t> </w:t>
            </w:r>
          </w:p>
        </w:tc>
      </w:tr>
      <w:tr>
        <w:trPr/>
        <w:tc>
          <w:tcPr>
            <w:tcW w:w="1950"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TX000045-003 Phase 2</w:t>
            </w:r>
          </w:p>
          <w:p>
            <w:pPr>
              <w:pStyle w:val="TableContents"/>
              <w:bidi w:val="0"/>
              <w:jc w:val="left"/>
              <w:rPr>
                <w:rFonts w:ascii="Times New Roman" w:hAnsi="Times New Roman"/>
                <w:color w:val="000000"/>
                <w:sz w:val="20"/>
              </w:rPr>
            </w:pPr>
            <w:r>
              <w:rPr>
                <w:rFonts w:ascii="Times New Roman" w:hAnsi="Times New Roman"/>
                <w:color w:val="000000"/>
                <w:sz w:val="20"/>
              </w:rPr>
              <w:t xml:space="preserve">(Ongoing)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Randomized, placebo-controlled, double-blind, repeated dose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TX000045 300 mg SC Q2W, 300 mg SC Q4W, or placebo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180 patients with PH-HFpEF to be randomized</w:t>
            </w:r>
          </w:p>
        </w:tc>
      </w:tr>
    </w:tbl>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Completed Phase 1a Single Ascending Dose Trial (TX000045-001)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TX000045-001 was a randomized, placebo-controlled, double-blind single ascending dose (SAD) trial in healthy volunteers which completed in the third quarter of 2024. In this trial, TX45 was well-tolerated after single IV doses ranging from 0.3mg/kg to 3 mg/kg and SC doses ranging from 150mg to 600mg. PK profile revealed dose proportional PK and a half-life of 14-20 days. The PD response of TX45 on RPF was assessed at multiple time points post dose for all dose cohorts. From these multiple PK/PD measurements we developed a robust exposure-response Emax model to enable dose selection for our Phase 2 study. We found the Emax effect of TX45 on RPF to be a 33% increase consistent with reported effect of relaxin from other relaxin compounds, such as Serelaxin (Voors, 2014) and Volenrelaxin (Tham, 2024). Based on our exposure-response model we selected TX45 doses for our Phase 2 trial as follows: 300mg SC every 4 weeks which is predicted to provide steady state trough exposure of approximately 2.6 ug/ml and near maximal effect on RPF at trough, and 300 mg SC every 2 weeks which is predicted to provide a trough exposure of approximately 8.7 ug/ml with maximal pharmacodynamic effects throughout the dosing interval. There was no evidence of immunogenicity or anti-drug antibodies in this trial.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Part A of the Acute Hemodynamic Phase 1b Trial (TX000045-002A)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TX000045-002 is an open-label, single dose trial in patients with PH associated with heart failure designed to evaluate the safety, tolerability and acute hemodynamic effects of TX45 as assessed by right heart catheterization. Part A of this trial enrolled 19 patients with PH-HFpEF, including both CpcPH and IpcPH. The doses of TX45 administered in this trial were 0.3 mg/kg IV, 1 mg/kg IV, and 3 mg/kg IV. The study evaluated safety and tolerability as well as the change from baseline in hemodynamic parameters including pulmonary capillary wedge pressure (“PCWP”) and PVR, mPAP, cardiac output (“CO”), and systemic vascular resistance (“SVR”) and additional hemodynamic measures. Notably, exposures over the first 8 hours after dosing were anticipated to be within the therapeutic range for all doses tested, therefore, it was prespecified that efficacy analyses would be done with pooling of patient data across doses.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Interim data of 16 out of the total 19 patients, released in January 2025, revealed that TX45 administration was well-tolerated in PH-HFpEF patients. No serious adverse events or severe adverse events were reported in this cohort. The interim data analysis from the first 16 (of 19 in total) patients TX45 administration significantly reduced PCWP in the overall group, and significantly reduced PVR in patients with CpcPH. In addition, TX45 administration raised CO and stroke volume and reduced Total Pulmonary Resistance (TPR) and mPAP in the overall group. The chart below summarizes our findings: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drawing>
          <wp:inline distT="0" distB="0" distL="0" distR="0">
            <wp:extent cx="5934075" cy="4581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34075" cy="4581525"/>
                    </a:xfrm>
                    <a:prstGeom prst="rect">
                      <a:avLst/>
                    </a:prstGeom>
                  </pic:spPr>
                </pic:pic>
              </a:graphicData>
            </a:graphic>
          </wp:inline>
        </w:drawing>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Ongoing Part B of the Phase 1b Acute Hemodynamic Trial (TX000045-002B)</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Part B of the Phase 1b acute hemodynamic open-label trial in patients with PH-HFrEF, including both IpcPH and CpcPH, is currently being conducted. In this trial, approximately 10 patients with PH-HFrEF will receive a single IV dose of TX45 and hemodynamics will be monitored by right heart catheterization for 8 hours after dosing. We enrolled the first patient in the Part B Phase 1b trial in March 2025, and expect topline trial results in the second half of 2025.</w:t>
      </w:r>
    </w:p>
    <w:p>
      <w:pPr>
        <w:pStyle w:val="TextBody"/>
        <w:bidi w:val="0"/>
        <w:spacing w:before="120" w:after="283"/>
        <w:jc w:val="left"/>
        <w:rPr>
          <w:rFonts w:ascii="Times New Roman" w:hAnsi="Times New Roman"/>
          <w:sz w:val="20"/>
        </w:rPr>
      </w:pPr>
      <w:r>
        <w:rPr>
          <w:rFonts w:ascii="Times New Roman" w:hAnsi="Times New Roman"/>
          <w:b/>
          <w:color w:val="000000"/>
          <w:sz w:val="20"/>
        </w:rPr>
        <w:t>Ongoing Phase 2 Proof of Concept, Randomized, Placebo-Controlled, Double-Blind Trial in PH-HFpEF (TX000045-003)</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ongoing Phase 2 randomized, placebo-controlled, double-blind proof-of-concept (POC) clinical trial in patients with PH-HFpEF is being conducted globally. In this trial, patients with PH-HFpEF are randomized to receive TX45 or placebo for 6 months. Two dose regimens of TX45 will be administered: 300 mg SC Q2W or 300 mg SC Q4W. Prior to dosing, right heart catheterization will be performed to determine baseline hemodynamics. After 6 months of treatment, patients will undergo a second right heart catheterization. The primary endpoint is change from baseline in PVR in patients with CpcPH. The key secondary endpoint is change from baseline in PCWP in all subjects. Additional endpoints will include change from baseline in 6MWD, change from baseline in the Kansas City Cardiomyopathy Questionnaire score and change from baseline in additional hemodynamic parameters including cardiac output, mean pulmonary pressure, systemic vascular resistance and stroke volume and biomarkers such as NT-proBNP. Changes in relevant echocardiographic endpoints will also be explored. This trial enriches for patients with CpcPH based on baseline right heart catheterization with the goal of evaluating efficacy in both CpcPH as well as the whole population with PH-HFpEF. We currently expect that approximately 180 subjects will be enrolled in this trial. </w:t>
      </w:r>
    </w:p>
    <w:p>
      <w:pPr>
        <w:pStyle w:val="TextBody"/>
        <w:bidi w:val="0"/>
        <w:spacing w:before="120" w:after="283"/>
        <w:jc w:val="left"/>
        <w:rPr>
          <w:rFonts w:ascii="Times New Roman" w:hAnsi="Times New Roman"/>
          <w:sz w:val="20"/>
        </w:rPr>
      </w:pPr>
      <w:r>
        <w:rPr>
          <w:rFonts w:ascii="Times New Roman" w:hAnsi="Times New Roman"/>
          <w:b/>
          <w:color w:val="000000"/>
          <w:sz w:val="20"/>
        </w:rPr>
        <w:t>Group 2 PH with HFpEF Anticipated Pivotal Development Pathway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the results of our Phase 2 trials and feedback received during the End of Phase 2 meeting with the FDA, we expect to initiate a randomized, placebo-controlled, double-blind Phase 3 clinical trial in Group 2 PH patients with HFpEF, as well as long term, open label extension trial for safety evaluation. Based on historical precedent across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multiple PH subtypes and our Pre-IND consultation with the FDA regarding the specific requirements for approval in Group 2 PH with HFpEF, we believe that the achievement of a clinically significant change in a functional endpoint, such as 6-minute walk distance could be sufficient for approval. The secondary endpoints may also include change from baseline to week 24 in: KCCQ-12 score, and the percentage who improve in WHO functional class. An additional secondary endpoint may be the time to the first occurrence of a clinical worsening event or death and changes in relevant echocardiographic endpoints and biomarker endpoints such as NTproBNP. At this time, we do not anticipate that an assessment of TX45’s impact on long-term cardiovascular outcomes will be a requirement for approval. Commercialization in the United States and other countries will be contingent on approval by the regulatory authorities (the FDA in the United States) and an assessment by the regulators that the studies were conducted in accordance with accepted guidance and the data demonstrated that there was a positive benefit risk for patients. </w:t>
      </w:r>
    </w:p>
    <w:p>
      <w:pPr>
        <w:pStyle w:val="TextBody"/>
        <w:bidi w:val="0"/>
        <w:spacing w:before="120" w:after="283"/>
        <w:jc w:val="left"/>
        <w:rPr>
          <w:rFonts w:ascii="Times New Roman" w:hAnsi="Times New Roman"/>
          <w:sz w:val="20"/>
        </w:rPr>
      </w:pPr>
      <w:r>
        <w:rPr>
          <w:rFonts w:ascii="Times New Roman" w:hAnsi="Times New Roman"/>
          <w:b/>
          <w:color w:val="000000"/>
          <w:sz w:val="20"/>
        </w:rPr>
        <w:t>Background on HHT Opportunity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Hereditary Hemorrhagic Telangiectasia (HHT), also known as Osler-Weber-Rendu syndrome, is the second most common genetic bleeding disorder. It has been estimated that there are approximately 70,000-75,000 HHT patients in the USA and it has also been estimated that up to 15-20% of them have severe disease. Symptoms of this disorder typically arise in late teenage years or older, and the most common manifestation is recurrent epistaxis (nosebleeds), or gastrointestinal bleeding, that can be severe in some patients, requiring iron infusions or blood transfusions, Epistaxis is typically due to abnormal small blood vessels (telangiectasias) in the nasal mucosa. Patients with HHT can also develop large arterio-venous malformations (AVMs) in various organs, such as the brain, liver and lung. The presence of liver AVMs can lead to high output heart failure. AVMs can spontaneously bleed on occasion with potentially devastating results. While some AVMs can be treated by radiologic embolization, such as AVMs in the lung, others cannot, especially in the liver. Indeed, for patients with prominent liver AVMs, the only therapeutic option may be transplantation.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While there are no approved medical therapies for HHT, anti-VEGF therapies including bevacizumab have been used on an </w:t>
      </w:r>
      <w:r>
        <w:rPr>
          <w:rFonts w:ascii="Times New Roman" w:hAnsi="Times New Roman"/>
          <w:i/>
          <w:color w:val="000000"/>
          <w:sz w:val="20"/>
        </w:rPr>
        <w:t xml:space="preserve">ad hoc </w:t>
      </w:r>
      <w:r>
        <w:rPr>
          <w:rFonts w:ascii="Times New Roman" w:hAnsi="Times New Roman"/>
          <w:color w:val="000000"/>
          <w:sz w:val="20"/>
        </w:rPr>
        <w:t xml:space="preserve">basis with results demonstrating that anti-angiogenic therapy has the potential to be an efficacious treatment. These therapies reduce angiogenesis and bleeding in mouse models of HHT. Importantly, these data have translated to the clinic: small investigator-sponsored trials in HHT patients demonstrated reduced epistaxis episodes and reduced transfusion dependence. The effects of anti-VEGF therapy suggest that targeting an alternative pathway, similar to the VEGF-VEGFR pathway in its ability to more specifically regulate angiogenesis, could be a productive strategy to address HHT. In addition to bevacizumab, pazopanib, a tyrosine kinase inhibitor, has been explored in small investigator-initiated studies with preliminary evidence of clinical benefit.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HHT is a genetic disorder due to loss-of-function mutations in proteins in the BMP9/10-Endoglin-ALK1- SMAD4 signaling pathway. BMP9 is a member of the TGF-beta family of growth factors that regulate blood vessel development. “GPCR3” (the specific GPCR target is not disclosed at this stage) and its ligand (“L3”) have been described to play a role in angiogenesis and AVM formation. Expression of L3 is also upregulated in HHT disease models and likely contributes to the development of abnormal blood vessels. </w:t>
      </w:r>
    </w:p>
    <w:p>
      <w:pPr>
        <w:pStyle w:val="TextBody"/>
        <w:bidi w:val="0"/>
        <w:spacing w:before="120" w:after="283"/>
        <w:jc w:val="left"/>
        <w:rPr>
          <w:rFonts w:ascii="Times New Roman" w:hAnsi="Times New Roman"/>
          <w:sz w:val="20"/>
        </w:rPr>
      </w:pPr>
      <w:r>
        <w:rPr>
          <w:rFonts w:ascii="Times New Roman" w:hAnsi="Times New Roman"/>
          <w:b/>
          <w:color w:val="000000"/>
          <w:sz w:val="20"/>
        </w:rPr>
        <w:t>Development Candidate for the Treatment of HHT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identified TX2100 as a development candidate for the treatment of HHT. TX2100 is a VHH-Fc fusion antagonist antibody that binds to “GPCR3”. The Fc portion of TX2100 was modified to reduce Fc</w:t>
      </w:r>
      <w:r>
        <w:rPr>
          <w:rFonts w:ascii="Symbol;serif" w:hAnsi="Symbol;serif"/>
          <w:color w:val="000000"/>
          <w:sz w:val="20"/>
        </w:rPr>
        <w:t>g</w:t>
      </w:r>
      <w:r>
        <w:rPr>
          <w:rFonts w:ascii="Times New Roman" w:hAnsi="Times New Roman"/>
          <w:color w:val="000000"/>
          <w:sz w:val="20"/>
        </w:rPr>
        <w:t xml:space="preserve">receptor activation and to increase binding to FcRn, in order to extend the half-life of the molecule. </w:t>
      </w:r>
    </w:p>
    <w:p>
      <w:pPr>
        <w:pStyle w:val="TextBody"/>
        <w:bidi w:val="0"/>
        <w:spacing w:before="120" w:after="283"/>
        <w:jc w:val="left"/>
        <w:rPr>
          <w:rFonts w:ascii="Times New Roman" w:hAnsi="Times New Roman"/>
          <w:sz w:val="20"/>
        </w:rPr>
      </w:pPr>
      <w:r>
        <w:rPr>
          <w:rFonts w:ascii="Times New Roman" w:hAnsi="Times New Roman"/>
          <w:b/>
          <w:color w:val="000000"/>
          <w:sz w:val="20"/>
        </w:rPr>
        <w:t>Pharmacology Studies with Animal Models of HHT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Several murine models of HHT have been established. These include both genetic loss-of-function models that disrupt the BMP9/10-Endoglin-ALK1-SMAD4 signaling pathway at different points, and the BMP9/10 immunoblocked model. In these murine models of HHT, anti-VEGF or anti-VEGF receptor agents reduce AVM formation and bleeding. As referenced above, since bevacizumab, an anti-VEGF monoclonal antibody, has been shown to have a clinical impact in HHT patients at reducing epistaxis, the mouse models appear to be predictive of these human impacts. Despite these signs of clinical utility, neither bevacizumab nor small molecule VEGF receptor inhibitors have been approved for the treatment of HHT, and they are not widely used likely because of the lack of approval, concerns about toxicity and lack of adequate information about dose. We established a pharmacodynamic model of neonatal murine retinal angiogenesis. In this model, treatment with a potent mouse “GPCR3” Nanobody-Fc antagonist reduces neo-angiogenesis and the vascularized area in the neonatal mouse retina. We have also established the BMP9/10-immunoblocked mouse model of HHT. This model reliably leads to the development of hypervascularization, AVMs and bleeding in organs including the eye, GI tract and brain.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this model, our “GPCR3” antagonist significantly reduces both arteriovenous malformations formation (AVM) and retinal hypervascularization induced by BMP9/BMP10 blockade to a similar degree as a VEGF antagonist. In addition,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color w:val="000000"/>
        </w:rPr>
        <w:t>“</w:t>
      </w:r>
      <w:r>
        <w:rPr>
          <w:rFonts w:ascii="Times New Roman" w:hAnsi="Times New Roman"/>
          <w:color w:val="000000"/>
          <w:sz w:val="20"/>
        </w:rPr>
        <w:t xml:space="preserve">GPCR3” antagonism significantly reduced bleeding as measured by reduced drop in hemoglobin compared to an isotype control antibody. This demonstrates that pharmacologic inhibition of “GPCR3” provides significant effects on endpoints relevant to HHT patients. Additional </w:t>
      </w:r>
      <w:r>
        <w:rPr>
          <w:rFonts w:ascii="Times New Roman" w:hAnsi="Times New Roman"/>
          <w:i/>
          <w:color w:val="000000"/>
          <w:sz w:val="20"/>
        </w:rPr>
        <w:t xml:space="preserve">in vivo </w:t>
      </w:r>
      <w:r>
        <w:rPr>
          <w:rFonts w:ascii="Times New Roman" w:hAnsi="Times New Roman"/>
          <w:color w:val="000000"/>
          <w:sz w:val="20"/>
        </w:rPr>
        <w:t xml:space="preserve">studies characterizing the effects of “GPCR3” antagonism on additional HHT relevant vascular pathology endpoints in mice are planned. </w:t>
      </w:r>
    </w:p>
    <w:p>
      <w:pPr>
        <w:pStyle w:val="TextBody"/>
        <w:bidi w:val="0"/>
        <w:spacing w:before="120" w:after="283"/>
        <w:jc w:val="left"/>
        <w:rPr>
          <w:rFonts w:ascii="Times New Roman" w:hAnsi="Times New Roman"/>
          <w:sz w:val="20"/>
        </w:rPr>
      </w:pPr>
      <w:r>
        <w:rPr>
          <w:rFonts w:ascii="Times New Roman" w:hAnsi="Times New Roman"/>
          <w:b/>
          <w:i/>
          <w:color w:val="000000"/>
          <w:sz w:val="20"/>
        </w:rPr>
        <w:t>Clinical Development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Phase 1 program for TX2100 would consist of a randomized, placebo-controlled, double-blind ascending-dose trial performed in healthy volunteers. Likely primary endpoints would be the safety and tolerability of TX2100 in these subjects, and likely secondary endpoints would be the pharmacokinetic properties of TX2100. Assuming adequate PK and safety are established in Phase 1, we intend to conduct efficacy trial(s) including a Phase 2 randomized, placebo-controlled, double-blind 6-month proof of concept (POC) trial in HHT patients with frequent epistaxis and anemia. </w:t>
      </w:r>
    </w:p>
    <w:p>
      <w:pPr>
        <w:pStyle w:val="TextBody"/>
        <w:bidi w:val="0"/>
        <w:spacing w:before="120" w:after="283"/>
        <w:jc w:val="left"/>
        <w:rPr>
          <w:rFonts w:ascii="Times New Roman" w:hAnsi="Times New Roman"/>
          <w:sz w:val="20"/>
        </w:rPr>
      </w:pPr>
      <w:r>
        <w:rPr>
          <w:rFonts w:ascii="Times New Roman" w:hAnsi="Times New Roman"/>
          <w:b/>
          <w:color w:val="000000"/>
          <w:sz w:val="20"/>
        </w:rPr>
        <w:t>Background on GEODe</w:t>
      </w:r>
      <w:r>
        <w:rPr>
          <w:rFonts w:ascii="Times New Roman" w:hAnsi="Times New Roman"/>
          <w:b/>
          <w:color w:val="000000"/>
          <w:sz w:val="13"/>
        </w:rPr>
        <w:t xml:space="preserve">TM </w:t>
      </w:r>
      <w:r>
        <w:rPr>
          <w:rFonts w:ascii="Times New Roman" w:hAnsi="Times New Roman"/>
          <w:b/>
          <w:color w:val="000000"/>
          <w:sz w:val="20"/>
        </w:rPr>
        <w:t>Platform</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believe that our GEODe</w:t>
      </w:r>
      <w:r>
        <w:rPr>
          <w:rFonts w:ascii="Times New Roman" w:hAnsi="Times New Roman"/>
          <w:color w:val="000000"/>
          <w:sz w:val="13"/>
        </w:rPr>
        <w:t xml:space="preserve">TM </w:t>
      </w:r>
      <w:r>
        <w:rPr>
          <w:rFonts w:ascii="Times New Roman" w:hAnsi="Times New Roman"/>
          <w:color w:val="000000"/>
          <w:sz w:val="20"/>
        </w:rPr>
        <w:t xml:space="preserve">platform has the potential to advance the field of biologic drugs targeted to GPCRs. To date, only 12% of the more than 800 GPCRs in the human body have been successfully translated into targets for approved therapeutics with biologics representing only three of those approvals. GPCRs have proven to be elusive targets for biologics largely due to their dynamic structure and expression levels in the plasma membrane and the difficulty of translating them in a functional form outside of their native lipid microenvironment.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majority of successful GPCR targeted therapeutics to date are small molecules, however, the success of this modality has been largely confined to just 6 GPCR subfamilies, many of which have a natural ligand that is also a small molecule. Establishing and maintaining target engagement and selectivity, therefore, for small molecules has proven challenging for receptors of increased size and complexity, greater sequence homology in ligand binding sites, or where subfamilies have overlapping ligands. </w:t>
      </w:r>
    </w:p>
    <w:p>
      <w:pPr>
        <w:pStyle w:val="TextBody"/>
        <w:bidi w:val="0"/>
        <w:spacing w:before="120" w:after="283"/>
        <w:jc w:val="left"/>
        <w:rPr>
          <w:rFonts w:ascii="Times New Roman" w:hAnsi="Times New Roman"/>
          <w:sz w:val="20"/>
        </w:rPr>
      </w:pPr>
      <w:r>
        <w:rPr>
          <w:rFonts w:ascii="Times New Roman" w:hAnsi="Times New Roman"/>
          <w:color w:val="000000"/>
          <w:sz w:val="20"/>
        </w:rPr>
        <w:t>GEODe</w:t>
      </w:r>
      <w:r>
        <w:rPr>
          <w:rFonts w:ascii="Times New Roman" w:hAnsi="Times New Roman"/>
          <w:color w:val="000000"/>
          <w:sz w:val="13"/>
        </w:rPr>
        <w:t xml:space="preserve">TM </w:t>
      </w:r>
      <w:r>
        <w:rPr>
          <w:rFonts w:ascii="Times New Roman" w:hAnsi="Times New Roman"/>
          <w:color w:val="000000"/>
          <w:sz w:val="20"/>
        </w:rPr>
        <w:t xml:space="preserve">was developed with the aim of addressing the challenges of GPCR targeted biologics via a combination of (1) GPCR protein engineering strategies that stabilize the pharmacologically relevant forms of the receptor and increase the cell surface receptor expression, enabling purification and formulation of the receptor at scale and in the correct conformation for naïve antibody selection campaigns; (2) using an optimized cell free yeast display platform with proprietary, highly diverse Fab and VHH antibody libraries designed to target GPCRs; and (3) structure-guided protein engineering strategies to identify optimal GPCR targeted biologics. The original platform technology was developed in Dr. Andrew Kruse’s lab at Harvard. This platform technology included yeast display selection protocols, first generation Fab and VHH library designs and protocols to detergent solubilize GPCRs. Our team has made significant changes and modifications to the original platform to optimize the quality of the molecules emerging from its naïve selections and affinity maturations including optimization of its receptor design strategy, the design of its naive and affinity maturation libraries and of the yeast display selection protocols. </w:t>
      </w:r>
    </w:p>
    <w:p>
      <w:pPr>
        <w:pStyle w:val="TextBody"/>
        <w:bidi w:val="0"/>
        <w:spacing w:before="120" w:after="283"/>
        <w:jc w:val="left"/>
        <w:rPr>
          <w:rFonts w:ascii="Times New Roman" w:hAnsi="Times New Roman"/>
          <w:sz w:val="20"/>
        </w:rPr>
      </w:pPr>
      <w:r>
        <w:rPr>
          <w:rFonts w:ascii="Times New Roman" w:hAnsi="Times New Roman"/>
          <w:b/>
          <w:color w:val="000000"/>
          <w:sz w:val="20"/>
        </w:rPr>
        <w:t>Summary of Our Expertise in GPCRs and mAb Discovery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optimized GPCR-targeted antibody discovery process comprises the following steps: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1. </w:t>
      </w:r>
      <w:r>
        <w:rPr>
          <w:rFonts w:ascii="Times New Roman" w:hAnsi="Times New Roman"/>
          <w:b/>
          <w:color w:val="000000"/>
          <w:sz w:val="20"/>
        </w:rPr>
        <w:t xml:space="preserve">Optimization, stabilization, and formulation of GPCRs </w:t>
      </w:r>
      <w:r>
        <w:rPr>
          <w:rFonts w:ascii="Times New Roman" w:hAnsi="Times New Roman"/>
          <w:color w:val="000000"/>
          <w:sz w:val="20"/>
        </w:rPr>
        <w:t xml:space="preserve">using proprietary protein engineering and biochemistry techniques, to produce sufficient target material in the correct conformation, as a reagent for discovery campaigns. We use structure-based homology modeling and prediction to engineer changes to the receptor that can bias it into an active or inactive state. These changes can also increase receptor cell surface expression and stability. Also, because the lipid bilayer surrounding a receptor can strongly affect its activation, we have developed techniques to present our targets in a variety of different membrane mimetics that recapitulate the lipid bilayer environment that the receptor is embedded in. We have also taken a machine learning guided protein engineering approach to generate G-protein mimetics that can stabilize GPCRs in their active state conformation. This stabilized protein complex can be used to discover agonist antibodies during yeast display selection campaigns.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2. </w:t>
      </w:r>
      <w:r>
        <w:rPr>
          <w:rFonts w:ascii="Times New Roman" w:hAnsi="Times New Roman"/>
          <w:b/>
          <w:color w:val="000000"/>
          <w:sz w:val="20"/>
        </w:rPr>
        <w:t xml:space="preserve">Optimized and streamlined yeast display antibody selection protocols </w:t>
      </w:r>
      <w:r>
        <w:rPr>
          <w:rFonts w:ascii="Times New Roman" w:hAnsi="Times New Roman"/>
          <w:color w:val="000000"/>
          <w:sz w:val="20"/>
        </w:rPr>
        <w:t xml:space="preserve">that minimize false positive hits from non-specific binders and can productively pull initial hits from antibody discovery campaigns. We employ antibody libraries designed and optimized for targeting GPCRs, novel tagging strategies, and make extensive use of automated workflow.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3. </w:t>
      </w:r>
      <w:r>
        <w:rPr>
          <w:rFonts w:ascii="Times New Roman" w:hAnsi="Times New Roman"/>
          <w:b/>
          <w:color w:val="000000"/>
          <w:sz w:val="20"/>
        </w:rPr>
        <w:t xml:space="preserve">High throughput GPCR binding assessment </w:t>
      </w:r>
      <w:r>
        <w:rPr>
          <w:rFonts w:ascii="Times New Roman" w:hAnsi="Times New Roman"/>
          <w:color w:val="000000"/>
          <w:sz w:val="20"/>
        </w:rPr>
        <w:t xml:space="preserve">to confirm binding of purified antibodies to the target of interest. This step enables rapid narrowing of the set of initial hits to focus on the best hits merging from the selection.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4. </w:t>
      </w:r>
      <w:r>
        <w:rPr>
          <w:rFonts w:ascii="Times New Roman" w:hAnsi="Times New Roman"/>
          <w:b/>
          <w:color w:val="000000"/>
          <w:sz w:val="20"/>
        </w:rPr>
        <w:t xml:space="preserve">GPCR signaling assays </w:t>
      </w:r>
      <w:r>
        <w:rPr>
          <w:rFonts w:ascii="Times New Roman" w:hAnsi="Times New Roman"/>
          <w:color w:val="000000"/>
          <w:sz w:val="20"/>
        </w:rPr>
        <w:t xml:space="preserve">to confirm that hits which were identified in the selection campaign and confirmed as target selective binders, are also functionally active to modulate signaling through the target of interest. We have implemented a wide range of signaling assays that can support characterization of hits against different GPCR targets.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5. </w:t>
      </w:r>
      <w:r>
        <w:rPr>
          <w:rFonts w:ascii="Times New Roman" w:hAnsi="Times New Roman"/>
          <w:b/>
          <w:color w:val="000000"/>
          <w:sz w:val="20"/>
        </w:rPr>
        <w:t xml:space="preserve">Antibody lead optimization </w:t>
      </w:r>
      <w:r>
        <w:rPr>
          <w:rFonts w:ascii="Times New Roman" w:hAnsi="Times New Roman"/>
          <w:color w:val="000000"/>
          <w:sz w:val="20"/>
        </w:rPr>
        <w:t xml:space="preserve">via affinity maturation to further improve either potency, selectivity, cross-species reactivity, developability and manufacturability characteristics or any combination of the above. </w:t>
      </w:r>
    </w:p>
    <w:p>
      <w:pPr>
        <w:pStyle w:val="TextBody"/>
        <w:bidi w:val="0"/>
        <w:spacing w:before="240" w:after="283"/>
        <w:jc w:val="left"/>
        <w:rPr>
          <w:rFonts w:ascii="Times New Roman" w:hAnsi="Times New Roman"/>
          <w:sz w:val="20"/>
        </w:rPr>
      </w:pPr>
      <w:r>
        <w:rPr>
          <w:rFonts w:ascii="Times New Roman" w:hAnsi="Times New Roman"/>
          <w:b/>
          <w:color w:val="000000"/>
          <w:sz w:val="20"/>
        </w:rPr>
        <w:t>Collaboration, License and Services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Harvard Option and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2020, Legacy Tectonic entered into an agreement with the President and Fellows of Harvard College (“Harvard”), for an option fee in the low five digits, whereby Harvard granted Legacy Tectonic an exclusive option to negotiate a worldwide, exclusive, royalty-bearing license under Harvard’s interest in the patent rights covering certain technology that was developed by Harvard. In October 2021, Legacy Tectonic exercised the option and on February 10, 2022, entered into a license agreement (“License Agreement”) with Harvard to conduct research and development activities using certain materials, technology and patent rights owned by Harvard, with the intent to develop, obtain regulatory approval for, and commercialize products. The License Agreement will remain in effect until the expiration of the last valid claim within the patent rights covering a product developed under the License Agreement or the termination of the License Agreement. As consideration for the License Agreement, we paid Harvard a one-time license fee of $170,000 and issued 227,486 shares of common stock with a fair market value of $0.4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responsible for payment of (1) annual maintenance fees ranging from the low five digits to the low six digits during the term of the License Agreement (through the first commercial sale of a royalty-bearing product); (2) royalty payments as a percentage in the low single digits of the annual net sales that we generate from products that utilize the license technology (“Licensed Products”) and royalty payments as a percentage in the low single digits of the annual net sales that we generate from know-how enabled product licenses (“Know-How Enabled Products”) and (3) a percentage between 10-20% of all non-royalty income received by us under sublicenses, strategic partnerships and know-how enabled product licenses that utilize the license technology. Subsequent to the first commercial sale of a royalty-bearing product, annual maintenance fees will increase to a low six digits for the remainder of the term of the License Agreement. The royalty term from sales of Licensed Products will terminate on a country-by-country and product-by-product basis on the earlier of (i) the expiration of the patent rights covering the product, expected to be no earlier than May 2041, and (ii) the termination of the License Agreement. The royalty term from sales of Know-How Enabled Products will terminate on the earlier of (i) ten years after the first commercial sale of the first Know-How Enabled Product and (ii) twelve years after the first commercial sale of the first Licensed Product.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WuXi Master Development and Manufacturing Services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6, 2022, we entered into a development and manufacturing agreement (the “WuXi Biologics Manufacturing Agreement”) with WuXi Biologics. The WuXi Biologics Manufacturing Agreement governs the general terms under which WuXi Biologics, or one of its affiliates, will provide biologics development and manufacturing services as specified by us on a project-by-project basis. Such services are performed under agreed-upon work orders. Under the terms of the WuXi Biologics Manufacturing Agreement, we have agreed to pay fees for WuXi Biologics’ performance of services in addition to reimbursing WuXi Biologics for reasonable expenses authorized by us and as provided in each applicable work order.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WuXi Biologics Manufacturing Agreement will expire on the later of May 6, 2025, or the completion of the services under all work orders executed by the parties prior to May 6, 2025, provided that the term may be extended by us for additional periods. We will have the right to terminate the WuXi Biologics Manufacturing Agreement or any work order upon thirty days’ prior written notice or immediately if, in our reasonable judgment, WuXi Biologics is or will be unable to perform the Services or WuXi Biologics fails to obtain or maintain any necessary licenses or approvals. Either party may terminate the WuXi Biologics Manufacturing Agreement or any work order if the other party files for bankruptcy, fails to cure a material breach during the cure period or a force majeure event that has lasted for the time period specified within the WuXi Biologics Manufacturing Agreement. WuXi Biologics has the right to terminate if the parties are unable to reach an agreement on an amendment to the services if such services become impossible due solely to changes in applicable law. The term of each work order terminates upon completion of the services under such work order, unless terminated earlier.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WuXi Biologics Manufacturing Agreement includes customary terms relating to, among others, indemnification, intellectual property protection, confidentiality, remedies and warranties.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Novotech Master Clinical Contract Services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2023, we entered into a master clinical contract services agreement (the “Novotech CSA”) with Novotech (Australia) Pty Limited (“Novotech”). The Novotech CSA governs the general terms under which Novotech, or one of its affiliates, will provide clinical development related services (excluding manufacturing services) as specified by us on a project-by-project basis. Such services are performed under agreed statements of work. Under the terms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Novotech CSA, we have agreed to pay fees for Novotech’s performance of services in addition to reimbursing Novotech for reasonably incurred, pass through costs agreed to by us and as provided in each applicable statement of work. Additionally, under the terms of the Novotech CSA, all documentation, information, and biological, chemical or other materials controlled by us and furnished to Novotech by or on behalf of us shall remain our exclusive property, and we shall own all rights to, and Novotech shall assigns all right, title and interest to, all inventions, discoveries, improvements, ideas, processes, formulations, products, co computer programs, works of authorship, databases, trade secrets, know-how, information, data, documentation, reports, research, creations and all other products and/or materials arising from or made in the performance of Novotech’s service, except for Novotech’s background intellectual property rights as defined under the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Novotech CSA will expire on the later of (i) five years from the effective date of the Novotech CSA, or March 2028, or (ii) the completion of the services under all statements of work executed prior to the fifth anniversary of the effective date of the Novotech CSA, or March 2028. We may terminate the Novotech CSA or any statement of work thereunder immediately if Novotech has committed an uncurable breach or has failed to cure a breach after thirty days’ written notice. We may also terminate the Novotech CSA or any statement of work thereunder for any reason upon thirty days’ prior written notice to Novotech. Novotech may terminate the Novotech CSA or any statement of work thereunder immediately if we have failed to cure a material breach after thirty days’ written notice.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Novotech CSA includes customary terms relating to, among others, indemnification, intellectual property protection, confidentiality, non-solicitation, remedies and warranties.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ARENSIA Master Agreement for Early Phase Clinical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2023, we entered into a master agreement for early phase clinical services (the “Arensia CSA”) with ARENSIA Exploratory Medicine GmbH (“Arensia”). The Arensia CSA governs the general terms under which Arensia, or one of its affiliates, will provide early phase clinical research services in connection with clinical research programs as specified by us on a project-by-project basis. Such services are performed under agreed work orders. Under the terms of the Arensia CSA, we have agreed to pay fees for Arensia’s performance of services in addition to reimbursing Arensia for pre-approved, reasonable expenses actually and necessarily incurred by Arensia as specified in each applicable work order.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Arensia CSA will expire on the later of: (i) five years from the effective date of the Arensia CSA, or October 2028, or (ii) the completion of the services under all work orders executed prior to the fifth anniversary of the effective date of the Arensia CSA, or October 2028. Work orders shall expire upon the completion of the services specified thereunder, provided that we may terminate a work order if the study governed by such work order is suspended for more than thirty days and either party may terminate a work order for reasonable scientific safety reasons. We may terminate the Arensia CSA in its entirety for any reason upon thirty days’ prior written notice to Arensia. Either party may terminate the Arensia CSA or any statement of work thereunder immediately if the other party has failed to cure a material breach after thirty days’ written notice or for the other party’s insolvency.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Arensia CSA includes customary terms relating to, among others, indemnification, intellectual property protection, confidentiality, remedies and warranties.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QPS Holdings Master Contract Services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2023, we entered into a master contract services agreement (the “QPS Agreement”) with QPS Holdings, LLC (“QPS”). The QPS Agreement governs the general terms under which QPS, or one of its affiliates, will provide services (excluding GMP manufacturing and clinical development related services) as specified by Tectonic on a project-by-project basis. Such services are performed under agreed statements of work. Under the terms of the QPS Agreement, Tectonic has agreed to pay for QPS’s performance of the services as specified in the applicable statement of work. Additionally, under the terms of the QPS Agreement, all documentation, information, and biological, chemical or other materials controlled by Tectonic and furnished to QPS by or on behalf of Tectonic shall remain the exclusive property of Tectonic, and Tectonic shall own all rights to, and QPS shall assigns all right, title and interest to, all inventions, discoveries, improvements, ideas, processes, formulations, products, co computer programs, works of authorship, databases, trade secrets, know-how, information, data, documentation, reports, research, creations and all other products and/or materials arising from or made in the performance of QPS’s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 of the QPS Agreement will expire on the later of: (i) two years from the effective date of the QPS Agreement, or October 2025, or (ii) the completion of the services under all work orders executed prior to the second anniversary of the effective date of the QPS Agreement, or October 2025. Tectonic may terminate the QPS Agreement or any statement of work thereunder for any reason upon thirty days’ prior written notice or immediately if QPS commits an uncurable breach of the QPS Agreement. QPS may terminate the QPS Agreement or any statement of work thereunder if Tectonic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has failed to cure a material breach after thirty days’ written notice or may terminate the QPS Agreement for any reason upon sixty days’ prior written notice provided there are no active statements of work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QPS Agreement includes customary terms relating to, among others, indemnification, intellectual property protection, confidentiality, remedies and warranties.</w:t>
      </w:r>
    </w:p>
    <w:p>
      <w:pPr>
        <w:pStyle w:val="TextBody"/>
        <w:bidi w:val="0"/>
        <w:spacing w:before="24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strive to protect and enhance the proprietary technologies, inventions and improvements that we believe are important to our business, including seeking,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our product candidates that are important to the development and implementation of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patent portfolio includes three pending U.S. non-provisional applications, one pending international (Patent Cooperation Treaty) application, and nineteen pending foreign applications relating to Fc-relaxin fusion protein compositions (including TX45) and methods of use thereof. Specifically, we have exclusively in-licensed one patent family from the President and Fellows of Harvard College and wholly own two patents families, relating Fc-relaxin fusion protein compositions (including TX45) and methods of use thereof. The in-licensed patent family consists of one pending U.S. non-provisional patent application and nine pending foreign applications in Australia, Canada, China, Europe, Israel, Japan, Korea, Mexico, and Singapore, with any patent issuing from these applications having an expected 20-year expiry date of not earlier than May 2041. The first wholly owned patent family consists of one pending U.S. non-provisional patent application and nine pending foreign applications in Australia, Canada, China, Europe, Israel, Japan, Korea, Mexico, and Singapore, with any patent issuing from these applications having an expected 20-year expiry date of not earlier than November 2042, and the second family consists of one pending Patent Cooperation Treaty application, one pending U.S. non-provisional patent application, and one pending foreign application in Taiwan, with any patent issuing from these applications having an expected 20-year expiry date of not earlier than May 2044. 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 by 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we rely upon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 </w:t>
      </w:r>
    </w:p>
    <w:p>
      <w:pPr>
        <w:pStyle w:val="TextBody"/>
        <w:bidi w:val="0"/>
        <w:spacing w:before="120" w:after="283"/>
        <w:jc w:val="left"/>
        <w:rPr>
          <w:rFonts w:ascii="Times New Roman" w:hAnsi="Times New Roman"/>
          <w:sz w:val="20"/>
        </w:rPr>
      </w:pPr>
      <w:r>
        <w:rPr>
          <w:rFonts w:ascii="Times New Roman" w:hAnsi="Times New Roman"/>
          <w:color w:val="000000"/>
          <w:sz w:val="20"/>
        </w:rPr>
        <w:t>Our commercial success will also depend in part on not infringing upon the proprietary rights of third parties. It is uncertain whether the issuance of any third-party patent would require us to alter our development or commercial strategies, or its product candidates or processes, obtain licenses or cease certain activities. Our breach of any license agreements or failure to obtain a license to proprietary rights that we may require to develop or commercialize our future product candidates may have an adverse impact on us. If third parties have prepared and filed patent applications prior to March 16, 2013 in the United States that also claim technology to which we have rights, we may have to participate in interference proceedings in the USPTO, to determine priority of invention. For more information, please see “</w:t>
      </w:r>
      <w:r>
        <w:rPr>
          <w:rFonts w:ascii="Times New Roman" w:hAnsi="Times New Roman"/>
          <w:i/>
          <w:color w:val="000000"/>
          <w:sz w:val="20"/>
        </w:rPr>
        <w:t>Risk Factors — Risks Related to Intellectual Property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Sales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our stage of development, we have not yet established a commercial organization or distribution capabilities. </w:t>
      </w:r>
    </w:p>
    <w:p>
      <w:pPr>
        <w:pStyle w:val="TextBody"/>
        <w:bidi w:val="0"/>
        <w:spacing w:before="240" w:after="283"/>
        <w:jc w:val="left"/>
        <w:rPr>
          <w:rFonts w:ascii="Times New Roman" w:hAnsi="Times New Roman"/>
          <w:sz w:val="20"/>
        </w:rPr>
      </w:pPr>
      <w:r>
        <w:rPr>
          <w:rFonts w:ascii="Times New Roman" w:hAnsi="Times New Roman"/>
          <w:b/>
          <w:color w:val="000000"/>
          <w:sz w:val="20"/>
        </w:rPr>
        <w:t>Manufacturing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own or operate manufacturing facilities for the production of clinical or commercial quantities of our lead product candidate TX45. We currently rely, and expect to continue to rely for the foreseeable future, on third-party contract development and manufacturing organizations (“CDMOs”) to produce our product candidates for preclinical and clinical testing, as well as for future commercial manufacture of any products that we may commercialize.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require our CDMOs to conduct manufacturing activities in compliance with Current Good Manufacturing Practices (“CGMPs”) requirements. We have assembled a team of experienced employees and consultants to provide the necessary technical, quality and regulatory oversight over its CDMOs. Currently, we contract with two third-party manufacturers, including WuXi Biologics, to provide biologics development and manufacturing services for our product candidates. In the future, we may engage additional third-party manufacturers to support any clinical trials for TX45 and TX2100 as well as commercialization of TX45, if approved, in the United States or other jurisdictions or the clinical development and potential commercialization of additional programs from our pipeline.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WuXi Biologics to perform all chemistry, manufacturing, and controls (“CMC”) activities related to our TX45 program. We require that WuXi Biologics produces bulk drug substances and finished drug products in accordance with CGMPs, and all other applicable laws and regulations. In addition, we rely on WuXi Biologics to operate facilities that meet regulatory requirements for production and testing of clinical and commercial products and to work closely with us to validate manufacturing processes prior to commercial launch. We oversee WuXi Biologics by performing technical and quality assurance review and/or approval of CGMP documentation, establishing quality agreements to define responsibilities and expectations for goods and services, and observing production and testing activities, among other activities. </w:t>
      </w:r>
    </w:p>
    <w:p>
      <w:pPr>
        <w:pStyle w:val="TextBody"/>
        <w:bidi w:val="0"/>
        <w:spacing w:before="240" w:after="283"/>
        <w:jc w:val="left"/>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However, we expect substantial competition from multiple sources, including major pharmaceutical, specialty pharmaceutical, and existing or emerging biotechnology companies, academic research institutions and governmental agencies and public and private research institutions worldwide. Many of our competitors, either alone or with their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enrollment in clinical trials, as well as in acquiring technologies complementary to, or necessary for, our programs. As a result, our competitors may discover, develop, license or commercialize products before or more successfully than we do.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competition from companies that are pursuing development of engineered proteins or small molecule agonists of relaxin including AstraZeneca, who is currently conducting Phase 2 trials. To our knowledge, Astra Zeneca is pursuing either the broader Heart Failure population or Group 2 PH in the setting of either HFpEF or HFrEF without enrichment for CpCPH patients.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HHT space, Vaderis has been pursuing development of an oral AKT inhibitor and Diagonal Therapeutics has been pursuing agonist antibodies for the treatment of this condition. Investigator-initiated studies of nintendanib (Boehringer Ingelheim) and pazopanib (Novartis) are also ongoing to explore the potential utility of these kinase inhibitors to treat this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focus on biologic drugs differentiates us from many competitor GPCR companies whose primary focus is on small molecule drug discovery. Additionally, our GPCR membrane protein biochemistry experience, which is key for generating optimally stabilized and formulated receptors for antibody selection campaigns, combined with our experience using novel antigen formats differentiates us from in vitro display based antibody discovery. Specifically, our use of membrane mimetics that help maintain native receptor extra-cellular domain conformations combined with the membrane protein biochemistry expertise that we have built over the last three years is a key point of potential differentiation.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Several other companies are focused on discovery of GPCR-targeted therapeutics. Some may have an emphasis on small molecule approaches (Septerna, SOSEI-Heptares, Structure Therapeutics), on alternative biologic efforts (Abalone Bio, Orion Biotechnology), both (Abilitia Bio, Confo Therapeutic, Orion Biotechnology, Omeros), or on specific targets or target classes (GPCR Therapeutics). </w:t>
      </w:r>
    </w:p>
    <w:p>
      <w:pPr>
        <w:pStyle w:val="TextBody"/>
        <w:bidi w:val="0"/>
        <w:spacing w:before="240" w:after="283"/>
        <w:jc w:val="left"/>
        <w:rPr>
          <w:rFonts w:ascii="Times New Roman" w:hAnsi="Times New Roman"/>
          <w:sz w:val="20"/>
        </w:rPr>
      </w:pPr>
      <w:r>
        <w:rPr>
          <w:rFonts w:ascii="Times New Roman" w:hAnsi="Times New Roman"/>
          <w:b/>
          <w:color w:val="000000"/>
          <w:sz w:val="20"/>
        </w:rPr>
        <w:t>Government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Government authorities in the United States, at the federal, state and local level and in other countries and jurisdictions, including the European Union, extensively regulate, among other things, the research, development, testing, manufacture, pricing, reimbursement, sales, quality control, approval, packaging, storage, recordkeeping, labeling, advertising, promotion, distribution, marketing, post-approval monitoring and reporting and import and export of pharmaceutical products, including biological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 </w:t>
      </w:r>
    </w:p>
    <w:p>
      <w:pPr>
        <w:pStyle w:val="TextBody"/>
        <w:bidi w:val="0"/>
        <w:spacing w:before="240" w:after="283"/>
        <w:jc w:val="left"/>
        <w:rPr>
          <w:rFonts w:ascii="Times New Roman" w:hAnsi="Times New Roman"/>
          <w:sz w:val="20"/>
        </w:rPr>
      </w:pPr>
      <w:r>
        <w:rPr>
          <w:rFonts w:ascii="Times New Roman" w:hAnsi="Times New Roman"/>
          <w:b/>
          <w:i/>
          <w:color w:val="000000"/>
          <w:sz w:val="20"/>
        </w:rPr>
        <w:t>Licensure and regulation of biologics in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any product candidates we may develop would be regulated as biological products, or biologics, under the Public Health Service Act (“PHSA”) and the Federal Food, Drug and Cosmetic Act (“FDCA”) and its implementing regulations. The failure to comply with the applicable U.S. requirements at any time during the product development process, including preclinical testing, clinical testing, the approval process, or post-approval process, may subject an applicant to delays in the conduct of the study, regulatory review and approval and/or administrative or judicial sanctions.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applicant seeking approval to market and distribute a new biologic in the United States generally must satisfactorily complete each of the following steps: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preclinical laboratory tests, animal studies and formulation studies performed in accordance with the FDA’s applicable Good Laboratory Practices (“GLP”)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completion of the manufacture, under current good manufacturing practices (“CGMP”) conditions, of the drug substance and drug product that the sponsor intends to use in human clinical trials along with required analytical and stability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submission to the FDA of an IND application for human clinical testing, which must become effective before human clinical trials may begin;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by an independent IRB representing each clinical site before each clinical trial may be initiated;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performance of adequate and well-controlled human clinical trials to establish the safety, potency and purity of the product candidate for each proposed indication, in accordance with current good clinical practices (“GCP”)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preparation and submission to the FDA of a BLA for a biological product requesting marketing for one or more proposed indications, including submission of detailed information on the manufacture and composition of the product in clinical development and proposed labelling;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 of the product by an FDA advisory committee, where appropriate or if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satisfactory completion of one or more FDA inspections of the manufacturing facility or facilities, including those of third parties, at which the product, or components thereof, are produced to assess compliance with CGMP requirements and to assure that the facilities, methods and controls are adequate to preserve the product’s identity, strength, quality and purity;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satisfactory completion of any FDA audits of the preclinical studies and clinical trial sites to assure compliance with GLP, as applicable, and GCP, and the integrity of clinical data in support of the BLA;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payment of Prescription Drug User Fee Act (“PDUFA”) fees, securing FDA approval of the BLA and licensure of the new biological product;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any post-approval requirements, including the potential requirement to implement a Risk Evaluation and Mitigation Strategy (“REMS”) and any post-approval studies or other post- marketing commitments required by the FDA.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Preclinical studies and investigational new drug application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testing any biological product candidate in humans, the product candidate must undergo preclinical testing. Preclinical tests include laboratory evaluations of product chemistry, formulation and stability, as well as studies to evaluate the potential for efficacy and toxicity in animal studies. The conduct of the preclinical tests and formulation of the compounds for testing must comply with federal regulations and requirements. The results of the preclinical tests, together with manufacturing information and analytical data, are submitted to the FDA as part of an IND application.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IND is an exemption from the FDCA that allows an unapproved product candidate to be shipped in interstate commerce for use in an investigational clinical trial and a request for FDA authorization to administer such investigational product to humans.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 can begin or recommence.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submission of the IND may result in the FDA not allowing the trial to commence or allowing the trial to commence on the terms originally specified by the sponsor in the IND. If the FDA raises concerns or questions either during this initial 30-day period, or at any time during the IND review process, it may choose to impose a partial or complete clinical hold. Clinical holds are imposed by the FDA whenever there is concern for patient safety, may be a result of new data, findings, or developments in clinical, preclinical and/or chemistry, manufacturing and controls or where there is non-compliance with regulatory requirements. This order issued by the FDA would delay either a proposed clinical trial or cause suspension of an ongoing trial, until all outstanding concerns have been adequately addressed, and the FDA has notified the company that investigations may proceed. This could cause significant delays or difficulties in completing our planned clinical trials or future clinical trials in a timely manner. </w:t>
      </w:r>
    </w:p>
    <w:p>
      <w:pPr>
        <w:pStyle w:val="TextBody"/>
        <w:bidi w:val="0"/>
        <w:spacing w:before="240" w:after="283"/>
        <w:jc w:val="left"/>
        <w:rPr>
          <w:rFonts w:ascii="Times New Roman" w:hAnsi="Times New Roman"/>
          <w:sz w:val="20"/>
        </w:rPr>
      </w:pPr>
      <w:r>
        <w:rPr>
          <w:rFonts w:ascii="Times New Roman" w:hAnsi="Times New Roman"/>
          <w:i/>
          <w:color w:val="000000"/>
          <w:sz w:val="20"/>
        </w:rPr>
        <w:t>Human clinical trials in support of a BLA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involve the administration of the investigational product candidate to healthy volunteers or patients with the disease or condition to be treated under the supervision of a qualified principal investigator in accordance with GCP requirements. Clinical trials are conducted under protocols detailing, among other things, the objectives of the trial, inclusion and exclusion criteria, the parameters to be used in monitoring safety, and the effectiveness criteria to be evaluated. A protocol for each clinical trial and any subsequent protocol amendments must be submitted to the FDA as part of the IND.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sponsor who wishes to conduct a clinical trial outside the United States may, but need not, obtain FDA authorization to conduct the clinical trial under an IND. When a foreign clinical trial is conducted under an IND, all FDA IND requirements must be met unless waived. When a foreign clinical trial is not conducted under an IND, the sponsor must ensure that the trial complies with certain regulatory requirements of the FDA in order to use the trial as support for an IND or application for marketing approval. Specifically, the FDA requires that such trials be conducted in accordance with GCP, including review and approval by an independent ethics committee and informed consent from participants. The GCP requirements encompass both ethical and data integrity standards for clinical trials.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clinical trials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The FDA, IRB, or the clinical trial sponsor may suspend or discontinue a clinical trial at any time for various reasons, including a finding that the clinical trial is not being conducted in accordance with FDA requirements or that the participants are being exposed to an unacceptable health risk. Clinical testing also must satisfy extensive GCP rules and the requirements for informed consent.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some clinical trials are overseen by an independent group of qualified experts organized by the clinical trial sponsor, known as a data safety monitoring board (“DSMB”). This group may recommend continuation of the trial as planned, changes in trial conduct, or cessation of the trial at designated check points based on certain available data from the trial to which only the DSMB has access.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typically are conducted in three sequential phases, but the phases may overlap or be combined. Additional studies may be required after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Phase 1 </w:t>
      </w:r>
      <w:r>
        <w:rPr>
          <w:rFonts w:ascii="Times New Roman" w:hAnsi="Times New Roman"/>
          <w:color w:val="000000"/>
          <w:sz w:val="20"/>
        </w:rPr>
        <w:t xml:space="preserve">clinical trials are initially conducted in a limited population to test the product candidate for safety, including adverse effects, dose tolerance, absorption, metabolism, distribution, excretion and pharmacodynamics in healthy humans or, on occasion, in patients.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Phase 2 </w:t>
      </w:r>
      <w:r>
        <w:rPr>
          <w:rFonts w:ascii="Times New Roman" w:hAnsi="Times New Roman"/>
          <w:color w:val="000000"/>
          <w:sz w:val="20"/>
        </w:rPr>
        <w:t xml:space="preserve">clinical trials are generally conducted in a limited patient population to identify possible adverse effects and safety risks, 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Phase 3 </w:t>
      </w:r>
      <w:r>
        <w:rPr>
          <w:rFonts w:ascii="Times New Roman" w:hAnsi="Times New Roman"/>
          <w:color w:val="000000"/>
          <w:sz w:val="20"/>
        </w:rPr>
        <w:t xml:space="preserve">clinical trials proceed if the Phase 2 clinical trials demonstrate that a dose range of the product candidate is potentially effective and has an 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biologic; such Phase 3 studies are referred to as “pivotal.”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some cases, the FDA may approve a BLA for a product but require the sponsor to conduct additional clinical trials to further assess the product’s safety and effectiveness after approval. Such post-approval trials are typically referred to as Phase 4 clinical trials. These studies are used to gain additional experience from the treatment of patients in the intended therapeutic indication and to document a clinical benefit in the case of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The failure to exercise due diligence with regard to conducting Phase 4 clinical trials could result in withdrawal of approval for products.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Information about applicable clinical trials must be submitted within specific timeframes to the National Institutes of Health (“NIH”) for public dissemination on its </w:t>
      </w:r>
      <w:r>
        <w:rPr>
          <w:rFonts w:ascii="Times New Roman" w:hAnsi="Times New Roman"/>
          <w:i/>
          <w:color w:val="000000"/>
          <w:sz w:val="20"/>
        </w:rPr>
        <w:t xml:space="preserve">ClinicalTrials.gov </w:t>
      </w:r>
      <w:r>
        <w:rPr>
          <w:rFonts w:ascii="Times New Roman" w:hAnsi="Times New Roman"/>
          <w:color w:val="000000"/>
          <w:sz w:val="20"/>
        </w:rPr>
        <w:t xml:space="preserve">website. </w:t>
      </w:r>
    </w:p>
    <w:p>
      <w:pPr>
        <w:pStyle w:val="TextBody"/>
        <w:bidi w:val="0"/>
        <w:spacing w:before="240" w:after="283"/>
        <w:jc w:val="left"/>
        <w:rPr>
          <w:rFonts w:ascii="Times New Roman" w:hAnsi="Times New Roman"/>
          <w:sz w:val="20"/>
        </w:rPr>
      </w:pPr>
      <w:r>
        <w:rPr>
          <w:rFonts w:ascii="Times New Roman" w:hAnsi="Times New Roman"/>
          <w:i/>
          <w:color w:val="000000"/>
          <w:sz w:val="20"/>
        </w:rPr>
        <w:t>Pediatric studies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Pediatric Research Equity Act of 2003 (“PREA”),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 The FDA may, on its own initiative or at the request of the applicant, grant deferrals for submission of some or all pediatric data until after approval of the product for use in adults, or full or partial waivers from the pediatric data requirements. </w:t>
      </w:r>
    </w:p>
    <w:p>
      <w:pPr>
        <w:pStyle w:val="TextBody"/>
        <w:bidi w:val="0"/>
        <w:spacing w:before="240" w:after="283"/>
        <w:jc w:val="left"/>
        <w:rPr>
          <w:rFonts w:ascii="Times New Roman" w:hAnsi="Times New Roman"/>
          <w:sz w:val="20"/>
        </w:rPr>
      </w:pPr>
      <w:r>
        <w:rPr>
          <w:rFonts w:ascii="Times New Roman" w:hAnsi="Times New Roman"/>
          <w:i/>
          <w:color w:val="000000"/>
          <w:sz w:val="20"/>
        </w:rPr>
        <w:t>Compliance with CGMP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approving a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The PHSA emphasizes the importance of manufacturing control for products like biologics whose attributes cannot be precisely defined.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Manufacturers and others involved in the manufacture and distribution of products must also register their establishments with the FDA and certain state agencies. Both domestic and foreign manufacturing establishments must register and provide additional information to the FDA upon their initial participation in the manufacturing process. Any product manufactured by or imported from a facility that has not registered, whether foreign or domestic, is deemed misbranded under the FDCA. Establishments may be subject to periodic unannounced inspections by government authorities to ensure compliance with CGMPs and other laws.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Review and approval of a BLA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product candidate development, preclinical testing and clinical trials, including negative or ambiguous results as well as positive findings, are submitted to the FDA as part of a BLA requesting license to market the product. The BLA must contain extensive manufacturing information and detailed information on the composition of the product and proposed labeling as well as payment of a user fee. Under federal law, the submission of most BLAs is subject to a substantial application user fee. The sponsor of a licensed BLA is also subject to an annual program fee. Certain exceptions and waivers are available for some of these fees, such as an exception from the application fee for products with orphan designation and a waiver for certain small businesses.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has 60 days after submission of the application to conduct an initial review to determine whether it is sufficient to accept for filing based on the agency’s threshold determination that it is sufficiently complete to permit substantive review. Once the submission has been accepted for filing, the FDA begins an in-depth review of the application. Under the goals and policies agreed to by the FDA under the PDUFA, the FDA has ten months in which to complete its initial review of a standard application and respond to the applicant, and six months for a priority review of the application. The FDA does not always meet its PDUFA goal dates for standard and priority BLAs. The review process may often be significantly extended by FDA requests for additional information or clarification.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PHSA, the FDA may approve a BLA if it determines that the product is safe, pure and potent, and the facility where the product will be manufactured meets standards designed to ensure that it continues to be safe, pure and potent. On the basis of the FDA’s evaluation of the application and accompanying information, including the results of the inspection of the manufacturing facilities and any FDA audits of preclinical and clinical trial sites to assure compliance with GCPs, the FDA may issue an approval letter or a complete response letter (“CRL”). An approval letter authorizes commercial marketing of the product with specific prescribing information for specific indications. If the application is not approved, the FDA will issue a CRL, which will contain the conditions that must be met in order to secure final approval of the application, and when possible will outline recommended actions the sponsor might take to obtain approval of the application. Sponsors that receive a CRL may submit to the FDA information that represents a complete response to the issues identified by the FDA.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also refer the application to an advisory committee for review, evaluation and recommendation as to whether the application should be approved. In particular, the FDA may refer applications for novel biological products or biological products that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FDA approves a new product, it may limit the approved indication(s) for use of the product. It may also require that contraindications, warnings, or precautions be included in the product labeling. In addition, the FDA may call for post-approval studies, including Phase 4 clinical trials, to further assess the product’s efficacy and/or safety after approval.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 </w:t>
      </w:r>
    </w:p>
    <w:p>
      <w:pPr>
        <w:pStyle w:val="TextBody"/>
        <w:bidi w:val="0"/>
        <w:spacing w:before="240" w:after="283"/>
        <w:jc w:val="left"/>
        <w:rPr>
          <w:rFonts w:ascii="Times New Roman" w:hAnsi="Times New Roman"/>
          <w:sz w:val="20"/>
        </w:rPr>
      </w:pPr>
      <w:r>
        <w:rPr>
          <w:rFonts w:ascii="Times New Roman" w:hAnsi="Times New Roman"/>
          <w:i/>
          <w:color w:val="000000"/>
          <w:sz w:val="20"/>
        </w:rPr>
        <w:t>Expedited review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is authorized to expedite the review of BLAs in several ways. Under the Fast Track program, the sponsor of a product candidate may request the FDA to designate the product for a specific indication as a Fast Track product concurrent with or after the filing of the IND. Candidate products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application before the application is complete, a process known as rolling review.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product candidate submitted to the FDA for marketing, including under a Fast Track program, may be eligible for other types of FDA programs intended to expedite development and review, such as breakthrough therapy designation, priority review and accelerated approval.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Breakthrough therapy designation. </w:t>
      </w:r>
      <w:r>
        <w:rPr>
          <w:rFonts w:ascii="Times New Roman" w:hAnsi="Times New Roman"/>
          <w:color w:val="000000"/>
          <w:sz w:val="20"/>
        </w:rPr>
        <w:t>To qualify for the breakthrough therapy program, product candidates must be intended to treat a serious or life-threatening disease or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Priority review. </w:t>
      </w:r>
      <w:r>
        <w:rPr>
          <w:rFonts w:ascii="Times New Roman" w:hAnsi="Times New Roman"/>
          <w:color w:val="000000"/>
          <w:sz w:val="20"/>
        </w:rPr>
        <w:t xml:space="preserve">A product candidate is eligible for priority review if it treats a serious condition and, if approved, it would be a significant improvement in the safety or effectiveness of the treatment, diagnosis or prevention compared to marketed products. FDA aims to complete its review of priority review applications within six months as opposed to 10 months for standard review.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Accelerated approval. </w:t>
      </w:r>
      <w:r>
        <w:rPr>
          <w:rFonts w:ascii="Times New Roman" w:hAnsi="Times New Roman"/>
          <w:color w:val="000000"/>
          <w:sz w:val="20"/>
        </w:rPr>
        <w:t xml:space="preserve">Drug or biological products studied for their safety and effectiveness in treating serious or life-threatening illnesses and that provide meaningful therapeutic benefit over existing treatments may 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biological product candidate receiving accelerated approval perform adequate and well controlled post-marketing clinical trials. In addition, for products being considered for accelerated approval, the FDA generally requires, as a condition for accelerated approval, pre-approval of promotional materials.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of these expedited programs change the standards for approval but they may help expedite the development or approval process of product candidates. </w:t>
      </w:r>
    </w:p>
    <w:p>
      <w:pPr>
        <w:pStyle w:val="TextBody"/>
        <w:bidi w:val="0"/>
        <w:spacing w:before="240" w:after="283"/>
        <w:jc w:val="left"/>
        <w:rPr>
          <w:rFonts w:ascii="Times New Roman" w:hAnsi="Times New Roman"/>
          <w:sz w:val="20"/>
        </w:rPr>
      </w:pPr>
      <w:r>
        <w:rPr>
          <w:rFonts w:ascii="Times New Roman" w:hAnsi="Times New Roman"/>
          <w:i/>
          <w:color w:val="000000"/>
          <w:sz w:val="20"/>
        </w:rPr>
        <w:t>Post-approval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regulatory approval for marketing of a product or new indication for an existing product is obtained, the sponsor will be required to comply with all regular post-approval regulatory requirements as well as any post- approval requirements that the FDA have imposed as part of the approval process. The sponsor will be required to report certain adverse reactions and production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Manufacturers and other parties involved in the drug supply chain for prescription drug and biological products must also comply with product tracking and tracing requirements and for notifying the FDA of counterfeit, diverted, stolen and intentionally adulterated products or products that are otherwise unfit for distribution in the United States. Accordingly, the sponsor and its third-party manufacturers must continue to expend time, money and effort in the areas of production and quality control to maintain compliance with CGMP regulations and other regulatory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distribution or other restrictions under a REMS program. Other potential consequences include,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product, complete withdrawal of the product from the market or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warning letters or holds on post-approval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of the FDA to approve pending applications or supplements to approved applications, or suspension or revocation of product license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 seizure or detention, or refusal to permit the import or export of products;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Pharmaceutical products may be promoted only for the approved indications and in accordance with the provisions of the approved label. Although healthcare providers may prescribe products for uses not described in the drug’s labeling, known as off-label uses, in their professional medical judgment, drug manufacturers are prohibited from soliciting, encouraging or promoting unapproved uses of a product. Drug manufacturers may only share truthful and non-misleading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company is found to have promoted off-label uses, it may become subject to adverse public relations and administrative and judicial enforcement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 </w:t>
      </w:r>
    </w:p>
    <w:p>
      <w:pPr>
        <w:pStyle w:val="TextBody"/>
        <w:bidi w:val="0"/>
        <w:spacing w:before="240" w:after="283"/>
        <w:jc w:val="left"/>
        <w:rPr>
          <w:rFonts w:ascii="Times New Roman" w:hAnsi="Times New Roman"/>
          <w:sz w:val="20"/>
        </w:rPr>
      </w:pPr>
      <w:r>
        <w:rPr>
          <w:rFonts w:ascii="Times New Roman" w:hAnsi="Times New Roman"/>
          <w:i/>
          <w:color w:val="000000"/>
          <w:sz w:val="20"/>
        </w:rPr>
        <w:t>Biosimilars and exclusivity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2010 Patient Protection and Affordable Care Act, which was signed into law in March 2010, included a subtitle called the Biologics Price Competition and Innovation Act of 2009 (“BPCIA”). The BPCIA established a regulatory scheme authorizing the FDA to approve biosimilars and interchangeable biosimilars. A biosimilar is a biological product that is highly similar to an existing FDA-licensed “reference product”. The FDA has issued several guidance documents outlining an approach to review and approval of biosimilars. Additional guidance is expected to be finalized by the FDA in the near term.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BPCIA, a manufacturer may submit an application for licensure of a biological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Since the passage of the BPCIA, many states have passed laws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amendments to laws, including laws governing pharmacy practices, which are state-regulated, to regulate the use of biosimilars. </w:t>
      </w:r>
    </w:p>
    <w:p>
      <w:pPr>
        <w:pStyle w:val="TextBody"/>
        <w:bidi w:val="0"/>
        <w:spacing w:before="240" w:after="283"/>
        <w:jc w:val="left"/>
        <w:rPr>
          <w:rFonts w:ascii="Times New Roman" w:hAnsi="Times New Roman"/>
          <w:sz w:val="20"/>
        </w:rPr>
      </w:pPr>
      <w:r>
        <w:rPr>
          <w:rFonts w:ascii="Times New Roman" w:hAnsi="Times New Roman"/>
          <w:i/>
          <w:color w:val="000000"/>
          <w:sz w:val="20"/>
        </w:rPr>
        <w:t>Patent term restoration and extension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a patent claiming a new biological product, its method of use or its method of manufacture may be eligible for a limited patent term extension under the Hatch-Waxman Act, which permits a patent extension of up to five years for patent term lost during product development and FDA regulatory review. Assuming grant of the patent for which the extension is sought, the restoration period for a patent covering a product is typically one-half the time between the effective date of the IND and the submission date of the BLA, plus the time between the submission date of the BLA and the ultimate approval date. Patent term restoration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USPTO reviews and approves the application for any patent term extension in consultation with the FDA. </w:t>
      </w:r>
    </w:p>
    <w:p>
      <w:pPr>
        <w:pStyle w:val="TextBody"/>
        <w:bidi w:val="0"/>
        <w:spacing w:before="240" w:after="283"/>
        <w:jc w:val="left"/>
        <w:rPr>
          <w:rFonts w:ascii="Times New Roman" w:hAnsi="Times New Roman"/>
          <w:sz w:val="20"/>
        </w:rPr>
      </w:pPr>
      <w:r>
        <w:rPr>
          <w:rFonts w:ascii="Times New Roman" w:hAnsi="Times New Roman"/>
          <w:i/>
          <w:color w:val="000000"/>
          <w:sz w:val="20"/>
        </w:rPr>
        <w:t>Other U.S. healthcare laws and compliance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including physicians, and third-party payors play a primary role in the recommendation and prescription of any product candidates that we may develop for which we obtain marketing approval. Our current and future arrangements with third-party payors, healthcare providers and customers may implicate broadly applicable fraud and abuse and other healthcare laws and regulations. Restrictions under applicable federal and state healthcare laws and regulations, including certain laws and regulations applicable only if we have marketed products,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civil False Claims Act (“FCA”), prohibits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for each false claim and treble the amount of the government’s damages. Manufacturers can be held liable under the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prohibits, among other things, persons or entities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 The federal Anti-Kickback Statute has been interpreted to apply to arrangements between pharmaceutical manufacturers on the one hand and prescribers, purchasers, and formulary managers on the other. A person or entity does not need to have actual knowledge of the statute or specific intent to violate it in order to have committed a violation. A violation of the federal Anti-Kickback Statute can also form the basis for FCA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(“HIPAA”), which, in addition to privacy protections applicable to healthcare providers and other entities, prohibits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of 2009 (“HITECH”), and its implementing regulations, including the final omnibus rule published on January 25, 2013, imposes, among other things, certain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transmit, or obtain, protected health information in connection with providing a service for or on behalf of a covered entity, and their covered subcontractors.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laws that require pharmaceutical manufacturers to report certain calculated product prices to the government or provide certain discounts or rebates to government authorities or private entities, often as a condition of reimbursement under government healthcare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price transparency laws, including the provision commonly referred to as the Physician Payments Sunshine Act, and its implementing regulations, which requires applicable manufacturers of drugs, devices, biologics and medical supplies for which payment is available under Medicare, Medicaid or the Children’s Health Insurance Program to report annually to the Centers of Medicare &amp; Medicaid Services (“CMS”), information related to payments or other transfers of value made to physicians (defined to include doctors, dentists, optometrists, podiatrists and chiropractors), certain other licensed health care practitioners (such as physician assistants and nurse practitioners) and teaching hospitals, as well as ownership and investment interests held by the physicians described above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consumer protection and unfair competition laws, which broadly regulate marketplace activities and activities that potentially harm consumers;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anti-kickback, anti-bribery and false claims laws, which may apply to healthcare items or services that are reimbursed by non-governmental third-party payors, including private insurers.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providers, clinical trials and other activities, and/ or register their sales representatives, as well as to prohibit pharmacies and other healthcare entities from providing certain physician prescribing data to pharmaceutical companies for use in sales and marketing, and to prohibit certain other sales and marketing practices.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criminal and civil sanctions, including significant fines and civil monetary penalties, reputational risk, public reprimands, administrative penalties, exclusion from participation in governmental healthcare programs, disgorgement, or imprisonment. Similar sanctions and penalties, as well as imprisonment, also can be imposed upon executive officers and employees of such companies. </w:t>
      </w:r>
    </w:p>
    <w:p>
      <w:pPr>
        <w:pStyle w:val="TextBody"/>
        <w:bidi w:val="0"/>
        <w:spacing w:before="240" w:after="283"/>
        <w:jc w:val="left"/>
        <w:rPr>
          <w:rFonts w:ascii="Times New Roman" w:hAnsi="Times New Roman"/>
          <w:sz w:val="20"/>
        </w:rPr>
      </w:pPr>
      <w:r>
        <w:rPr>
          <w:rFonts w:ascii="Times New Roman" w:hAnsi="Times New Roman"/>
          <w:i/>
          <w:color w:val="000000"/>
          <w:sz w:val="20"/>
        </w:rPr>
        <w:t>Healthcare reform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and some foreign jurisdictions, there have been and continue to be ongoing efforts to implement legislative and regulatory changes regarding the healthcare system. Such changes could prevent or delay marketing approval of any product candidates that we may develop, restrict or regulate post-approval activities and affect our ability to profitably sell any product candidates for which we obtain marketing approval. Although we cannot predict what healthcare or other reform efforts will be successful, such efforts may result in more rigorous coverage criteria, in additional downward pressure on the price that we, or our future collaborators, may receive for any approved products or in other consequences that may adversely affect our ability to achieve or maintain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Within the United States, the federal government and individual states have aggressively pursued healthcare reform, as evidenced by the passing of the Patient Protection and Affordable Care Act of 2010, as amended by the Health Care and Reconciliation Act of 2010 (the “ACA”), and the ongoing efforts to modify or repeal that legislation. The ACA substantially changed the way healthcare is financed by both governmental and private insurers and contains a number of provisions that affect coverage and reimbursement of drug products and/or that could potentially reduce the demand for pharmaceutical products such as increasing drug rebates under state Medicaid programs for brand name prescription drugs and extending those rebates to Medicaid managed care and assessing a fee on manufacturers and importers of brand name prescription drugs reimbursed under certain government programs, including Medicare and Medicaid. Other aspects of healthcare reform, such as expanded government enforcement authority and heightened standards that could increase compliance-related costs, could also affect our business. Modifications have been implemented and additional modifications or repeal may occur.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2022, the Inflation Reduction Act of 2022 (“IRA”) was signed into law. The IRA contains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single-source high-cost biologics that have been on the market for at least 11 years without generic or biosimilar competition (the “Medicare Drug Price Negotiation Program”); require companies to pay rebates to Medicare for certain drug prices that increase faster than inflation; and delay until January 1, 2032 the implementation of the U.S. Department of Health and Human Services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rare disease designations or has multiple approved indications, it may not qualify for the orphan drug exemption. The IRA permits HHS to implement many of these provisions through guidance, as opposed to regulation, for the initial years. On August 15, 2024, HHS announced the agreed-upon price of the first ten drugs that were subject to price negotiations, although there is currently ongoing litigation challenging the constitutionality of the IRA’s Medicare Drug Price Negotiation Program. On January 17, 2025, HHS selected fifteen additional products covered under Part D for price negotiation in 2025. Each year thereafter more Part B and Part D products will become subject to the Medicare Drug Price Negotiation Program. Further,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pricing regulations, reforms of regulatory approval frameworks may adversely affect our pricing strategy. The current Trump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These actions may, for example, include directives to reduce agency workforce, rescinding a Biden administration executive order tasking the Center for Medicare and Medicaid Innovation (“CMMI”) to consider new payment and healthcare models to limit drug spending and eliminating the Biden administration’s executive order that directed HHS to establishing an AI task force and developing a strategic plan. Additionally, in its June 2024 decision in Loper Bright Enterprises v. Raimondo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European Union, similar political, economic and regulatory developments may affect our ability to profitably commercialize our potential product candidates. In markets outside of the United States and the European Union, reimbursement and healthcare payment systems vary significantly by country, and many countries have instituted price ceilings on specific products and therapies. 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any product candidates we may develop to other available therapies. If reimbursement of our products is unavailable or limited in scope or amount, or if pricing is set at unsatisfactory levels, our business could be harmed, possibly materially. </w:t>
      </w:r>
    </w:p>
    <w:p>
      <w:pPr>
        <w:pStyle w:val="TextBody"/>
        <w:bidi w:val="0"/>
        <w:spacing w:before="240" w:after="283"/>
        <w:jc w:val="left"/>
        <w:rPr>
          <w:rFonts w:ascii="Times New Roman" w:hAnsi="Times New Roman"/>
          <w:sz w:val="20"/>
        </w:rPr>
      </w:pPr>
      <w:r>
        <w:rPr>
          <w:rFonts w:ascii="Times New Roman" w:hAnsi="Times New Roman"/>
          <w:i/>
          <w:color w:val="000000"/>
          <w:sz w:val="20"/>
        </w:rPr>
        <w:t>Coverage and reimbursement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Coverage and reimbursement by a third-party payor may depend upon a number of factors, including the third-party payor’s determination that use of a product 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covered benefit under its health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safe, effective and medically necessary;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appropriate for the specific patient;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cost-effective;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neither experimental nor investigational.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there is no uniform policy of coverage and reimbursement for products that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 payor basis, with no assurance that coverage and adequate reimbursement will be obtained. The availability and adequacy of coverage and reimbursement by governmental healthcare programs such as Medicare and Medicaid, private health insurers and other third-party payors are essential for most patients to be able to afford our product candidates, if approved. Our ability to achieve acceptable levels of coverage and reimbursement for our product candidates, if approved, by governmental authorities, private health insurers and other organizations will have an effect on our ability to successfully commercialize, our product candidates. Assuming we obtain coverage for a given product by a third-party payor, the resulting reimbursement payment rates may not be adequate or may require patient out-of-pocket costs that patients find unacceptably high.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Further, coverage policies and third-party payor reimbursement rates may change. Even if favorable coverage and reimbursement status is attained, less favorable coverage policies and reimbursement rates may be implemented in the future. If coverage and adequate reimbursement are not available or reimbursement is available only to limited levels, we may not be able to successfully commercialize any product candidate for which we obtain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Regulation outside of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regulations in the United States, we will be required to comply with comparable regulations in each jurisdiction outside of the United States in which we choose to manufacture, develop or seek marketing authorization for our product candidates. </w:t>
      </w:r>
    </w:p>
    <w:p>
      <w:pPr>
        <w:pStyle w:val="TextBody"/>
        <w:bidi w:val="0"/>
        <w:spacing w:before="240" w:after="283"/>
        <w:jc w:val="left"/>
        <w:rPr>
          <w:rFonts w:ascii="Times New Roman" w:hAnsi="Times New Roman"/>
          <w:sz w:val="20"/>
        </w:rPr>
      </w:pPr>
      <w:r>
        <w:rPr>
          <w:rFonts w:ascii="Times New Roman" w:hAnsi="Times New Roman"/>
          <w:i/>
          <w:color w:val="000000"/>
          <w:sz w:val="20"/>
        </w:rPr>
        <w:t>European Union drug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Most countries outside of the United States require that clinical trial applications be submitted to and approved by the local regulatory authority for each clinical study. In the European Union, for example, an application must be submitted to the national competent authority and an independent ethics committee in each country in which we intend to conduct clinical trials, much like the FDA and IRB, respectively. Under the new Clinical Trials Regulation (EU) No 536/2014, which replaced the previous Clinical Trials Directive 2001/20/EC on January 31, 2022, a single application is now made through the Clinical Trials Information System for clinical trial authorization in up to 30 EU or European Economic Area (Norway, Iceland and Liechtenstein) (“EEA”) countries at the same time and with a single set of documentation.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European Union Member States in which an application for authorization of a clinical trial has been submitted (each, a “Member State Concerned”) of a draft report prepared by a Reference Member State. Part II is assessed separately by each Member State Concerned. The role of the relevant ethics committees in the assessment procedure continues to be governed by the national law of the Member State Concerned, however overall related timelines are defined by the Clinical Trials Regulation. The new Clinical Trials Regulation also provides for simplified reporting procedures for clinical trial sponsors. </w:t>
      </w:r>
    </w:p>
    <w:p>
      <w:pPr>
        <w:pStyle w:val="TextBody"/>
        <w:bidi w:val="0"/>
        <w:spacing w:before="240" w:after="283"/>
        <w:jc w:val="left"/>
        <w:rPr>
          <w:rFonts w:ascii="Times New Roman" w:hAnsi="Times New Roman"/>
          <w:sz w:val="20"/>
        </w:rPr>
      </w:pPr>
      <w:r>
        <w:rPr>
          <w:rFonts w:ascii="Times New Roman" w:hAnsi="Times New Roman"/>
          <w:i/>
          <w:color w:val="000000"/>
          <w:sz w:val="20"/>
        </w:rPr>
        <w:t>European Union drug review and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whether or not we obtain FDA approval for a product, we must obtain approval of a product by the comparable regulatory authorities of countries outside the United States before we can commence marketing of the product in those countries. The approval process and requirements vary from country to country, so the number and type of nonclinical, clinical, and manufacturing studies needed may differ, and the time may be longer or shorter than that required for FDA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obtain regulatory approval for our medicinal product candidates in the European Union, a marketing authorization application (“MAA”) needs to be submitted. There are a number of potential routes open to obtain a marketing authorization (“MA”) in the European Union. A centralized MA is issued by the European Commission through the centralized procedure, based on the opinion of the Committee for Medicinal Products for Human Use (“CHMP”) of the EMA, and is valid throughout the European Union, and in the additional Member States of the EEA. The centralized procedure is compulsory for medicinal products manufactured using biotechnological processes, orphan medicinal products, advanced therapy medicinal products (gene-therapy, somatic cell-therapy or tissue-engineered medicines) and products containing a new active substance which is not yet authorized in the European Union and which is intended for the treatment of HIV, AIDS, cancer, neurodegenerative disorders, auto-immune and other immune dysfunctions, viral diseases or diabetes. The centralized procedure is optional for any other products containing new active substances not authorized in the European Union or for products which constitute a significant therapeutic, scientific, or technical innovation or for which a centralized authorization is in the interests of patients at European Union level.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National MAs are issued by the competent authorities of the EU Member States and only cover their respective territory. This procedure is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Member State in which the MA is sought, one of which is selected by the applicant as the Reference Member State.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centralized procedure the maximum timeframe for the evaluation of an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an MAA under the accelerated assessment procedure is 150 days, excluding clock stops, but it is possible that the CHMP may revert to the standard time limit for the centralized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procedure if it determines that the application is no longer appropriate to conduct an accelerated assessment. MAs in the European Union have an initial duration of five years. After these five years, the authorization may be renewed for an unlimited period on the basis of a re-evaluation of the risk-benefit balance. </w:t>
      </w:r>
    </w:p>
    <w:p>
      <w:pPr>
        <w:pStyle w:val="TextBody"/>
        <w:bidi w:val="0"/>
        <w:spacing w:before="240" w:after="283"/>
        <w:jc w:val="left"/>
        <w:rPr>
          <w:rFonts w:ascii="Times New Roman" w:hAnsi="Times New Roman"/>
          <w:sz w:val="20"/>
        </w:rPr>
      </w:pPr>
      <w:r>
        <w:rPr>
          <w:rFonts w:ascii="Times New Roman" w:hAnsi="Times New Roman"/>
          <w:i/>
          <w:color w:val="000000"/>
          <w:sz w:val="20"/>
        </w:rPr>
        <w:t>Data protection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European Economic Area (“EEA”), the collection and processing of personal data, including personal health data is regulated by the General Data Protection Regulation (EU) 2016/679 (“GDPR”). Similarly, in the United Kingdom, the collection and processing of personal data, including personal health data is regulated by the UK General Data Protection Regulation and the UK Data Protection Act 2018 (“UK GDPR” and together with the EU GDPR, referred to as “GDPR”). The GDPR has extra-territorial application and applies not only to organizations with a presence in the EEA and the UK but also to non-EEA/UK based businesses that carry out processing that is related to (i) an offer of goods or services to individuals in the EEA/UK or (ii) the monitoring of their behavior so long as this takes place in the EEA/UK, even if the data is stored outside the EEA/UK. The GDPR imposes obligations on businesses (including companies that operate in our industry) with respect to the processing of personal data and the cross-border transfer of such data. We will be subject to the GDPR to the extent we process the personal data of individuals based in the EEA/UK. </w:t>
      </w:r>
    </w:p>
    <w:p>
      <w:pPr>
        <w:pStyle w:val="TextBody"/>
        <w:bidi w:val="0"/>
        <w:spacing w:before="240" w:after="283"/>
        <w:jc w:val="left"/>
        <w:rPr>
          <w:rFonts w:ascii="Times New Roman" w:hAnsi="Times New Roman"/>
          <w:sz w:val="20"/>
        </w:rPr>
      </w:pPr>
      <w:r>
        <w:rPr>
          <w:rFonts w:ascii="Times New Roman" w:hAnsi="Times New Roman"/>
          <w:b/>
          <w:color w:val="000000"/>
          <w:sz w:val="20"/>
        </w:rPr>
        <w:t>Employees and Human Capital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2024, we had 51 full-time employees, 41 of whom were primarily engaged in research and development activities, and 22 of our employees had an M.D. or Ph.D. degree. None of our employees are represented by a labor union and we consider our employee relations to be good.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is listed on The Nasdaq Global Market under the symbol “TECX”.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were incorporated under the laws of the State of Delaware in November 2015. Legacy Tectonic was incorporated under the laws of the State of Delaware in June 2019. Following the Merger with Tectonic Operating Company, Inc. (formerly Tectonic Therapeutic, Inc.) on June 20, 2024, we changed our name from AVROBIO, Inc. to Tectonic Therapeutic, Inc. Our principal executive office is located at 490 Arsenal Way, Suite 210, Watertown, Massachusetts 02472, and our telephone number is (339) 666-3320.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headquarters consist of approximately 19,000 square feet of leased research laboratory and office space under a lease that expires in January 2026. We believe that our facilities are adequate to meet our current needs.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website is www.tectonictx.com. We may use our website to comply with disclosure obligations under Regulation FD. Therefore, investors should monitor our website in addition to following its press releases, filings with the SEC, public conference calls, and webcasts. The contents of our website are not intended to be incorporated by reference into this Annual Report on Form 10-K or in any other report or document we file with the SEC, and any references to our websites are intended to be inactive textual references only.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bookmarkStart w:id="4" w:name="item1a_risk_factors"/>
      <w:bookmarkEnd w:id="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in the Company's common stock involves a high degree of risk. Careful consideration should be given to the following risk factors, in addition to the other information set forth in this Annual Report on Form 10-K and in other documents that were filed and will be filed with the SEC, in evaluating the Company and its business. Additional risks and uncertainties not presently known to or that are currently seen as immaterial may also harm Company's business. If any of these risks occur, business, growth prospects, operating results and financial condition could be materially and adversely affected, the trading price of the Company's common stock could decline, and investors could lose part or all of their investment.</w:t>
      </w:r>
      <w:r>
        <w:rPr>
          <w:rFonts w:ascii="Times New Roman" w:hAnsi="Times New Roman"/>
          <w:color w:val="000000"/>
          <w:sz w:val="24"/>
        </w:rPr>
        <w:br/>
      </w:r>
      <w:r>
        <w:rPr>
          <w:rFonts w:ascii="Times New Roman" w:hAnsi="Times New Roman"/>
          <w:color w:val="000000"/>
          <w:sz w:val="20"/>
        </w:rPr>
        <w:t> </w:t>
      </w:r>
    </w:p>
    <w:p>
      <w:pPr>
        <w:pStyle w:val="TextBody"/>
        <w:bidi w:val="0"/>
        <w:spacing w:before="120" w:after="283"/>
        <w:jc w:val="left"/>
        <w:rPr>
          <w:rFonts w:ascii="Times New Roman" w:hAnsi="Times New Roman"/>
          <w:sz w:val="20"/>
        </w:rPr>
      </w:pPr>
      <w:r>
        <w:rPr>
          <w:rFonts w:ascii="Times New Roman" w:hAnsi="Times New Roman"/>
          <w:b/>
          <w:color w:val="000000"/>
          <w:sz w:val="20"/>
        </w:rPr>
        <w:t>Risk Factor Summary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factors summarized below could materially and adversely affect our business, financial condition, operating results and prospects, and/or cause the price of our common stock to decline. These risks are discussed more fully below. Material risks that may affect our business, financial condition, results of operations, and trading price of our common stock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limited operating history, have incurred net losses in every year since our inception, and expect to continue to incur net losses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We have limited experience in therapeutic discovery and development and our GEODe</w:t>
      </w:r>
      <w:r>
        <w:rPr>
          <w:rFonts w:ascii="Times New Roman" w:hAnsi="Times New Roman"/>
          <w:color w:val="000000"/>
          <w:sz w:val="10"/>
        </w:rPr>
        <w:t></w:t>
      </w:r>
      <w:r>
        <w:rPr>
          <w:color w:val="000000"/>
        </w:rPr>
        <w:t xml:space="preserve"> </w:t>
      </w:r>
      <w:r>
        <w:rPr>
          <w:rFonts w:ascii="Times New Roman" w:hAnsi="Times New Roman"/>
          <w:color w:val="000000"/>
          <w:sz w:val="20"/>
        </w:rPr>
        <w:t xml:space="preserve">platform may never result in the regulatory approval of a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of our product candidates are in discovery, preclinical or early clinical development. Clinical trials are difficult to design and implement, and they involve a lengthy and expensive process with uncertain outcomes. We may experience delays in completing, or ultimately be unable to complete, the development and commercialization of TX45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clinical trials may fail to demonstrate substantial evidence of the safety, efficacy, purity and potency of our product candidates or any future product candidates, which would prevent or delay or limit the scope of regulatory approval and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successfully commercialize any product candidate for which we receive regulatory approval, or experience significant delays in doing so, our business will be materially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part on our ability to protect our intellectual property. It is difficult and costly to protect our proprietary rights and technology, and we may not be able to ensure their protection.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intellectual property licensed from third parties and termination of any of these licenses could result in the loss of significant rights, which would harm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expect to rely in the future on the use of manufacturing suites in third-party facilities or on third parties to manufacture TX45 and any other product candidates, and we may rely on third parties to produce and process our products,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could be adversely affected if we are unable to use third-party manufacturing suites or if the third-party manufacturers encounter difficulties in production.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from other biotechnology and pharmaceutical companies, and our operating results will suffer if we fail to compete effectively.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is expected to be volatile, and the market price of the common stock may drop.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attract and retain management and other key personnel, we may be unable to continue to successfully develop or commercialize our product candidates or otherwise implement our business plan.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Financial Position and Cash Needs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a limited operating history and have incurred net losses in every year since our inception. We expect to continue to incur net losses in the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biotechnology company with a limited operating history. Since our inception in 2019, we have invested most of our resources in organizing and staffing our company, developing our technology and product candidates, building our intellectual property portfolio, conducting business planning, raising capital and providing general and administrative support for these operations. We also completed the Merger in June 2024 and have been operating under this structure for only a short time.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We continue to incur significant research and clinical development and other expenses related to our ongoing operations. As a result, we are not profitable and have incurred losses in each period since our inception. For the years ended December 31, 2024 and 2023, we reported a net loss of $58.0 million and $42.8 million, respectively. As of December 31, 2024, we had an accumulated deficit of $148.6 million. We expect to continue to incur significant losses for the foreseeable future, and expect these losses to increase as we continue our research and development of, and seek regulatory approvals for, our lead product candidate, TX45, along with any future product candidates we may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the research and development of our clinical- and preclinical-stage product candidates and discovery-stage programs, including the continued development of our lead product candidate TX45;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 the amount of research and development activities to identify and develop product candidates using our proprietary discovery approach;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milestone, royalty or other payments under in-license or collaboration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and protect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 our operational, financial and management systems and increase personnel, including personnel to support our clinical development, manufacturing and commercialization efforts and our operations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sales, marketing, medical affairs and distribution infrastructure to commercialize any products for which we may obtain marketing approval and intend to commercialize on our own or jointly with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 in or in-license other technologies;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any delays or encounter any issues with any of the above, including but not limited to failed studies, complex results, manufacturing challenges, safety issues or other regulatory challenges.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become and remain profitable, we, our collaborators and any potential future collaborators must develop and eventually commercialize products with significant market potential. This will require us to be successful in a range of challenging activities, including completing preclinical studies and clinical trials, producing biologics with contract manufacturing development organizations (“CDMOs”) in the United States and in other countries,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the company and could impair our ability to raise capital, maintain our research and development efforts, expand our business or continue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succeed in commercializing one or more of our product candidates, we will continue to incur substantial research and development and other expenditures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financed our operations primarily through the sale and issuance of common stock, convertible preferred stock, convertible promissory notes and the issuance of SAFEs. We expect our expenses to increase in connection with our ongoing activities, particularly as we continue our Phase 1b and Phase 2 clinical trials of TX45, pursue manufacturing activities for our HHT product candidate, TX2100, and initiate health authority and/or IND enabling safety studies and continue to research, develop and initiate clinical trials of any other future product candidates. In addition, if we successfully complete development through Phase 3 and obtain regulatory approval for any of our product candidates, we expect to incur significant commercialization expenses related to product manufacturing, marketing, sales and distribution. Accordingly, we will need to obtain substantial additional funding in connection with our continuing operations. If we are unable to raise capital when needed or on attractive terms, we could be forced to delay, reduce or eliminate our product development programs or any future commercialization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2024, we had $141.2 million in cash and cash equivalents. Although we believe that our available cash and cash equivalents will be sufficient to fund our planned operations for at least 12 months following the date of our consolidated financial statements included in this Annual Report on Form 10-K, this belief is based on assumptions that may prove to be wrong, and we could use our available capital resources sooner than we currently expect.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capital requirements for TX45 or our preclinical programs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timing and completion of preclinical studies and clinical trials for our current or any future product candidates, as well as the associated costs, including any unforeseen costs we may incur as a result of preclinical study or clinical trial delays due to disease outbreaks, epidemics and pandemics or other causes;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amount of milestone and royalty payments we are required to make or are eligible to receive under our license agreements with Harvard and other license agreements, as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potential new product candidates we identify and decide to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for additional or expanded pre-clinical studies and clinical trials beyond those that we plan to conduct with respect to our current and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growing the organization to the size needed to allow for the research, development and potential commercialization of our current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filing patent applications, maintaining and enforcing patents or defending against infringement or other claims raised by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maintenance of our existing license and collaboration agreements and the entry into new license and collaboration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and costs involved in obtaining regulatory approval for our product candidates and any delays we may encounter as a result of evolving regulatory requirements or adverse results with respect to any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completion of commercial-scale outsourced manufacturing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establishing sales, marketing and distribution capabilities for any product candidates for which we may receive regulatory approval in regions where we choose to commercialize our products on our 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of revenues, if any, we may derive either directly or in the form of royalty payments from future sales of our product candidates, if approved;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acceptance of any approved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or royalty financings, collaborations, strategic alliances, licensing arrangements and other marketing or distribution arrangements.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raise additional funds will depend on financial, economic and market conditions and other factors, over which we may have no or limited control. Market volatility resulting from geopolitical and economic instability,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including the conflicts between Russia and Ukraine and in the Middle East or other factors could also adversely impact our ability to access capital as and when needed.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w:t>
      </w:r>
    </w:p>
    <w:p>
      <w:pPr>
        <w:pStyle w:val="TextBody"/>
        <w:bidi w:val="0"/>
        <w:spacing w:before="240" w:after="283"/>
        <w:jc w:val="left"/>
        <w:rPr>
          <w:rFonts w:ascii="Times New Roman" w:hAnsi="Times New Roman"/>
          <w:sz w:val="20"/>
        </w:rPr>
      </w:pPr>
      <w:r>
        <w:rPr>
          <w:rFonts w:ascii="Times New Roman" w:hAnsi="Times New Roman"/>
          <w:b/>
          <w:i/>
          <w:color w:val="000000"/>
          <w:sz w:val="20"/>
        </w:rPr>
        <w:t>Raising additional capital will cause dilution to our stockholders, and may restrict our operations, or require us to relinquish rights to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 we expect to finance our cash needs through equity, debt or royalty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the ownership interest of our current stockholders will be diluted, and the terms of these securities may include liquidation or other preferences. Debt and equity financings, if available, may involve agreements that include covenants limiting or restricting our ability to take specific actions, such as redeeming shares, making investments, incurring additional debt, making capital expenditures, declaring dividends or placing limitations on our ability to acquire, sell or license intellectual property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raise additional capital through future collaborations, strategic alliances, or third-party licensing arrangements, we may have to relinquish certain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clinical development or future commercialization efforts, or grant rights to develop and market product candidates that we would otherwise develop and market ourselves.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the Discovery, Development and Regulatory Approval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limited experience in therapeutic discovery and development and our GEODe</w:t>
      </w:r>
      <w:r>
        <w:rPr>
          <w:rFonts w:ascii="Times New Roman" w:hAnsi="Times New Roman"/>
          <w:b/>
          <w:i/>
          <w:color w:val="000000"/>
          <w:sz w:val="10"/>
        </w:rPr>
        <w:t xml:space="preserve"> </w:t>
      </w:r>
      <w:r>
        <w:rPr>
          <w:rFonts w:ascii="Times New Roman" w:hAnsi="Times New Roman"/>
          <w:b/>
          <w:i/>
          <w:color w:val="000000"/>
          <w:sz w:val="20"/>
        </w:rPr>
        <w:t>platform may never result in the regulatory approval of a product candidate.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Notwithstanding the prior experience of individuals on our management team in drug discovery and development, we are still a relatively young organization that has not yet completed the full cycle of activities from discovery through regulatory approval for any of our portfolio projects. Our GEODe</w:t>
      </w:r>
      <w:r>
        <w:rPr>
          <w:rFonts w:ascii="Times New Roman" w:hAnsi="Times New Roman"/>
          <w:color w:val="000000"/>
          <w:sz w:val="10"/>
        </w:rPr>
        <w:t></w:t>
      </w:r>
      <w:r>
        <w:rPr>
          <w:rFonts w:ascii="Times New Roman" w:hAnsi="Times New Roman"/>
          <w:color w:val="000000"/>
          <w:sz w:val="20"/>
        </w:rPr>
        <w:t xml:space="preserve"> discovery platform has been the focus of technology development efforts over the last four years and is in the early stages of being applied to novel therapeutic target opportunities. There is no guarantee the platform’s capabilities or its application to targets of interest will lead to therapeutic product candidates that can be successfully developed through different stages of clinical trials and registered for marketing as therapeutic drugs in the United States or any other territory. </w:t>
      </w:r>
    </w:p>
    <w:p>
      <w:pPr>
        <w:pStyle w:val="TextBody"/>
        <w:bidi w:val="0"/>
        <w:spacing w:before="240" w:after="283"/>
        <w:jc w:val="left"/>
        <w:rPr>
          <w:rFonts w:ascii="Times New Roman" w:hAnsi="Times New Roman"/>
          <w:sz w:val="20"/>
        </w:rPr>
      </w:pPr>
      <w:r>
        <w:rPr>
          <w:rFonts w:ascii="Times New Roman" w:hAnsi="Times New Roman"/>
          <w:b/>
          <w:i/>
          <w:color w:val="000000"/>
          <w:sz w:val="20"/>
        </w:rPr>
        <w:t>We are very early in our development efforts. If we are unable to advance TX45 or any of our other product candidates through clinical development, obtain regulatory approval and ultimately commercialize TX45 or any of our other product candidates,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products approved for sale and our lead product candidate, TX45, will require clinical development, regulatory review and approval in each jurisdiction in which we intend to market it, access to sufficient commercial manufacturing capacity, and significant sales and marketing efforts before we can generate any revenue from product sales.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our product candidates, we must conduct extensive clinical trials to demonstrate the safety and efficacy of the product candidates in humans. We are early in our product candidate development efforts, as TX45 is still in a Phase 1b clinical trial and recently initiated a Phase 2 clinical trial.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product revenues, which we do not expect will occur in the foreseeable future, if ever, will depend heavily on the successful development and eventual commercialization of TX45, TX2100, and any future product candidates we develop, which may never occur. TX45 and any future product candidates we develop will require additional preclinical and clinical development, management of clinical, preclinical and manufacturing activities, marketing approval in the United States and other jurisdictions for specific indications for use, demonstrating effectiveness to pricing and reimbursement authorities, obtaining sufficient manufacturing supply for both clinical development and commercial production, building of a commercial organization and substantial investment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marketing efforts before we generate any revenues from product sales. The success of our current and future product candidates will depend on several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and timely completion of preclinical studies and clinical trials for which the FDA, or any comparable foreign regulatory authority agree with the design, endpoints or implementation;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sufficiency of our financial and other resources to complete the necessary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receiving regulatory approvals or authorizations for conducting our planned clinical trials or future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and successful patient enrollment in, and completion of, additional clinical trials on a timely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demonstrate to the satisfaction of the FDA or any comparable foreign regulatory authority that the applicable product candidate is safe, pure, and potent for its targeted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demonstrate to the satisfaction of the FDA or any comparable foreign regulatory authority that the applicable product candidate’s risk-benefit ratio for its proposed indication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timely receipt of marketing approvals for our product candidates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of any required post-marketing approval commitments to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scaling up, either alone or with third-party manufacturers, manufacturing capabilities of clinical supply for our clinical trials and commercial manufacturing, if any of our product candidates are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patent and proprietary information protection or regulatory exclusivity for our product candidates, both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scaling a sales and marketing organization and launching commercial sales of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our product candidates’ benefits and uses, if approved,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of our product candidates following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companies developing and commercializing other therapies in the indications which our product candidates target;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healthcare coverage and adequate reimbursement from third-party payors;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and defending intellectual property rights and claims.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successful with respect to one or more of these factors in a timely manner or at all, we could experience significant delays or an inability to successfully commercialize TX45 or any future product candidates we develop, which would materially harm our business. If we do not receive marketing approvals for our current and future product candidates, we may not be able to continue our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All of our product candidates are in discovery, preclinical or Phase 1 and Phase 2 clinical trials. Clinical trials are difficult to design and implement, and they involve a lengthy and expensive process with uncertain outcomes. We may experience delays in completing, or ultimately be unable to complete, the development and commercialization of TX45 or any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testing is expensive and can take many years to complete, and its outcome is inherently uncertain. Failure can occur at any time during the clinical trial process and our future clinical trial results may not be successful. We cannot guarantee that any of our ongoing and planned clinical trials will be conducted as planned or completed on schedule, if at all. Moreover, even if these trials are initiated or conducted on a timely basis, issues may arise that could result in the suspension or termination of such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completed only one clinical trial (Phase 1a trial in normal healthy volunteer with TX45) required for the approval of any of our product candidates. Enrollment in Part A of our TX45 Phase1b trial in patients with Group 2 PH and HFpEF is complete and we are currently conducting a Part B trial in Group 2 PH patients with HFrEF. We are enrolling a TX45 Phase 2 clinical trial in Group 2 PH patients with HFpEF, and we may experience delays in our ongoing clinical trials or preclinical studies. Additionally, we do not know whether planned clinical trials will begin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 need to be redesigned, enroll patients on time, have sufficient drug supply for our product candidates on a timely basis or be completed on schedule, if at all. Furthermore, our product candidate TX2100 is still in preclinical studies and the full results of such studies are not yet known. A failure of one or more clinical trials can occur at any stage of testing, and our ongoing and future clinical trials may not be successful. We also may experience numerous unforeseen events during our clinical trials that could delay or prevent our ability to receive marketing approval or commercialize TX45 or any future product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obtain regulatory authorizations to commence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as to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reach agreement on acceptable terms with prospective CROs and clinical trial sites, the terms of which can be subject to extensive negotiation and may vary significantly among different CROs and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obtain institutional review board (“IRB”) approval at each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recruit a sufficient number of suitable patients to participate in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have patients complete a trial or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sites deviating from trial protocol or dropping out of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adding new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manufacture sufficient quantities of our product candidates for use in clinical trials in a timely manner;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adverse events associated with the product candidate that are viewed to outweigh its potential benefits, such as complications with pharmacokinetic behaviors, or safety or tolerability concerns that could cause us or our collaborators, as applicable, to suspend or terminate a trial if we or our collaborators find that the participants are being exposed to unacceptable health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perform clinical trials in accordance with the FDA’s or any other regulatory authority’s good clinical practices (“GCP”) requirements, or regulatory guidelines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demonstrate to the satisfaction of the FDA or any comparable foreign regulatory authority that the applicable product candidate’s risk-benefit ratio for its proposed indication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policies and guidelines;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our third-party research contractors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establishing the appropriate dosage levels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quality or stability of our product candidates falling below acceptable standards;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natural disasters, political, geopolitical and economic instability, including political unrest or unstable economic conditions in China, the war between Russia and Ukraine, the conflict in the Middle East, terrorism, political turmoil, disease outbreaks, epidemics and pandemics.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could also encounter delays if a clinical trial is suspended or terminated by us, the IRBs of the institutions in which such trials are being conducted, or the FDA or comparable foreign regulatory authorities, or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 </w:t>
      </w:r>
    </w:p>
    <w:p>
      <w:pPr>
        <w:pStyle w:val="TextBody"/>
        <w:bidi w:val="0"/>
        <w:spacing w:before="240" w:after="283"/>
        <w:jc w:val="left"/>
        <w:rPr>
          <w:rFonts w:ascii="Times New Roman" w:hAnsi="Times New Roman"/>
          <w:sz w:val="20"/>
        </w:rPr>
      </w:pPr>
      <w:r>
        <w:rPr>
          <w:rFonts w:ascii="Times New Roman" w:hAnsi="Times New Roman"/>
          <w:b/>
          <w:i/>
          <w:color w:val="000000"/>
          <w:sz w:val="20"/>
        </w:rPr>
        <w:t>Our clinical trials may fail to demonstrate substantial evidence of the safety, efficacy, purity and potency of our product candidates or any future product candidates, which would prevent or delay or limit the scope of regulatory approval and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obtain the requisite regulatory approvals to market and sell any of our product candidates, including TX45 and any other future product candidates, we must demonstrate through extensive preclinical studies and clinical trials that our biologic products, including TX45, are safe and effective for use in each targeted indication. 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We may be unable to establish clinical endpoints that applicable regulatory authorities would consider clinically meaningful, and a clinical trial can fail at any stage of testing. Further, the process of obtaining regulatory approval is expensive, often takes many years following the commencement of clinical trials and can vary substantially based upon the type, complexity and novelty of the product candidates involved, as well as the target indications, patient population and regulatory agency. Prior to obtaining approval to commercialize TX45 and any future product candidates in the United States or abroad, we, our collaborators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that we conduct may not demonstrate the efficacy and safety necessary to obtain regulatory approval to market our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If the results of our ongoing or future clinical trials are inconclusive with respect to the efficacy of our product candidates, if we do not meet the clinical endpoints with statistical and clinically meaningful significance, or if there are safety concerns associated with our product candidates, we may be delayed in obtaining marketing approval, if at all. Additionally, any safety concerns observed in any one of our clinical trials in our targeted indications could limit the prospects for regulatory approval of our product candidates in those and other indications.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the trials are successfully completed, clinical data are often susceptible to varying interpretations and analyses or may not provide a sufficient risk-benefit ratio, and we cannot guarantee that the FDA or comparable foreign regulatory authorities will interpret the results as we do or find a risk-benefit ratio for a proposed indication acceptable, and more trials could be required before we submit our product candidates for approval. We cannot guarantee that the FDA or comparable foreign regulatory authorities will view our product candidates as having efficacy even if positive results are observed in clinical trials.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approval of TX45 and any future product candidates may be significantly delayed, or we may be required to expend significant additional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our commercial potential. </w:t>
      </w:r>
    </w:p>
    <w:p>
      <w:pPr>
        <w:pStyle w:val="TextBody"/>
        <w:bidi w:val="0"/>
        <w:spacing w:before="240" w:after="283"/>
        <w:jc w:val="left"/>
        <w:rPr>
          <w:rFonts w:ascii="Times New Roman" w:hAnsi="Times New Roman"/>
          <w:sz w:val="20"/>
        </w:rPr>
      </w:pPr>
      <w:r>
        <w:rPr>
          <w:rFonts w:ascii="Times New Roman" w:hAnsi="Times New Roman"/>
          <w:b/>
          <w:i/>
          <w:color w:val="000000"/>
          <w:sz w:val="20"/>
        </w:rPr>
        <w:t>The results of preclinical studies and early-stage clinical trials of our product candidates may not be predictive of the results of later-stage clinical trials. Initial success in our ongoing clinical trials may not be indicative of results obtained when these trials are completed or in later-stage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nonclinical, preclinical and early-stage clinical trials may not be predictive of the results of later-stage clinical trials. Product candidates in later stages of clinical trials may fail to show the desired safety and efficacy traits despite having progressed through preclinical studies and initial clinical trials. Furthermore, there can be no assurance that any of our clinical trials will ultimately be successful or support further clinical development of any of our product candidates. There is a high failure rate for product candidates proceeding through clinical trials. Many companies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biotechnology and pharmaceutical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Any such setbacks in our clinical development could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 candidates may be associated with serious adverse, undesirable or unacceptable side effects or other properties or safety risks, which may delay or halt their clinical development, or prevent marketing approval. If such side effects are identified during the development of our product candidates or following approval, we may suspend or abandon our development of such product candidates, the commercial profile of any approved label may be limited, or we may be subject to other significant negative consequences following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Undesirable side effects that may be caused by our product candidates could cause us or regulatory authorities to interrupt, delay or halt clinical trials and could result in a more restrictive label or the delay or denial of regulatory approval by the FDA or comparable foreign regulatory authorities. While our lead product candidate, TX45, has been generally well tolerated in its preclinical studies, the Phase 1a healthy volunteer trial and our Phase 1b study in patients with Group 2 PH to date, the results from future preclinical studies and clinical trials, including of our other product candidates, may identify safety concerns or other undesirable properties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results of our ongoing Phase 1b clinical trial of TX45, the recently initiated Phase 2 clinical trial of TX45, and future clinical trials of these and other product candidates may show that our product candidates cause undesirable or unacceptable side effects or even death.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results of operations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if our product candidates are associated with undesirable side effects in preclinical studies or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adverse developments in clinical trials of pharmaceutical and biopharmaceutical products conducted by others may cause the FDA or other regulatory oversight bodies to suspend or terminate our clinical trials or to change the requirements for approval of any of our product candidates. For example, immunogenicity is a concern for all protein therapeutics in human clinical trials, and immunogenic reactions in patients in our trials may lead to adverse effects and/or impact exposure, which in turn may lead to protocol amendments, clinical holds, or other actions that delay or significantly impact the prospects for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any of our product candidates receive marketing approval and we or others later identify undesirable or unacceptable side effects caused by such products, a number of potentially significant negative consequences could result,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approvals of such product and require us to take such approved product off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specific warnings, a contraindication or field alerts to physicians and pharmacies;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a medication guide outlining the risks of such side effects for distribution to patients, or that we implement a risk evaluation and mitigation strategy (“REMS”) plan to ensure that the benefits of the product outweigh its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the product is administered, conduct additional clinical trials or change the labeling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limitations on how we may promote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the product may decrease significantly;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litigation or product liability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 candidates, if approved.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find it difficult to enroll patients in our clinical trials, which could delay or prevent us from proceeding with, or otherwise adversely affect, clinical trials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and qualifying patients to participate in clinical trials of our product candidates is critical to our success. The timely completion of our clinical trials in accordance with our protocols depends, among other things, on our ability to recruit a sufficient number of eligible patients to participate and remain in the trial until its conclusion. Patients may be unwilling to participate in our clinical trials because of negative publicity from adverse events related to novel therapeutic approaches, competitive clinical trials for similar patient populations, the existence of current treatments or for other reasons. Any delays related to patient enrollment could result in increased costs, delays in advancing our product candidates, delays in testing the effectiveness of our product candidates or termination of the clinical trials altogether. We may not be able to identify, recruit and enroll a sufficient number of patients, or those with the required or desired characteristics, to complete our clinical trials in a timely manner. Patient enrollment and trial completion is affected by many factors, including the: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location of trial sites in Moldova and Georgia for the Phase 1b trial and Phase II with its proximity to the conflict between Russia and the Ukraine;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obtaining, or the inability to obtain, required approvals from institutional review boards (“IRBs”) and ethics committees or other governing entities at clinical trial sites selected for participation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agreement on acceptable terms with clinical trial sites on clinical budgets and/or clinical trial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deviations from the trial protocol by clinical trial sites and investigators, or failures to conduct the trial in accordance with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size and nature of the patient population and process for identifying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proximity and availability of clinical trial sites for prospective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eligibility and exclusion criteria for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 of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safety profile, to date, of the product candidate under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our approach;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of competing product candidates currently under investigation for the treatment of similar diseases or conditions, or competing clinical trials for similar product candidates or targeting patient populations meeting our patient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severity of the disease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degree of progression of the patient’s disease at the time of enrollment;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obtain and maintain patient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that enrolled patients will drop out before completion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referral practices of physicians;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adequately monitor patients during and after treatment.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clinical trials will compete with other clinical trials for product candidates that are in the same therapeutic areas as our product candidates, and this competition will reduce the number and types of patients available to us, because some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patient enrollment may result in increased costs or may affect the timing or outcome of our future clinical trials, which could prevent completion of these trials and adversely affect our ability to advance the development of our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publish interim, topline or preliminary data from our clinical trials. Preliminary and interim data from our clinical trials may change as more patient data become available. Preliminary or interim data from our clinical trials are not necessarily predictive of final results. Preliminary and interim data are subject to the risk that one or more of the clinical outcomes may materially change as patient enrollment continues, more patient data become available and we issue our final clinical trial report. Interim, topline and preliminary data also remain subject to audit and verification procedures that may result in the final data being materially different from the preliminary data we previously published. As a result, preliminary, topline and interim data should be viewed with caution until the final data are available. Material adverse changes in the final data compared to the interim data could significantly harm our business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if any, and the company in general. In addition, the information we choose to publicly disclose regarding a particular preclinical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if any, product candidate or our business. If the preliminary and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bidi w:val="0"/>
        <w:spacing w:before="240" w:after="283"/>
        <w:jc w:val="left"/>
        <w:rPr>
          <w:rFonts w:ascii="Times New Roman" w:hAnsi="Times New Roman"/>
          <w:sz w:val="20"/>
        </w:rPr>
      </w:pPr>
      <w:r>
        <w:rPr>
          <w:rFonts w:ascii="Times New Roman" w:hAnsi="Times New Roman"/>
          <w:b/>
          <w:i/>
          <w:color w:val="000000"/>
          <w:sz w:val="20"/>
        </w:rPr>
        <w:t>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we can commence clinical trials for any product candidate, we must complete extensive preclinical studies that support any future Investigational New Drug (“IND”) applications in the United States, or similar applications in other jurisdictions. In July 2024, we received clearance from the FDA for our IND application for our TX45 program. Conducting preclinical testing is a lengthy, time-consuming and expensive process and delays associated with product candidates for which we are directly conducting preclinical testing and studies may cause us to incur additional operating expenses. While we are currently conducting a Phase 1b and the recently initiated Phase 2 clinical trials for TX45, including some trials which may be outside of the United States, we cannot be certain of the timely completion or outcome of our preclinical testing and studies for our other product candidates and cannot predict if the FDA will accept our proposed clinical programs or if the outcome of our preclinical testing and foreign clinical trials will ultimately support the further development of our other product candidates. As a result, we cannot be sure that we will be able to submit INDs or similar applications for our preclinical programs on the timelines we expect, if at all, and we cannot be sure that submission of INDs or similar applications will result in the FDA or comparable foreign regulatory authorities allowing clinical trials to begin.</w:t>
      </w:r>
    </w:p>
    <w:p>
      <w:pPr>
        <w:pStyle w:val="TextBody"/>
        <w:bidi w:val="0"/>
        <w:spacing w:before="240" w:after="283"/>
        <w:jc w:val="left"/>
        <w:rPr>
          <w:rFonts w:ascii="Times New Roman" w:hAnsi="Times New Roman"/>
          <w:sz w:val="20"/>
        </w:rPr>
      </w:pPr>
      <w:r>
        <w:rPr>
          <w:rFonts w:ascii="Times New Roman" w:hAnsi="Times New Roman"/>
          <w:b/>
          <w:i/>
          <w:color w:val="000000"/>
          <w:sz w:val="20"/>
        </w:rPr>
        <w:t>The regulatory approval processes of the FDA and comparable foreign regulatory authorities are lengthy, time consuming and inherently unpredictable, and if we are ultimately unable to obtain regulatory approval for our product candidates,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 and may vary among jurisdictions. We have not obtained regulatory approval for any product candidate and it is possible that none of our existing product candidates or any product candidates we may seek to develop in the future will ever obtain regulatory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could fail to receive regulatory approval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or comparable foreign regulatory authorities that a product candidate is safe, pure and potent for its proposed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population studied may not be sufficiently broad or representative to assure safety or efficacy in the population for which we seek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clinical significance required by the FDA or comparable foreign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require additional preclinical studies or clinical trials beyond those that we currently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 Biologics License Application (“BLA”) as applicable, to the FDA or other submission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find deficiencies with or fail to approve the manufacturing processes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or any comparable foreign regulatory authorities or the laws they enforce may significantly change in a manner rendering our clinical data insufficient for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comparable foreign regulatory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or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even if we were to obtain approval, regulatory authorities may approve any of our product candidates for fewer or more limited indications than we request, may not approve the price we intend to charge for our products, if any,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The FDA and any comparable foreign regulatory authorities may not accept data from trials conducted in locations outside of their jurisdiction.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presently conducting clinical development in the United States, Eastern Europe, the European Union, Australia, and New Zealand and will likely choose to conduct additional international clinical trials in the future. The acceptance of study data by the FDA or any comparable foreign regulatory authority from clinical trials conducted outside of their respective jurisdictions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compliance with current GCP requirements and (iii) the FDA is able to validate the data through an on-site inspection or other appropriate mean. Additionally, the FDA’s clinical trial requirements, including the adequacy of the patient population studied and statistical powering, must be met. In addition, such foreign trials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receive regulatory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such product candidate.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CGMPs and GCP requirements for any clinical trials that we conduct post-approval.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BLA, other marketing application, and previous responses to inspection observations. Accordingly, we and others with whom we work must continue to expend time, money, and effort in all areas of regulatory compliance, including manufacturing, production and quality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our products, withdrawal of the product from the market or voluntary or mandatory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warning letters or holds 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by the FDA to approve pending applications or supplements to approved applications filed by us or suspension or revocation of license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 approved labeling.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 of a BLA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240" w:after="283"/>
        <w:jc w:val="left"/>
        <w:rPr>
          <w:rFonts w:ascii="Times New Roman" w:hAnsi="Times New Roman"/>
          <w:sz w:val="20"/>
        </w:rPr>
      </w:pPr>
      <w:r>
        <w:rPr>
          <w:rFonts w:ascii="Times New Roman" w:hAnsi="Times New Roman"/>
          <w:b/>
          <w:i/>
          <w:color w:val="000000"/>
          <w:sz w:val="20"/>
        </w:rPr>
        <w:t>If approved, our investigational products may face competition from biosimilars approved through an abbreviated regulatory pathway.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developing TX45 initially for the treatment of Group 2 Pulmonary Hypertension (“PH”) in HFpEF, which we anticipate will be regulated as a biological product. 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litigation. Moreover, the extent to which a biosimilar, once licensed, will be substituted for any one of our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competitors are able to obtain marketing approval for biosimilars referencing our products, our products may become subject to competition from such biosimilars, with the attendant competitive pressure and consequences.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exposed to costly and damaging liability claims, either when testing our product candidates in the clinic or at the commercial stage, and our product liability insurance may not cover all damages from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potential product liability and professional indemnity risks that are inherent in the research, development, manufacturing, marketing and use of biotechnology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commercialization of our product candidates. 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our products due to negative public perception;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or difficulties in recruiting new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of investigations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or settle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revenues from product sales;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of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any of the events described above occur, this could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Due to our limited resources and access to capital, we must, and have in the past decided to,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library,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biotechnology industry, in particular for our lead product candidate, TX45, TX2100, our business, financial condition and results of operations could be materially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seek orphan drug designation for product candidates we develop, and we may be unsuccessful or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our business strategy, we may seek orphan drug designation for any product candidates we develop, and we may be unsuccessful. While we have not made a determination on whether we intend to seek orphan drug designation for any of our product candidates at this time, we may do so in the future. Regulatory authorities in some jurisdictions, including the United States, may designate drugs for relatively small patient populations as orphan drugs. Under the Orphan Drug Act in the United States,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orphan drug designation entitles a party to financial incentives such as opportunities for grant funding towards certain clinical trial costs, tax advantages and user-fee waivers.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Generally, in the United States, if a drug with an orphan drug designation subsequently receives the first marketing approval for the indication for which it has such designation, the drug is entitled to a period of marketing exclusivity, which precludes the FDA from approving another marketing application for the same indication for seven years, except in limited circumstances.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obtain orphan drug exclusivity for any of our product candidates, that exclusivity may not effectively protect the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Commercialization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successfully commercialize any product candidate for which we receive regulatory approval,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successful in obtaining marketing approval from applicable regulatory authorities for TX45 or any other product candidate, our ability to generate revenues from any such products will depend on our success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commercial sales of such products, whether alone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receiving approved labels with claims that are necessary or desirable for successful marketing, and that do not contain safety or other limitations that would impede our ability to market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creating market demand for such products through marketing, sales and promotion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hiring, training, and deploying a sales force or contracting with third parties to commercialize such products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creating strategic collaborations with, or offering licenses to, third parties to promote and sell such products in foreign markets where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such products (i) in sufficient quantities, (ii) at acceptable quality and cost and (iii) in a presentation that is practical and compatible with the intended clinical use to meet commercial demand at launch and thereafter;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agreements with wholesalers, distributors, and group purchasing organizations on commercially reasonable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patent and trade secret protection and regulatory exclusivity for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market acceptance of such products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coverage and adequate reimbursement from third-party payors for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willingness to pay out-of-pocket in the absence of such coverage and adequate reimbursement from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other therapies;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of such products following launch.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we are not able to do any of the foregoing, our business, financial condition, results of operations, stock price and prospects will be materially harmed.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face significant competition from other biotechnology and pharmaceutical companies, and our operating results will suffer if we fail to compete effectively.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biotechnology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compete in the segments of the biotechnology, pharmaceutical and other related industries that develop and market therapies for the treatment of Group 2 PH with HFpEF and Hereditary Hemorrhagic Telangiectasia (“HHT”) disorders. Although there are no other companies who have commercialized therapies for the same therapeutic areas that our product candidates target, there are many other companies, including large biotechnology and pharmaceutical companies, that are developing therapies for the same therapeutic areas. For example, AstraZeneca and Tenax Therapeutics for the treatment of Group 2 PH and Diagonal Therapeutics and Vaderis Therapeutics for the treatment of HHT. In addition, in January 2025, Eli Lilly terminated its Phase 2 trial of volenrelaxin, which has affected investor perception of relaxin product candidates in 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able to recover our research and development and commercialization expenses. If we or our product candidates do not compete effectively, it may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do not have a sales or marketing infrastructure and have no experience in the sale or marketing of biotechnology products. To achieve commercial success for any approved product, we must develop or acquire a sales and marketing organization, outsource these functions to third parties or enter into strategic collaborations.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decide to establish our own sales and marketing capabilities and promote our product candidates if and when regulatory approval has been obtained in the United States or in other jurisdictions. There are risks involved if we decide to establish our own sales and marketing capabilities or enter into arrangements with third parties to perform these services. Even if we establish sales and marketing capabilities, we may fail to launch our products effectively or to market our products effectively since we have no experience in the sales and marketing of biotechnology products. In addition, recruiting and training a sales force is expensive and time consuming and could delay any product launch. In the event that any such launch is delayed or does not occur for any reason, we would have prematurely or unnecessarily incurred these commercialization expenses, and our investment would be lost if we cannot retain or reposition our sales and marketing personnel. Factors that may inhibit our efforts to commercialize our products on our own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train and retain adequate numbers of effective sales and marketing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sales personnel to obtain access to or educate adequate numbers of physicians on the benefits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complementary products to be offered by sales personnel, which may put us at a competitive disadvantage relative to companies with more extensive product 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costs and expenses associated with creating an independent sales and marketing organization;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marketing and promotion above those anticipated by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enter into arrangements with third parties to perform sales and marketing services, our product revenues or the profitability of these product revenues to us could be lower than if we were to market and sell any products that we develop ourselves. Such collaborative arrangements with partners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 In addition, we may not be successful in entering into arrangements with third parties to sell and market our products or may be unable to do so on terms that are favorable to us. Acceptable third parties may fail to devote the necessary resources and attention to sell and market our products effectively.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not establish sales and marketing capabilities successfully, either on our own or in collaboration with third parties, we may not be successful in commercializing our products, if any, which in turn would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a product candidate we develop receives marketing approval, it may fail to achieve the degree of market acceptance by physicians, patients, third-party payors and others in the medical community necessary for commercial success. The revenues that we generate from our sales may be limited, and we may never become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candidates for which we obtain regulatory approval does not gain an adequate level of market acceptance, we could be prevented from or significantly delayed in achieving profitability.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educate the medical community and third-party payors on the benefits of our product candidates may require significant resources and may not be successful. If any of our product candidates are approved but do not achieve an adequate level of market acceptance, we could be prevented from or significantly delayed in achieving profitability. The degree of market acceptance of any product for which we receive marketing approval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our product candidates are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physicians, hospitals and patients considering our product candidates as a safe and effective treatment;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our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labeling or product insert requirements of the FDA or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or warnings contained in the labeling approved by the FDA or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our product candidates in relation to other potentially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our product candidates in relation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of upfront costs or training required for physicians to administer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coverage and adequate reimbursement from third-party payors and government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patients to pay out-of-pocket in the absence of comprehensive coverage and reimbursement by third-party payors and government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relative convenience and ease of administration, including as compared to alternative treatments and competitive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our sales and marketing efforts and distribution support;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presence or perceived risk of potential product liability claims.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Healthcare reform may negatively impact our ability to profitably sell TX45 and any potential future product candidates, if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TX45 or any potential future product candidates, restrict or regulate post-approval activities and affect our ability to profitably sell any product for which we obtain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2010, the Patient Protection and Affordable Care Act, as amended by the Health Care and Education Reconciliation Act, collectively referred to as the ACA, was enacted, which includes measures that have significantly changed the way health care is financed by both governmental and private insurers. There have been executive, judicial and congressional challenges and amendments to certain aspects of the ACA.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on August 16, 2022, the Inflation Reduction Act (the “IRA”), was signed into law, which among other things, (1) directs the Department of Health and Human Services (the “HHS”), to negotiate the price of certain high expenditure, single-source biologics that have been on the market for 11 years covered under Medicare (the “Medicare Drug Price Negotiation Program”) and (2) imposes rebates under Medicare Part B and Medicare Part D to penalize price increases that outpace inflation. The IRA includes certain exemptions to the price negotiation program, including a limited exemption for products with orphan drug designation. This exemption applies only to products with one orphan drug designation that is (i) for a rare disease or condition and (ii) is approved for indication(s) for such rare disease or condition. By limiting price negotiation exemption to products with only one orphan drug designation, the IRA may decrease our interest in pursuing orphan drug designation for our product candidates in multiple indications. The IRA also, among other things, extends enhanced subsidies for individuals purchasing health insurance coverage in ACA marketplaces through plan year 2025 and eliminates the “donut hole” under the Medicare Part D program beginning in 2025 by significantly lowering the beneficiary maximum out-of-pocket cost through a newly established manufacturer discount program. These provisions began to take effect progressively in fiscal year 2023. On August 15, 2024, HHS announced the agreed-upon reimbursement prices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The IRA permits HHS to implement many of these provisions through guidance, as opposed to regulation, for the initial years. HHS has and will continue to issue and update guidance as these programs are implemented. It is possible that the ACA and IRA may be subject to judicial or Congressional challenges in the future. It is unclear how any additional healthcare reform measures of the second Trump administration may impact the ACA or IRA, increase the pressure on drug pricing or limit the availability of coverage and adequate reimbursement for TX45 and any potential future product candidates, which would adversely affect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also been increasing executive, legislative and enforcement interest in the United States with respect to drug pricing practices. There have been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current Trump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These actions may include, for example, directives to reduce agency workforce, rescinding a Biden administration executive order tasking the Center for Medicare and Medicaid Innovation (“CMMI”) to consider new payment and healthcare models to limit drug spending and eliminating the Biden administration’s executive order that directed HHS to establishing an AI task force and developing a strategic plan. Additionally, in its June 2024 decision in Loper Bright Enterprises v. Raimondo (“Loper Bright”), the U.S. Supreme Court overturned the longstanding Chevron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reforms could have an adverse effect on anticipated revenue from TX45 and any potential future product candidates that we may successfully develop and for which we may obtain regulatory approval and may affect our overall financial condition and ability to develop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and we expect that legislators, policy makers and healthcare insurance funds in the EU Member States will continue to propose and implement cost cutting measures. These measures include mandatory price controls, price referencing, therapeutic-reference pricing, increases in mandates, incentives for generic substitution and biosimilar usage, government-mandated price cuts, limitations on coverage of target population and introduction of volume caps.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countries implement health technology assessment (“HTA”), procedures that use formal economic metrics such as cost-effectiveness to determine prices, coverage and reimbursement of new therapies. These assessments are increasingly implemented in established and emerging markets. In the EU, Regulation (EU) 2021/2282 on Health Technology Assessment, which will become effective on January 12, 2025, will allow EU member states to use common HTA tools, methodologies and procedures to conduct joint clinical assessments and joint scientific consultations whereby HTA authorities may provide advice to health technology developers. Each EU member state will, however, remain exclusively competent for assessing the relative effectiveness of health technologies and making pricing and reimbursement decisions. Given that the extent to which pricing and reimbursement decisions are influenced by the HTA process currently varies between EU member states, it is possible that our products may be subject to favorable pricing and reimbursement status only in certain EU countries. If we are unable to maintain favorable pricing and reimbursement status in EU member states that represent significant markets, including following periodic review, our anticipated revenue from and growth prospects for our products in the EU could be negatively affected. Moreover, in order to obtain reimbursement for our products in some EU member states, we may be required to compile additional data comparing the cost-effectiveness of our products to other available therapies. Efforts to generate additional data for the HTA process will involve additional expenses which may substantially increase the cost of commercializing and marketing our products in certain EU member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the likelihood, nature or extent of healthcare reform initiatives that may arise from future legislation or administrative action. However, it is possible that countries will continue taking aggressive actions to seek to reduce expenditures on drugs. Similarly, fiscal constraints may also affect the extent to which countries are willing to approve new and innovative therapies and/or allow access to new technologies.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w:t>
      </w:r>
    </w:p>
    <w:p>
      <w:pPr>
        <w:pStyle w:val="TextBody"/>
        <w:bidi w:val="0"/>
        <w:spacing w:before="240" w:after="283"/>
        <w:jc w:val="left"/>
        <w:rPr>
          <w:rFonts w:ascii="Times New Roman" w:hAnsi="Times New Roman"/>
          <w:sz w:val="20"/>
        </w:rPr>
      </w:pPr>
      <w:r>
        <w:rPr>
          <w:rFonts w:ascii="Times New Roman" w:hAnsi="Times New Roman"/>
          <w:b/>
          <w:i/>
          <w:color w:val="000000"/>
          <w:sz w:val="20"/>
        </w:rPr>
        <w:t>Inadequate funding for the FDA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at the FDA and other agencies (including layoffs) may also slow the time necessary for new product candidates to be reviewed and/or approved by necessary government agencies, which would adversely affect our business. For example, many staff members from the FDA and other agencies have recently been laid off. If a prolonged government shutdown or disruption occurs, it could significantly impact the ability of the FDA to timely review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process our regulatory submissions, which could have a material adverse effect on our business. Further, future government shutdowns and/or disruptions could impact our ability to access the public markets and obtain necessary capital in order to properly capitalize and continue our operation. </w:t>
      </w:r>
    </w:p>
    <w:p>
      <w:pPr>
        <w:pStyle w:val="TextBody"/>
        <w:bidi w:val="0"/>
        <w:spacing w:before="240" w:after="283"/>
        <w:jc w:val="left"/>
        <w:rPr>
          <w:rFonts w:ascii="Times New Roman" w:hAnsi="Times New Roman"/>
          <w:sz w:val="20"/>
        </w:rPr>
      </w:pPr>
      <w:r>
        <w:rPr>
          <w:rFonts w:ascii="Times New Roman" w:hAnsi="Times New Roman"/>
          <w:b/>
          <w:i/>
          <w:color w:val="000000"/>
          <w:sz w:val="20"/>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including physicians, and third-party payors will play a primary role in the recommendation and prescription of any product candidates for which we or our partner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partner obtain marketing approval. Restrictions under applicable federal and state healthcare laws and regulations,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(the “FCA”) or federal civil monetary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Health Insurance Portability and Accountability Act of 1996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 Similar to the federal Anti-Kickback Statute,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processing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nurse practitioners) and teaching hospitals, as well as information regarding ownership and investment interests held by physicians and their immediate family members; and</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federal consumer protection and unfair competition laws, which broadly regulate marketplace activities and activities that potentially harm consumers; and state and foreign laws that govern the privacy and security and other processing of health information in certain circumstances, many of which differ from each other in significant ways and often are not preempted by HIPAA, thus complicating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it, we may be subject to significant civil, criminal and administrative penalties, damages, fines, additional regulatory oversight, litigation,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 </w:t>
      </w:r>
    </w:p>
    <w:p>
      <w:pPr>
        <w:pStyle w:val="TextBody"/>
        <w:bidi w:val="0"/>
        <w:spacing w:before="240" w:after="283"/>
        <w:jc w:val="left"/>
        <w:rPr>
          <w:rFonts w:ascii="Times New Roman" w:hAnsi="Times New Roman"/>
          <w:sz w:val="20"/>
        </w:rPr>
      </w:pPr>
      <w:r>
        <w:rPr>
          <w:rFonts w:ascii="Times New Roman" w:hAnsi="Times New Roman"/>
          <w:b/>
          <w:i/>
          <w:color w:val="000000"/>
          <w:sz w:val="20"/>
        </w:rPr>
        <w:t>Our business could be materially and adversely affected in the future by political unrest in China, as well as the effects of disease outbreaks, epidemics and pandemics.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Disease outbreaks, epidemics and pandemics in regions where we may have clinical trial sites or other business operations could adversely affect our business, including by causing significant disruptions in our operations and/or in the operations of third-party manufacturers and CROs upon whom we rely. Disease outbreaks, epidemics and pandemics have negative impacts on our ability to initiate new clinical trial sites, to enroll new patients and to maintain existing patients who are participating in our clinical trials, which may include increased clinical trial costs, longer timelines and delay in our ability to obtain regulatory approvals of TX45, TX2100 and any potential future product candidates, if at all. Disease outbreaks, epidemics and pandemics also could adversely impact clinical trial results for TX45 or other future potential product candidates, such as by diminishing or eliminating their efficacy or by producing a safety concern, either through direct biological effects or through confounding of the data collection and analysis. This adverse impact could terminate further development of TX45, result in a lack of product approval by the FDA or other regulatory authorities, delay the timing (and/or increase the cost) of a product approval by the FDA or other regulatory authorities, lead to a restrictive product label that significantly limits prescribing of an approved product, delay or preclude reimbursement by payors, or significantly limit or preclude the commercialization of TX45.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because our key manufacturer and supplier for TX45 is located in China, we are exposed to the possibility of product supply disruption and increased costs in the event of changes in the policies, laws, rules and regulations of the United States or Chinese governments, as well as political unrest or unstable economic conditions in China. For example, trade tensions between the United States and China have been escalating in recent years. The U.S. government has indicated its intent to adopt a new approach to trade policy and in some cases to renegotiate, or potentially terminate, certain existing bilateral or multi-lateral trade agreements. For example, on February 1, 2025, President Donald Trump signed executive orders imposing a 25% tariff on certain imports from Mexico and Canada, and a 10% tariff on certain imports from China, which were to take effect on February 4, 2025. A 30-day pause was granted to Canada and Mexico. However, these newly proposed and imposed tariffs have resulted in threatened and actual retaliatory tariffs against U.S. goods. Our components may in the future be subject to these tariffs, which could increase our manufacturing costs and could make our products, if successfully developed and approved, less competitive than those of our competitors whose inputs are not subject to these tariffs. We may otherwise experience supply disruptions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delays, and although we carefully manage our inventory and lead-times, our supplier may not continue to provide us with battery components in our required quantities, to our required specifications and quality levels or at attractive prices. In addition, certain Chinese biotechnology companies and CDMOs may become subject to trade restrictions, sanctions, other regulatory requirements, or proposed legislation by the U.S. government, which could restrict or even prohibit our ability to work with such entities, thereby potentially disrupting the supply of material to us. For example, the House of Representatives of the prior Congress (the 118</w:t>
      </w:r>
      <w:r>
        <w:rPr>
          <w:rFonts w:ascii="Times New Roman" w:hAnsi="Times New Roman"/>
          <w:color w:val="000000"/>
          <w:sz w:val="13"/>
        </w:rPr>
        <w:t>th</w:t>
      </w:r>
      <w:r>
        <w:rPr>
          <w:rFonts w:ascii="Times New Roman" w:hAnsi="Times New Roman"/>
          <w:color w:val="000000"/>
          <w:sz w:val="20"/>
        </w:rPr>
        <w:t>Congress) passed the BIOSECURE Act, which proposed targeting U.S. government contracts, grants, and loans for entities that use biotechnology equipment or services from certain named Chinese biotechnology companies, and potentially additional Chinese biotechnology companies designated in the future. The language of the proposed BIOSECURE Act would, among other things, prohibit U.S. federal agencies from entering into or renewing any contract with any entity that uses biotechnology equipment or services produced or provided by a “biotechnology company of concern.” The version of the bill passed by the prior House of Representatives included a grandfathering provision allowing biotechnology equipment and services provided or produced by named biotechnology companies of concern under a contract or agreement entered into before the effective date until January 1, 2032. The BIOSECURE Act did not become law in the 118</w:t>
      </w:r>
      <w:r>
        <w:rPr>
          <w:rFonts w:ascii="Times New Roman" w:hAnsi="Times New Roman"/>
          <w:color w:val="000000"/>
          <w:sz w:val="13"/>
        </w:rPr>
        <w:t>th</w:t>
      </w:r>
      <w:r>
        <w:rPr>
          <w:rFonts w:ascii="Times New Roman" w:hAnsi="Times New Roman"/>
          <w:color w:val="000000"/>
          <w:sz w:val="20"/>
        </w:rPr>
        <w:t xml:space="preserve"> Congress. It is unclear whether the current Congress (the 119</w:t>
      </w:r>
      <w:r>
        <w:rPr>
          <w:rFonts w:ascii="Times New Roman" w:hAnsi="Times New Roman"/>
          <w:color w:val="000000"/>
          <w:sz w:val="13"/>
        </w:rPr>
        <w:t>th</w:t>
      </w:r>
      <w:r>
        <w:rPr>
          <w:rFonts w:ascii="Times New Roman" w:hAnsi="Times New Roman"/>
          <w:color w:val="000000"/>
          <w:sz w:val="20"/>
        </w:rPr>
        <w:t xml:space="preserve"> Congress) will introduce the BIOSECURE Act or similar legislation in this congressional session and, if so, how the scope, prohibitions, or designated biotechnology companies of concern may differ from the version of the BIOSECURE Act passed by the House in the prior 118</w:t>
      </w:r>
      <w:r>
        <w:rPr>
          <w:rFonts w:ascii="Times New Roman" w:hAnsi="Times New Roman"/>
          <w:color w:val="000000"/>
          <w:sz w:val="13"/>
        </w:rPr>
        <w:t>th</w:t>
      </w:r>
      <w:r>
        <w:rPr>
          <w:rFonts w:ascii="Times New Roman" w:hAnsi="Times New Roman"/>
          <w:color w:val="000000"/>
          <w:sz w:val="20"/>
        </w:rPr>
        <w:t xml:space="preserve"> Congress. If these bills become law, or similar laws are passed, they could severely restrict the ability of companies to work with certain Chinese biotechnology companies of concern without losing the ability to contract with, or otherwise receive funding from, the U.S. government. Such disruption could have adverse effects on the development of our product candidates and our business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supply chain issues may be exacerbated during disease outbreaks, epidemics and pandemics and may also impact the ability of our clinical trial sites to obtain basic medical supplies used in our trials in a timely fashion,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contract development and manufacturing organizations (“CDMOs”)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our clinical trials could adversely affect our ability to conduct ongoing and future clinical trials of TX45 or TX2100 on our anticipated development timelines. Likewise, the operations of our third-party manufacturers may be requisitioned, diverted or allocated by U.S. or foreign government orders. If any of our CDMOs or raw materials or components suppliers become subject to acts or orders of U.S. or foreign government entities to allocate or prioritize manufacturing capacity, raw materials or components to the manufacture or distribution of vaccines or medical supplies needed to test or treat patients in a disease outbreak, epidemic or pandemic, this could delay our clinical trials, perhaps substantially, which could materially and adversely affect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Our estimates of market opportunity and forecasts of market growth may prove to be inaccurate, and even if the markets in which we compete achieve the forecasted growth, our business may not grow at similar rates,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meets our size estimates and growth forecasts, our business may not grow at similar rates, or at all. Our growth is subject to many factors, including our success in implementing our business strategy, which is subject to many risks and uncertainties.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revenue will be dependent, in part, upon the size of the markets in the territories for which we gain regulatory approval, the accepted price for the product, the ability to obtain coverage and reimbursement, the ability to gain market share and whether we own the commercial rights for that territory. If the number of our addressable patients is not as significant as we estimate, the indication approved by regulatory authorities is narrower than our expects or the treatment population is narrowed by competition, physician choice or treatment guidelines, we may not generate significant revenue from sales of such products, even if approved.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obtain approval to market TX45 or other potential future product candidates, these products may become subject to unfavorable pricing regulations, reimbursement practices from third-party payors or healthcare reform initiatives in the United States and abroad, which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the EU, Japan and Canada,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pricing of prescription drugs is controlled by the government and some countries require approval of the sale price of a drug before it can be marketed. In many countries, the pricing review period begins after regulatory approval for the product is granted. Regulatory agencies in those countries could determine that the pricing for our products should be based on prices of other commercially available drugs for the same disease, rather than allowing us to market our products at a premium as new drugs. As a result, we might obtain marketing approval for a product in a particular country, but then be subject to price regulations that delay or limit commercial launch of the product, possibly for lengthy time periods, which could negatively impact the revenue we generate from the sale of the product in that particular country. In some foreign markets, prescription pharmaceutical pricing remains subject to continuing governmental control even after initial approval is granted. Adverse pricing limitations may hinder our ability to recoup our investment in one or more product candidates, even if our product candidates obtains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In the United States and markets in other countries, governments and private insurers closely examine medical products to determine whether they should be covered by reimbursement and, if so, the level of reimbursement that will apply. In the United States, the principal decisions about reimbursement for new medicines are typically made by the CMS an agency within the HHS. CMS decides whether and to what extent a new medicine will be covered and reimbursed under Medicare and private payors tend to follow CMS to a substantial degree.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regulatory approval. If coverage and reimbursement are not available or reimbursement is available only to limited levels, we and our partners may not be able to successfully commercialize any product candidate for which marketing approval is obtained.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Our inability to promptly obtain coverage and profitable reimbursement rates from both government-funded and private payors for any approved products that we develop could have a material adverse effect on our operating results, ability to raise capital needed to commercialize products and overall financial condition.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Our success depends in part on our ability to protect our intellectual property. It is difficult and costly to protect our proprietary rights and technology, and we may not be able to ensure their protection.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will depend in large part on obtaining and maintaining patent, trademark and trade secret protection of our proprietary technologies and our product candidates, their respective components, formulations, combination therapies, and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 The patenting process is expensive and time-consuming, and we may not be able to file, prosecute and maintain all necessary or desirable patent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 In addition, we cannot guarantee that patent applications or patents that we initially believe to be owned by the company will not be encumbered by third party ownership or other third party rights that may not have been evident to us at the time of preparation or filing. For instance, such rights could arise from the intellectual contributions of company employees who were previously employed by third parties, such as universities or other biopharmaceutical or pharmaceutical companies, including our competitors or potential competitors, or from the intellectual contributions of company consultants, advisors, or independent contractors with current or previous relationships with such third parties. Therefore, these patents and applications may not be prepared, filed, prosecuted or enforced in a manner consistent with the best interests of our business. Furthermore, licenses from such third parties may be required or desirable but may not be available on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patents in the biotechnology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are successfully issued,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its claims. If the breadth or strength of protection provided by the patent applications, we hold with respect to our product candidates is threatened, we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disclaim part or all of the term of certain patents or all of the term of certain patent applications. There may be prior art of which we are not aware that may affect the validity or enforceability of a patent claim, and we may be subject to a third-party preissuance submission of prior art to the USPTO. There also may be prior art of which we are aware, but which we believe does not affect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patent term adjustment (PTA) for patents in families where related patents have issued without PTA. Thus, it cannot be said with certainty how PTA will/will not be viewed in future and whether patent expiration dates may be impacted.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took effect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for our proprietary rights is uncertain because legal means afford only limited protection and may not adequately protect our rights or permit us to gain or keep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or use compounds or cells that are similar to the biological compositions of our product candidates but that are not covered by the claims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active biological ingredients in our current product candidates will eventually become commercially available in biosimilar drug products, and no patent protection may be available with regard to formulation or method of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as the case may be, may fail to meet our obligations to the U.S. government in regards to any in-licensed patents and patent applications funded by U.S. government grants, leading to the loss of patent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as the case may be, might not have been the first to file patent applications for these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pending patent applications will not result in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there are prior public disclosures that could invalidate us or our licensors’ patents, as the case may be, or parts of ours or their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others may circumvent our owned or in-licensed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there are unpublished applications or patent applications maintained in secrecy that may later issue with claims covering our products or technology similar to our 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foreign countries may not protect ours or our licensors’, as the case may be, proprietary rights to the same extent as the laws of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claims of our owned or in-licensed issued patents or patent applications, if and when issued, may not cover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owned or in-licensed issued patents may not provide us with any competitive advantages, may be narrowed in scope, or be held invalid or unenforceable as a result of legal challenges by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 of our owned or in-licensed patents or patent applications may become involved with competitors, develop products or processes which design around our patents, or become hostile to us or the patents or patent applications on which they are named as inventors;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engaged in scientific collaborations in the past, and will continue to do so in the future. Such collaborators may develop adjacent or competing products to ours that are outside the scope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for which we can obtain patent protection.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product candidates we develop may be covered by third parties’ patents or other exclusive rights;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have an adverse effect on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We depend on intellectual property licensed from third parties and termination of any of these licenses could result in the loss of significant rights,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dependent on patents, know-how and proprietary technology, both our own and licensed from others including Harvard. Any termination of these licenses could result in the loss of significant rights and could harm our ability to commercialize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Disputes may also arise between us and our licensors regarding intellectual property subject to a license agreement,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whether and the extent to which our technology and processes infringe on intellectual property of the licensor that is not subject to the licensing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right to sublicense patent and other rights to third parties under collaborative development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diligence obligations with respect to the use of the licensed technology in relation to our development and commercialization of our product candidates, and what activities satisfy those diligence obligations;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inventorship or ownership of inventions and know-how resulting from the joint creation or use of intellectual property by our licensors and us and our partners.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intellectual property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If disputes over intellectual property that we have licensed prevent or impair our ability to maintain our current licensing arrangements on acceptable terms, we may be unable to successfully develop and commercialize the affected product candidates. We are generally also subject to all of the same risks with respect to protection of intellectual property that we license, as we are for intellectual property that we own, which is described below. If we or our licensors fail to adequately protect this intellectual property, our ability to commercialize products could suffer.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comply with our obligations under our patent license with a third party, we could lose license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party to a license agreement pursuant to which we in-license key patent and patent applications for our product candidates. These existing licenses impose various diligence, milestone payment, royalty, insurance and other obligations on us. If we fail to comply with these obligations, our licensors may have the right to terminate the license, in which event we would not be able to develop or market the products covered by such licensed intellectual property. Termination of these agreements or reduction or elimination of our rights under these agreements, or restrictions on our ability to freely assign or sublicense our rights under such agreements when it is in the interest of our business to do so, may impede, delay or prohibit the further development or commercialization of one or more product candidates that rely on such agreements.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have limited control over the maintenance and prosecution of these in-licensed patents and patent applications, activities or any other intellectual property that may be related to our in-licensed intellectual property. For example, we cannot be certain that such activities by our licensor have been or will be conducted in compliance with applicable laws and regulations or will result in valid and enforceable patents and other intellectual property rights.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protect the confidentiality of our proprietary information,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patent protection, we rely upon know-how,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by an employee or third party with authorized access, provide adequate protection for our proprietary information. Our security measures may not prevent an employee or consultant from misappropriating our proprietary information and providing them to a competitor, and recourse we take against such misconduct may not provide an adequate remedy to protect our interests fully. Enforcing a claim that a party illegally disclosed or misappropriated proprietary information can be difficult, expensive, and time-consuming, and the outcome is unpredictable. In addition, proprietary information may be independently developed by others in a manner that could prevent legal recourse by us. If any of our confidential or proprietary information were to be disclosed or misappropriated, or if any such information was independently developed by a competitor, our competitive position could be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courts outside the United States are sometimes less willing to protect proprietary information. If we choose to go to court to stop a third party from using any of our proprietary information, we may incur substantial costs. These lawsuits may consume our time and other resources even if we are successful. Although we take steps to protect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proprietary information and proprietary information, including through contractual means with our employees and consultants, third parties may independently develop substantially equivalent proprietary information and techniques or otherwise gain access to, or disclose, our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Thus, we may not be able to meaningfully protect our proprietary information.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information by third parties. We have also adopted policies and conduct training that provides guidance on our expectations, and our advice for best practices, in protecting our proprietary information. </w:t>
      </w:r>
    </w:p>
    <w:p>
      <w:pPr>
        <w:pStyle w:val="TextBody"/>
        <w:bidi w:val="0"/>
        <w:spacing w:before="240" w:after="283"/>
        <w:jc w:val="left"/>
        <w:rPr>
          <w:rFonts w:ascii="Times New Roman" w:hAnsi="Times New Roman"/>
          <w:sz w:val="20"/>
        </w:rPr>
      </w:pPr>
      <w:r>
        <w:rPr>
          <w:rFonts w:ascii="Times New Roman" w:hAnsi="Times New Roman"/>
          <w:b/>
          <w:i/>
          <w:color w:val="000000"/>
          <w:sz w:val="20"/>
        </w:rPr>
        <w:t>Third-party claims of intellectual property infringement may prevent or delay our product discovery and development efforts.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hAnsi="Times New Roman"/>
          <w:i/>
          <w:color w:val="000000"/>
          <w:sz w:val="20"/>
        </w:rPr>
        <w:t xml:space="preserve">inter partes </w:t>
      </w:r>
      <w:r>
        <w:rPr>
          <w:rFonts w:ascii="Times New Roman" w:hAnsi="Times New Roman"/>
          <w:color w:val="000000"/>
          <w:sz w:val="20"/>
        </w:rPr>
        <w:t xml:space="preserve">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There may be third-party patents or patent applications with claims to materials, formulations, methods of manufacture or methods for treatment related to our product candidates and programs.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third-party claims that we infringe its intellectual property rights, we may face a number of issues,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infringement and other intellectual property claims which, regardless of merit, may be expensive and time-consuming to litigate and may divert our management’s attention from our core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court prohibiting us from developing, manufacturing, marketing or selling our product candidates, or from using our proprietary technologies, unless the third party licenses its product rights to us, which it is not required to do;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license is available from a third party, we may have to pay substantial royalties, upfront fees and other amounts, and/or grant cross-licenses to intellectual property rights for its products;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redesigning our product candidates or processes so they do not infringe, which may not be possible or may require substantial monetary expenditures and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assert that we are employing their proprietary technology without authorization. Generally, conducting clinical trials and other development activities in the United States is protected under the Safe Harbor exemption as set forth in 35 U.S.C. § 271. If and when TX45 or another one of our product candidates is approved by the FDA, certain third parties may seek to enforce their patents by filing a patent infringement lawsuit against us. While we do not believe that any claims of such patent that could otherwise materially adversely affect commercialization of our product candidates, if approved, are valid and enforceable, we may be incorrect in this belief, or we may not be able to prove it in a litigation. In this regard, patents issued in the United States by law enjoy a presumption of validity that can be rebutted only with evidence that is “clear and convincing,” a heightened standard of proof.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Even if such a license is available, it may be non-exclusive, which could result in our competitors gaining access to the same intellectual property.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Lastly, we may need to indemnify our customers and distributors against claims relating to the infringement of intellectual property rights of third parties related to our product candidates, including TX45.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 candidates or services they use. If we cannot obtain all necessary licenses on commercially reasonable terms, our customers may be forced to stop using our products or services. </w:t>
      </w:r>
    </w:p>
    <w:p>
      <w:pPr>
        <w:pStyle w:val="TextBody"/>
        <w:bidi w:val="0"/>
        <w:spacing w:before="240" w:after="283"/>
        <w:jc w:val="left"/>
        <w:rPr>
          <w:rFonts w:ascii="Times New Roman" w:hAnsi="Times New Roman"/>
          <w:sz w:val="20"/>
        </w:rPr>
      </w:pPr>
      <w:r>
        <w:rPr>
          <w:rFonts w:ascii="Times New Roman" w:hAnsi="Times New Roman"/>
          <w:b/>
          <w:i/>
          <w:color w:val="000000"/>
          <w:sz w:val="20"/>
        </w:rPr>
        <w:t>Third parties may assert that our employees or consultants have wrongfully used or disclosed confidential information or misappropriated proprietary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common in the biotechnology and pharmaceutical industries, we employ individuals who were previously employed at universities or other biopharmaceutical or pharmaceutical companies, including our competitors or potential competitors. In addition, we have used and continue to use consultants, advisors, and/or independent contractors with relationships with third parties, including institutions and/or other companies. We try to ensure that our employees, consultants, advisors, and/or independent contractors have the right to assign to us intellectual property generated during their engagement with us, and that they do not use the proprietary information or know-how of others in their work for us. Although no claims against us are currently pending, there is no guarantee that in the future we may not be subject to claims that we or our employees, consultants, advisors, or independent contractors have inadvertently or otherwise used or disclosed intellectual property, including trade secrets or other proprietary information, of a former employer or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or improperly assign intellectual property rights to us.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Uncertainties resulting from the initiation and continuation of patent litigation or other intellectual property related proceedings could adversely affect our ability to compete in the marketplace.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successful in obtaining or maintaining necessary rights to develop any future product candidates on acceptable terms.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our programs may involve additional product candidates that may require the use of proprietary rights held by third parties, the growth of our business may depend in part on our ability to acquire, in-license or use these proprietary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may also require specific formulations to work effectively and efficiently and these rights may be held by others. We may develop products containing pre-existing 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it.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involved in lawsuits related to our patents or the patents of our licensors, which could be expensive, time-consuming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its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Interference proceedings provoked by third parties or brought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proprietary or confidential information, particularly in countries where the laws may not protect those rights as fully as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Issued patents covering our product candidates could be found invalid or unenforceable if challenged in court or the USPTO.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of the patent protection on our product candidates. Such a loss of patent protection could have a material adverse impact on our business and our ability to commercialize or license our technology and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the patents included in our patent portfolio may expire before, or soon after, our first product achieves marketing approval in the United States or foreign jurisdictions. Upon the expiration of our current or future owned or licensed patents, we may lose the right to exclude others from practicing these inventions. The expiration of these patents could also have a similar material adverse effect on our business, results of operations, financial condition and prospects. We own or have exclusively in-licensed pending patent applications that relate to our proprietary technologies or our product candidates that if issued as patents are expected to expire from 2041 through 2044, without taking into account any possible patent term adjustments or extensions. However, we cannot be assured that the USPTO or relevant foreign patent offices will grant any of these patent applications.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patent law in the U.S. and in ex-U.S. jurisdictions could diminish the value of patents in general, thereby impairing our ability to protect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Changes in either the patent laws or interpretation of the patent laws in the United States or in ex-U.S. jurisdictions could increase the uncertainties and costs surrounding the prosecution of patent applications and the enforcement or defense of issued patents. In addition, the United States has recently enacted and is currently implementing wide-ranging patent reform legislation. Recent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the case </w:t>
      </w:r>
      <w:r>
        <w:rPr>
          <w:rFonts w:ascii="Times New Roman" w:hAnsi="Times New Roman"/>
          <w:i/>
          <w:color w:val="000000"/>
          <w:sz w:val="20"/>
        </w:rPr>
        <w:t xml:space="preserve">Amgen Inc. v. Sanofi, </w:t>
      </w:r>
      <w:r>
        <w:rPr>
          <w:rFonts w:ascii="Times New Roman" w:hAnsi="Times New Roman"/>
          <w:color w:val="000000"/>
          <w:sz w:val="20"/>
        </w:rPr>
        <w:t xml:space="preserve">the Federal Circuit held that a well-characterized antigen is insufficient to satisfy the written description requirement of certain claims directed to a genus of antibodies that are solely defined by function; and in the case of </w:t>
      </w:r>
      <w:r>
        <w:rPr>
          <w:rFonts w:ascii="Times New Roman" w:hAnsi="Times New Roman"/>
          <w:i/>
          <w:color w:val="000000"/>
          <w:sz w:val="20"/>
        </w:rPr>
        <w:t>Assoc. for Molecular</w:t>
      </w:r>
      <w:r>
        <w:rPr>
          <w:rFonts w:ascii="Times New Roman" w:hAnsi="Times New Roman"/>
          <w:color w:val="000000"/>
          <w:sz w:val="20"/>
        </w:rPr>
        <w:t xml:space="preserve"> </w:t>
      </w:r>
      <w:r>
        <w:rPr>
          <w:rFonts w:ascii="Times New Roman" w:hAnsi="Times New Roman"/>
          <w:i/>
          <w:color w:val="000000"/>
          <w:sz w:val="20"/>
        </w:rPr>
        <w:t xml:space="preserve">Pathology v. Myriad Genetics, Inc., </w:t>
      </w:r>
      <w:r>
        <w:rPr>
          <w:rFonts w:ascii="Times New Roman" w:hAnsi="Times New Roman"/>
          <w:color w:val="000000"/>
          <w:sz w:val="20"/>
        </w:rPr>
        <w:t xml:space="preserve">the Supreme Court held that certain claims to DNA molecules are not patentable. We cannot predict how these decisions or any future decisions by the courts, the U.S. Congress or the USPTO may impact the value of our patents. Similarly, any adverse changes in the patent laws of other jurisdictions could have a material adverse effect on our business and financial condition.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do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its business, our competitive position may be impaired, and our business, financial condition, results of operations and prospects may be adversely affected. Also, competitors may use our technologies in jurisdictions where we have not obtained patent protection to develop our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incur substantial costs as a result of litigation or other proceedings relating to patents, and we may be unable to protect our rights to our products and technology.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also the risk that, even if the validity of these patents is upheld, the court will refuse to stop the third party on the ground that such third party’s activities do not infringe our owned or in-licensed patents. In addition, the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If another party questions the patentability of any of our claims in our owned or in-licensed U.S. patents, the third-party can request that the USPTO review the patent claims such as in an </w:t>
      </w:r>
      <w:r>
        <w:rPr>
          <w:rFonts w:ascii="Times New Roman" w:hAnsi="Times New Roman"/>
          <w:i/>
          <w:color w:val="000000"/>
          <w:sz w:val="20"/>
        </w:rPr>
        <w:t xml:space="preserve">inter partes </w:t>
      </w:r>
      <w:r>
        <w:rPr>
          <w:rFonts w:ascii="Times New Roman" w:hAnsi="Times New Roman"/>
          <w:color w:val="000000"/>
          <w:sz w:val="20"/>
        </w:rPr>
        <w:t xml:space="preserve">review, </w:t>
      </w:r>
      <w:r>
        <w:rPr>
          <w:rFonts w:ascii="Times New Roman" w:hAnsi="Times New Roman"/>
          <w:i/>
          <w:color w:val="000000"/>
          <w:sz w:val="20"/>
        </w:rPr>
        <w:t xml:space="preserve">ex parte </w:t>
      </w:r>
      <w:r>
        <w:rPr>
          <w:rFonts w:ascii="Times New Roman" w:hAnsi="Times New Roman"/>
          <w:color w:val="000000"/>
          <w:sz w:val="20"/>
        </w:rPr>
        <w:t xml:space="preserve">re-exam or post-grant review proceedings. These proceedings are expensive and may result in a loss of scope of some claims or a loss of the entire patent. In addition to potential USPTO review proceedings, we may become a party to patent opposition proceedings in foreign patent offices, where either our owned or in-licensed foreign patents are challenged.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The costs of these opposition or similar proceedings could be substantial, and may result in a loss of scope of some claims or a loss of the entire patent. An unfavorable result at the USPTO or other patent office may result in the loss of our right to exclude others from practicing one or more of our inventions in the relevant country or jurisdiction, which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the future, we may be involved in similar proceedings challenging the patent rights of others, and the outcome of such proceedings is highly uncertain. We may choose to challenge the patentability of claims in a third party’s U.S. patent by requesting that the USPTO review the patent claims in an </w:t>
      </w:r>
      <w:r>
        <w:rPr>
          <w:rFonts w:ascii="Times New Roman" w:hAnsi="Times New Roman"/>
          <w:i/>
          <w:color w:val="000000"/>
          <w:sz w:val="20"/>
        </w:rPr>
        <w:t xml:space="preserve">ex-parte </w:t>
      </w:r>
      <w:r>
        <w:rPr>
          <w:rFonts w:ascii="Times New Roman" w:hAnsi="Times New Roman"/>
          <w:color w:val="000000"/>
          <w:sz w:val="20"/>
        </w:rPr>
        <w:t xml:space="preserve">re-exam, </w:t>
      </w:r>
      <w:r>
        <w:rPr>
          <w:rFonts w:ascii="Times New Roman" w:hAnsi="Times New Roman"/>
          <w:i/>
          <w:color w:val="000000"/>
          <w:sz w:val="20"/>
        </w:rPr>
        <w:t xml:space="preserve">inter partes </w:t>
      </w:r>
      <w:r>
        <w:rPr>
          <w:rFonts w:ascii="Times New Roman" w:hAnsi="Times New Roman"/>
          <w:color w:val="000000"/>
          <w:sz w:val="20"/>
        </w:rPr>
        <w:t xml:space="preserve">review or post-grant review proceedings. These proceedings are expensive and may consume our time or other resources. We may choose to challenge a third party’s patent in patent opposition proceedings in the foreign patent offices. The costs of these opposition proceedings could be substantial and may consume our time or other resources. If we fail to obtain a favorable result at the USPTO or other patent office then we may be exposed to litigation by a third party alleging that the patent may be infringed by our product candidates or proprietary technologies. </w:t>
      </w:r>
    </w:p>
    <w:p>
      <w:pPr>
        <w:pStyle w:val="TextBody"/>
        <w:bidi w:val="0"/>
        <w:spacing w:before="240" w:after="283"/>
        <w:jc w:val="left"/>
        <w:rPr>
          <w:rFonts w:ascii="Times New Roman" w:hAnsi="Times New Roman"/>
          <w:sz w:val="20"/>
        </w:rPr>
      </w:pPr>
      <w:r>
        <w:rPr>
          <w:rFonts w:ascii="Times New Roman" w:hAnsi="Times New Roman"/>
          <w:b/>
          <w:i/>
          <w:color w:val="000000"/>
          <w:sz w:val="20"/>
        </w:rPr>
        <w:t>Patent terms may be inadequate to protect our competitive position on our product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do not obtain patent term extension and data exclusivity for any product candidates we may develop,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 Further, for our licensed patents, we may not have the right to control prosecution, including filing with the USPTO, of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 names or trademarks that incorporate variations of our unregistered trade names or trademarks. If we are unable to establish name recognition based on our trademarks and trade names, we may not be able to compete effectively, and our business may be adversely affected.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Reliance on Third Parties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currently rely and expect to rely in the future on the use of manufacturing suites in third-party facilities or on third parties to manufacture TX45, TX2100 and any other product candidates, and we may rely on third parties to produce and process our products, if approved. Our business could be adversely affected if we are unable to use third-party manufacturing suites or if the third-party manufacturers encounter difficulties in production.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lease or own any facility that may be used as our clinical-scale manufacturing and processing facility and currently rely on contract development and manufacturing organizations (“CDMO”), including WuXi Biologics (Hong Kong) Limited (“WuXi Biologics”), to manufacture TX45 for use in our Phase 1a, Phase 1b and the recently initiated Phase 2 clinical trials. We currently have a sole source relationship with WuXi Biologics for our supply of TX45. If there should be any disruption in such supply arrangement or the supply arrangement with our CDMO for TX2100, including any adverse events affecting our sole supplier for TX45, Wuxi Biologics, it could have a negative effect on the clinical development of our product candidates and other operations while we work to identify and qualify an alternate supply source. We may not control the manufacturing process of, and may be completely dependent on, our contract manufacturing partners for compliance with CGMP requirements and any other regulatory requirements of the FDA or comparable foreign regulatory authorities for the manufacture of a product candidate. We perform periodic audits of each CDMO facility that supports our supply of TX45 and TX 2100 and reviews and approves all TX45 and TX2100 CGMP-related documentation. We also have quality agreements with our CDMOs that document our mutual agreement on compliance with CGMPs and expectations on quality-required communications to us. Beyond this, we have no control over the ability of our CDMOs to maintain adequate quality control, quality assurance and qualified personnel. If the FDA or a comparable foreign regulatory authority does not approve these facilities and the associated Quality Management System for the manufacture of a product candidate or if it withdraws any approval in the future,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may need to find alternative manufacturing facilities, which would require the incurrence of significant additional costs and materially and adversely affect our ability to develop, obtain regulatory approval for or market such product candidate, if approved. Similarly, our failure, or the failure of our CDMOs,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a product candidate or drug and harm our business and results of operations. In addition, we have not yet caused any product candidates to be manufactured on a commercial scale and may not be able to do so for any of our product candidates, if approved. </w:t>
      </w:r>
    </w:p>
    <w:p>
      <w:pPr>
        <w:pStyle w:val="TextBody"/>
        <w:bidi w:val="0"/>
        <w:spacing w:before="120" w:after="283"/>
        <w:jc w:val="left"/>
        <w:rPr>
          <w:rFonts w:ascii="Times New Roman" w:hAnsi="Times New Roman"/>
          <w:sz w:val="20"/>
        </w:rPr>
      </w:pPr>
      <w:r>
        <w:rPr>
          <w:rFonts w:ascii="Times New Roman" w:hAnsi="Times New Roman"/>
          <w:color w:val="000000"/>
          <w:sz w:val="20"/>
        </w:rPr>
        <w:t>Moreover, our CDMOs may experience manufacturing difficulties due to resource constraints, governmental restrictions or as a result of labor disputes or unstable political environments. Supply chain issues, including those resulting from the a health pandemic and the ongoing military conflict between Russia and Ukraine, may affect our third-party vendors and cause delays. Furthermore, since we have engaged WuXi Biologics, a manufacturer located in China, we are exposed to the possibility of product supply disruption and increased costs in the event of changes in the policies of the United States or Chinese governments or political unrest or unstable economic conditions in China. For example, the U.S. House of Representatives of the prior Congress (the 118th Congress) passed the BIOSECURE Act, which proposed targeting U.S. government contracts, loans, and grants to entities that use biotechnology equipment or services from certain Chinese biotechnology companies, including Wuxi Biologics, and would authorize the U.S. government to name other Chinese biotechnology companies of concern. The version of the BIOSECURE Act passed by the prior House of Representatives included a grandfathering provision allowing biotechnology equipment and services provided or produced by WuXi Biologics and other named biotechnology companies of concern under a contract or agreement entered into before the effective date until January 1, 2032. The BIOSECURE Act did not become law in the 118</w:t>
      </w:r>
      <w:r>
        <w:rPr>
          <w:rFonts w:ascii="Times New Roman" w:hAnsi="Times New Roman"/>
          <w:color w:val="000000"/>
          <w:sz w:val="13"/>
        </w:rPr>
        <w:t xml:space="preserve">th </w:t>
      </w:r>
      <w:r>
        <w:rPr>
          <w:rFonts w:ascii="Times New Roman" w:hAnsi="Times New Roman"/>
          <w:color w:val="000000"/>
          <w:sz w:val="20"/>
        </w:rPr>
        <w:t>Congress. It is unclear whether the current Congress (the 119</w:t>
      </w:r>
      <w:r>
        <w:rPr>
          <w:rFonts w:ascii="Times New Roman" w:hAnsi="Times New Roman"/>
          <w:color w:val="000000"/>
          <w:sz w:val="13"/>
        </w:rPr>
        <w:t>th</w:t>
      </w:r>
      <w:r>
        <w:rPr>
          <w:rFonts w:ascii="Times New Roman" w:hAnsi="Times New Roman"/>
          <w:color w:val="000000"/>
          <w:sz w:val="20"/>
        </w:rPr>
        <w:t xml:space="preserve"> Congress) will introduce the BIOSECURE Act or similar legislation in this congressional session and, if so, how the scope, prohibitions, or designated biotechnology companies of concern may differ from the version of the BIOSECURE Act passed by the House in the prior 118</w:t>
      </w:r>
      <w:r>
        <w:rPr>
          <w:rFonts w:ascii="Times New Roman" w:hAnsi="Times New Roman"/>
          <w:color w:val="000000"/>
          <w:sz w:val="13"/>
        </w:rPr>
        <w:t>th</w:t>
      </w:r>
      <w:r>
        <w:rPr>
          <w:rFonts w:ascii="Times New Roman" w:hAnsi="Times New Roman"/>
          <w:color w:val="000000"/>
          <w:sz w:val="20"/>
        </w:rPr>
        <w:t xml:space="preserve"> Congress. In addition to the BIOSECURE Act, any additional U.S. executive action, legislative action, or potential sanctions with China could materially impact our work with WuXi Biologics. U.S. executive agencies have the ability to designate entities and individuals on various governmental prohibited and restricted parties lists. Depending on the designation, potential consequences can range from a comprehensive prohibition on all transactions or dealings with designated parties, or a limited prohibition on certain types of activities, such as exports and financing activities, with designated parties. If we are required to change manufacturers for any reason, we will be required to verify that the new manufacturer maintains facilities and procedures that comply with quality standards and with all applicable regulations and guidelines. For example, in the event that we need to transfer from WuXi Biologics, which is our sole manufacturing source for TX45, we anticipate that the complexity of the manufacturing process may materially impact the amount of time it would take to secure a replacement manufacturer. The delays associated with the verification of a new manufacturer, if we are able to identify an alternative source, could negatively affect our ability to supply product candidates, including TX45, in a timely manner or within budget. If any CDMO on which we will rely fails to manufacture quantities of a product candidate at quality levels necessary to meet regulatory requirements and at a scale sufficient to meet anticipated demand at a cost that allows us to achieve profitability, our business, financial condition, cash flows, and prospects could be materially and adversely affected. In addition, our CDMO and/or distribution partners are responsible for transporting temperature-controlled materials that can be inadvertently degraded during transport due to several factors, rendering certain batches unsuitable for trial use for failure to meet, among others, our integrity and purity specifications. We and our CDMO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 in higher costs or adversely impact commercialization of our products.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relied upon and plan to continue to rely upon third parties, including independent clinical investigators, contracted laboratories and third-party CROs, to conduct our preclinical studies and clinical trials in accordance with applicable regulatory requirements, to validate our assays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these third parties does not relieve us of our regulatory responsibilities. We and our third-party contractors and CROs are required to comply with good laboratory practices (“GLPs”), as applicable, and GCP requirements, which are regulations and guidelines enforced by the FDA and comparable foreign regulatory authorities for conducting, recording and reporting the results of clinical trials to assure that data and reported results are credible, reproducible and accurate and that the rights, integrity, and confidentiality of trial participants are protected.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our clinical trials may be deemed unreliable and the FDA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CROs have the right to terminate their agreements with us in the event of an uncured material breach. In addition, some of our CROs have an ability to terminate their respective agreements with us if we can be reasonably demonstrated that the safety of the subjects participating in our clinical trials warrants such termination, if we make a general assignment for the benefit of our creditors or if we are liquidated.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Our future collaborations will be important to our business. If we are unable to enter into new collaborations, or if these collaborations are not successful,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part of our strategy is to strategically evaluate and, as deemed appropriate, enter into additional strategic collaborations in the future when strategically attractive, including potentially with major biotechnology or 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If we fail to enter into or maintain collaborations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 of intellectual property rights held by third parties, and the growth of our business may depend in part on our ability to acquire or in-license these intellectual property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future collaborations we enter into may pose a number of risks,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perform their obligations as expected;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discovered in collaboration with ours may be viewed by our collaborators as competitive with their own product candidates or products, which may cause collaborators to cease to devote resources to the commercialization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fail to comply with applicable regulatory requirements regarding the development, manufacture, distribution or marketing of a product candidate or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with marketing and distribution rights to one or more of our product candidates that achieve regulatory approval may not commit sufficient resources to the marketing and distribution of such product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infringe the intellectual property rights of third parties, which may expose us to litigation and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collaborator of ours is involved in a business combination, the collaborator might deemphasize or terminate the development or commercialization of any product candidate licensed to it by us;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be terminated by the collaborator, and, if terminated, we could be required to raise additional capital to pursue further development or commercialization of the applicable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Quarterly Report also apply to the activities of our therapeutic collaborators.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one of our collaborators terminates its agreement with us, we may find it more difficult to attract new collaborators and our perception in the business and financial communities could be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collaborative partners. Our ability to reach a definitive agreement for a collaboration will depend, among other things, upon an assessment of the collaborator’s resources and expertise, the terms and conditions of the proposed collaboration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 </w:t>
      </w:r>
    </w:p>
    <w:p>
      <w:pPr>
        <w:pStyle w:val="TextBody"/>
        <w:bidi w:val="0"/>
        <w:spacing w:before="240" w:after="283"/>
        <w:jc w:val="left"/>
        <w:rPr>
          <w:rFonts w:ascii="Times New Roman" w:hAnsi="Times New Roman"/>
          <w:sz w:val="20"/>
        </w:rPr>
      </w:pPr>
      <w:r>
        <w:rPr>
          <w:rFonts w:ascii="Times New Roman" w:hAnsi="Times New Roman"/>
          <w:b/>
          <w:i/>
          <w:color w:val="000000"/>
          <w:sz w:val="20"/>
        </w:rPr>
        <w:t>Nonclinical research requires the use of Non-Human Primates (“NHP”), the supply of which could delay or prevent development of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Consistent with various rules, regulations and CGMP requirements, our ability to advance our pre-clinical programs and successfully develop our product candidates requires access to animal research models sufficient to assess safety and in some cases to establish the rationale for therapeutic use. Failure to access or a significant delay in accessing animal research models that meet our needs or that fulfil regulatory requirements may materially adversely affect our ability to advance our pre-clinical programs and successfully develop our product candidates and this could result in significant harm to our business. During the COVID-19 pandemic, researchers and CROs experienced significant limitations in their access to animal research models, specifically including a sharp reduction in the availability of NHPs originating from breeding farms in Southeast Asia and limited access to the generation of genetically-modified rodent models used in efficacy evaluations. If we are unable to obtain NHPs in sufficient quantities and in a timely manner to meet the needs of our pre-clinical research programs, if the price of NHPs that are available increases significantly, or if our suppliers are unable to ship the NHPs in their possession that are reserved for them, our ability to advance our pre-clinical programs and successfully develop our pre-clinical candidates may be materially adversely affected or significantly delayed.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Business Operations, Employee Matters and Managing Growth</w:t>
      </w:r>
    </w:p>
    <w:p>
      <w:pPr>
        <w:pStyle w:val="TextBody"/>
        <w:bidi w:val="0"/>
        <w:spacing w:before="240" w:after="283"/>
        <w:jc w:val="left"/>
        <w:rPr>
          <w:rFonts w:ascii="Times New Roman" w:hAnsi="Times New Roman"/>
          <w:sz w:val="20"/>
        </w:rPr>
      </w:pPr>
      <w:r>
        <w:rPr>
          <w:rFonts w:ascii="Times New Roman" w:hAnsi="Times New Roman"/>
          <w:b/>
          <w:i/>
          <w:color w:val="000000"/>
          <w:sz w:val="20"/>
        </w:rPr>
        <w:t>Our future success depends on our ability to retain key executives and to attract, retain and motivate qualified personnel.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our management team, including Alise Reicin, M.D., our President and Chief Executive Officer, Daniel Lochner, our Chief Financial Officer, Peter McNamara, Ph.D., our Chief Scientific Officer and Marcella K. Ruddy, M.D., our Chief Medical Officer. Each of them may currently terminate their employment with us at any time. The loss of the services of any of these persons could impede the achievement of our research, development, and commercialization objectives. We do not currently maintain “key person” life insurance on the lives of our executives or any of our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consulting or advisory contracts with other entities that may limit their availability to us. If we are unable to continue to attract and retain high-quality personnel, our ability to pursue our growth strategy will be limited. </w:t>
      </w:r>
    </w:p>
    <w:p>
      <w:pPr>
        <w:pStyle w:val="TextBody"/>
        <w:bidi w:val="0"/>
        <w:spacing w:before="240" w:after="283"/>
        <w:jc w:val="left"/>
        <w:rPr>
          <w:rFonts w:ascii="Times New Roman" w:hAnsi="Times New Roman"/>
          <w:sz w:val="20"/>
        </w:rPr>
      </w:pPr>
      <w:r>
        <w:rPr>
          <w:rFonts w:ascii="Times New Roman" w:hAnsi="Times New Roman"/>
          <w:b/>
          <w:i/>
          <w:color w:val="000000"/>
          <w:sz w:val="20"/>
        </w:rPr>
        <w:t>Our estimates of market opportunity and forecasts of market growth may prove to be inaccurate, and even if the markets in which we compete achieve the forecasted growth, our business may not grow at similar rates,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exposed to costly and damaging liability claims, either when testing a product candidate in the clinical or at the commercial stage, and our product liability insurance may not cover all damages from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potential product liability and professional indemnity risks that are inherent in the research, development, manufacturing, marketing, and use of pharmaceutical products. While we currently have no products that have been approved for commercial sale, the current and future use of a product candidate in clinical trials, and the sale of any approved products in the future, may expose us to liability claims. These claims may be made by patients that use the product, healthcare providers, pharmaceutical companies, or others selling such product. Any claims against us, regardless of their merit, could be difficult and costly to defend and could materially and adversely affect the market for our products or any prospects for commercialization of our products. Although we believe we currently maintain adequate product liability insurance for our product candidates,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240" w:after="283"/>
        <w:jc w:val="left"/>
        <w:rPr>
          <w:rFonts w:ascii="Times New Roman" w:hAnsi="Times New Roman"/>
          <w:sz w:val="20"/>
        </w:rPr>
      </w:pPr>
      <w:r>
        <w:rPr>
          <w:rFonts w:ascii="Times New Roman" w:hAnsi="Times New Roman"/>
          <w:b/>
          <w:i/>
          <w:color w:val="000000"/>
          <w:sz w:val="20"/>
        </w:rPr>
        <w:t>Business disruptions could seriously harm our future revenue and financial condition and increase our costs and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and those of our CROs, CDMOs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 </w:t>
      </w:r>
    </w:p>
    <w:p>
      <w:pPr>
        <w:pStyle w:val="TextBody"/>
        <w:bidi w:val="0"/>
        <w:spacing w:before="240" w:after="283"/>
        <w:jc w:val="left"/>
        <w:rPr>
          <w:rFonts w:ascii="Times New Roman" w:hAnsi="Times New Roman"/>
          <w:sz w:val="20"/>
        </w:rPr>
      </w:pPr>
      <w:r>
        <w:rPr>
          <w:rFonts w:ascii="Times New Roman" w:hAnsi="Times New Roman"/>
          <w:b/>
          <w:i/>
          <w:color w:val="000000"/>
          <w:sz w:val="20"/>
        </w:rPr>
        <w:t>Failure to comply with health-related data protection laws and regulations could lead to government enforcement actions, including civil or criminal penalties, private litigation, and adverse publicity and could negatively affect our operating results and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any current and future collaborators are subject to federal, state/provincial, municipal and foreign data protection laws and regulations, such as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including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violate HIPAA.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U.S. and international data protection laws and regulations could require us to take on more onerous obligations in our contracts, restrict our ability to collect, use and disclose data, or in some cases, impact our ability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current or future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Our employees, principal investigators, consultants, and commercial partners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information technology systems, or the information technology systems of our CROs, our CDMOs, service providers, our current and potential future partners or other third parties with whom we work fail or suffer security breaches, we could experience adverse consequences, including but not limited to material disruptions to our business operations and product development programs, regulatory investigations or actions, litigation, fines and penalties, reputational harm, loss of revenue or profits, or other adverse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collect, store, receive, process, generate, use, transfer, disclose, make accessible, protect, secure, dispose of, share, and transmit (collectively, process) proprietary, confidential and sensitive information, including personal information (such as health-related data of clinical trial participants and employee information), in the course of our business. Similarly, third-parties with whom we work process certain of that information on our behalf.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internal computer systems and those of our current and any future collaborators and other contractors or consultants are vulnerable to damage from cyber-attacks, malicious internet-based activity, online and offline fraud, and other similar activities that threaten the confidentiality, integrity, and availability of our sensitive information and information technology systems, and those of the third parties upon which we rely. Such threats are constantly evolving and growing in frequency, sophistication, and intensity. For example, these threats may include (without limitation) malware, viruses, software vulnerabilities and bugs, software or hardware failure, hacking, denial of service attacks, social engineering (including through deep fakes, which may be increasingly more difficult to identify as fake, and phishing), ransomware, insider threats (such as theft of misuse by personnel), credential stuffing, telecommunications failures, loss or theft of devices, data or other information technology assets, attacks enhanced or facilitated by AI, earthquakes, fires, floods and similar threats. Threats such as ransomware attacks, for example, are becoming increasingly prevalent and severe, and attackers are increasingly leveraging multiple attack methods to extort payment from victims, such as data theft and disabling systems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Security incidents may result from the actions of a wide variety of actors with a wide range of motives and expertise, including traditional hackers, our personnel or the personnel of the third parties with whom we work, organized criminal threat actors, hacktivists, sophisticated nation-states and nation-state-supported actors. During times of war and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major conflicts, we, the third parties upon which we rely, and our customers may be vulnerable to a heightened risk of these attacks, including retaliatory cyber- attacks, that could materially disrupt our systems and operations, supply chain, and ability to conduct our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reliance on third-party service providers could introduce new cybersecurity risks and vulnerabilities, and other threats to our business operations. For example, we rely on third parties to operate critical business systems and process sensitive data in a variety of contexts, including, without limitation, cloud-based infrastructure, data center facilities, encryption and authentication technology, personnel email, and other functions. We also rely on third parties, including CROs, clinical trial sites and clinical trial vendors, to collect, store, and transmit sensitive data as part of our research activities. Our ability to monitor these third parties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damages, or we may be unable to recover such awards. Supply-chain attacks have also increased in frequency and severity, and we cannot guarantee that third parties’ infrastructure in our supply chain or our third-party partners’ supply chains have not been compromised.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functional areas of our workforce work remotely on a full- or part-time basis or otherwise utilize network connections, computers and devices outside of our premises or network, which imposes additional risks to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 In the future we may be required to or choose to, expend significant resources or modify our business activities (including our clinical trial activities) in an effort to protect against security incidents, particularly where required by applicable data privacy and security laws or regulations or industry standards. Certain data privacy and security obligations require us to implement and maintain certain security measures or industry-standard or reasonable security measures to protect our information technology systems and sensitive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expect such attempts will continue in the future. If our information systems or data, or that of the third parties on which we rely, are compromised, it could interrupt our operations, disrupt our development programs and have a material adverse effect on our business, financial condition and results of operations, whether due to a loss of our trade secrets or other proprietary information or similar disruptions. For example, the loss or corruption of clinical trial data from completed or future clinical trials could result in delays in our regulatory approval efforts and significantly increase our costs to recover or reproduce the data. Additionally, any such event that leads to unauthorized access, use or disclosure of personal information, including personal information regarding our patients or employees, could harm our reputation, cause us not to comply with applicable federal and/or state breach notification laws and foreign law equivalents and otherwise subject us to liability under applicable laws and regulations that protect the privacy and security of personal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Likewise, we rely on third parties for the manufacture of TX45, to analyze clinical trial samples and to conduct clinical trials, and security incidents experienced by these third parties could have a material adverse effect on our business. Security incidents affecting us or the third parties we rely on or partners with could also result in substantial remediation costs and expose us to litigation (including class claims), regulatory enforcement action (for example, investigations, fines, penalties, audits and inspections), additional reporting requirements and/or oversight, fines, penalties, indemnification obligations, negative publicity, reputational harm, monetary fund diversions, diversion of management attention, interruptions in our operations (including availability of data), financial loss and other liabilities and harms. Additionally, such incidents may trigger data privacy and security obligations requiring us to notify relevant stockholders, including affected individuals, customers, regulators, and investors. Such disclosures may be costly, and related requirements or the failure to comply with them could lead to adverse consequences. Even a perceived security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incident or failure in compliance by us or a third-party partner may result in negative publicity, harm to our reputation, or other adverse effects.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contracts may not contain limitations of liability, and even where they do, there can be no assurance that limitations of liability in our contracts are sufficient to protect us from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experiencing a security incident, third parties may gather, collect, or infer sensitive information about us from public sources, data brokers, or other means that reveal competitively sensitive details about the company and could be used to undermine our competitive advantage or market position. Additionally, sensitive information of ours could be leaked, disclosed, or revealed as a result of or in connection with our employees’, personnel’s, or vendors’ use of generative AI technologies. </w:t>
      </w:r>
    </w:p>
    <w:p>
      <w:pPr>
        <w:pStyle w:val="TextBody"/>
        <w:bidi w:val="0"/>
        <w:spacing w:before="240" w:after="283"/>
        <w:jc w:val="left"/>
        <w:rPr>
          <w:rFonts w:ascii="Times New Roman" w:hAnsi="Times New Roman"/>
          <w:sz w:val="20"/>
        </w:rPr>
      </w:pPr>
      <w:r>
        <w:rPr>
          <w:rFonts w:ascii="Times New Roman" w:hAnsi="Times New Roman"/>
          <w:b/>
          <w:i/>
          <w:color w:val="000000"/>
          <w:sz w:val="20"/>
        </w:rPr>
        <w:t>We, and the third parties with whom we work, are subject to rapidly changing and increasingly stringent U.S. and foreign laws, regulations, and rules, contractual obligations, industry standards, policies and other obligations relating to privacy, data protection and information security. Our actual or perceived failure to comply with these obligations could lead to regulatory investigations or actions; litigation (including class claims) and mass arbitration demands; fines and penalties; disruptions of business operations; reputational harm; loss of revenue or profits; loss of customers or sales; and otherwise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the third parties with whom we work process proprietary, confidential and sensitive information, including personal information (including health-related data), which subjects us to numerous evolving and complex data privacy and security obligations, including various laws, regulations, guidance, industry standards, external and internal privacy and security policies, contracts and other obligations that govern the processing of such information in connection with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govern data privacy and security. For example, the European Union’s General Data Protection Regulation, (“EU GDPR”) and the United Kingdom’s GDPR (“UK GDPR”) and the Swiss Federal Data Protection Act (collectively, “European Data Protection Laws”) impose strict requirements for processing personal information, including relating to transfer of personal information to countries like the United States. European Data Protection Laws and other relevant laws govern patient confidentiality and storage of personal health data, including personal information from clinical trial participants and other individuals located in the EEA, the United Kingdom (the “UK”), or Switzerland Companies that violate the EU or UK GDPR can face private litigation, regulatory investigations and enforcement actions, prohibitions on data processing, other administrative measures, reputational damage and fines of up to the greater of 20 million Euros /17.5 million pounds sterling or 4% of their worldwide annual revenue, in either case, whichever is greater. Certain jurisdictions have enacted data localization restrictions or laws and regulations restricting cross-border transfers of personal information, except in limited circumstances where adequate safeguards are in place. In particular, regulators and courts in the EEA, the UK, and Switzerland have significantly restricted the transfer of personal information to the United States and other countries whose privacy laws they generally believe are inadequate. Other jurisdictions have in the past and may continue to adopt similarly stringent data localization and cross-border data transfer laws. Although there are currently various mechanisms that may be used to transfer personal information from the EEA, the UK, or Switzerland to the United States, such as the EEA standard contractual clauses, the UK’s International Data Transfer Agreement / Addendum, and the EU-U.S. Data Privacy Framework (the “Framework”) and the UK extension thereto (which allows for transfers for to relevant U.S.-based organizations who self-certify compliance and participate in the Framework), these mechanisms are subject to legal challenges and there is no assurance that we can satisfy or rely on these measures to lawfully transfer personal data to the United States. If we are unable to implement a valid compliance solution for cross-border transfers of personal information, or if the requirements for a legally-compliant transfer are too onerous, we may face increased exposure to significant adverse consequences, including substantial fines, regulatory actions, as well as injunctions against the export and processing of personal information from the EEA, UK, Switzerland, or other countries that implement cross-border data transfer restrictions. Our inability to import personal information from the EEA, UK or Switzerland or other countries may also restrict or prohibit our clinical trial activities in those countries; limit our ability to collaborate with CROs, service providers, contractors and other companies subject to laws restricting cross-border data transfers; require us to increase our data processing capabilities in other countries at significant expense and may otherwise negatively impact our business operations. Depending on how these laws are interpreted, we may have to make changes to our business practices and products to comply with such obligations.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other countries have enacted or are considering enacting similar cross-border data transfer restrictions and laws requiring local data residency, which could increase the cost and complexity of delivering our services and operating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Many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if we become subject to these laws. For example, the California Consumer Rights Act (“CCPA”), as amended by the California Privacy Rights Act of 2020 (“CPRA”) applies to personal information data of consumers, business representatives, and employees who are California residents and requires businesses to provide specific disclosures in privacy notices and honor requests of such individuals to exercise certain rights concerning their personal data. The CCPA provides fines for noncompliance and a limited private right of action in connection with certain data breaches. While the CCPA and other state privacy laws contains an exemption for certain personal information processed in connection with clinical trials, , these developments further complicate compliance efforts, and increase legal risk and compliance costs for us and the third parties with whom we work. Similar laws have been passed or are being considered in several other states, as well as at the federal and local levels. The evolving patchwork of differing state and federal privacy and data security laws increases the cost and complexity of operating our business and increases our exposure to liability, including from third party litigation and regulatory investigations, enforcement, fines, and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bound by contractual obligations and our efforts to comply with such obligations may not be successful. We publish privacy policies, marketing materials and other statements, such as compliance with certain certifications or self-regulatory principles, regarding data privacy and security. Regulators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obligations related to data privacy and security (and consumers’ data privacy obligations) are quickly changing in an increasingly stringent fashion and creating uncertainty. These obligations may be subject to differing applications and interpretations, which may be inconsistent or in conflict among jurisdictions. Monitoring, preparing for and complying with these obligations requires us to devote significant resources (including, without limitation, financial and time-related resources). These obligations have in the past and may in the future necessitate changes to our information technologies, systems and practices and to those of any third parties that process personal information on our behalf. In addition, these obligations may require us to change aspects of our business model. Although we endeavor to comply with applicable data privacy and security obligations, we may at times fail (or be perceived to have failed) to do so. Moreover, despite our efforts, our personnel or third parties upon whom we rely may fail to comply with such obligations, which could impact whether or not we are in compliance.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third parties with whom we work) fail, or are perceived to have failed, to address or comply with data privacy, protection and security obligations, we could face significant consequences, including (without limitation):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and/or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revision or restructuring of our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U.S. and certain foreign anti-corruption laws and regulations, export and import controls, sanctions and embargoes. We could face liability and other serious consequences for violations which can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anti-corruption laws and regulations, including the FCPA, the U.S. domestic bribery statute contained in 18 U.S.C. § 201, the U.S. Travel Act and other state and national anti-bribery laws in the countries in which we may conduct activities in the future. Anti-corruption laws are interpreted broadly and generally prohibit companies and their employees, agents, contractors and other third-party collaborators from offering, promising, giving, or authorizing others to give anything of value, either directly or indirectly through third parties, to any person in the public or private sector to obtain or retain business. The FCPA also requires public companies to make and keep books and records that accurately and fairly reflect the transactions of the corporation and to devise and maintain an adequate system of internal accounting controls. We may engage third parties to sell our products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no certainty that all of our employees, agents, suppliers, manufacturers, contractors or collaborators, or those of our affiliates, will comply with all applicable anti-corruption, export and import control, and sanctions laws and regulations.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pStyle w:val="TextBody"/>
        <w:bidi w:val="0"/>
        <w:spacing w:before="240" w:after="283"/>
        <w:jc w:val="left"/>
        <w:rPr>
          <w:rFonts w:ascii="Times New Roman" w:hAnsi="Times New Roman"/>
          <w:sz w:val="20"/>
        </w:rPr>
      </w:pPr>
      <w:r>
        <w:rPr>
          <w:rFonts w:ascii="Times New Roman" w:hAnsi="Times New Roman"/>
          <w:b/>
          <w:i/>
          <w:color w:val="000000"/>
          <w:sz w:val="20"/>
        </w:rPr>
        <w:t>We or the third parties upon whom we depend may be adversely affected by earthquakes, fires or other natural disasters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earthquakes, fires, other natural disasters, terrorism and similar unforeseen events beyond our control prevent us from using all or a significant portion of our headquarters or other facilities,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could have a material adverse effect on our business. In addition, the long-term effects of climate change on general economic conditions and the pharmaceutical manufacturing and distribution industry in particular are unclear, and changes in the supply, demand or available sources of energy and the regulatory and other costs associated with energy production and delivery may affect the availability or cost of goods and services, including raw materials and other natural resources, necessary to run our business. If such an event were to affect our supply chain, it could have a material adverse effect on our ability to conduct our clinical trials, our development plans and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Legislation or other changes in U.S. tax law could adversely affect our business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In recent years, many changes have been made to applicable tax laws and changes are likely to continue to occur in the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cannot be predicted whether, when, in what form, or with what effective dates, new tax laws may be enacted, or regulations and rulings may be enacted, promulgated or issued under existing or new tax laws, which could result in an increase in our tax liability or require changes in the manner in which we operate in order to minimize or mitigate any adverse effects of changes in tax law or in the interpretation thereof. </w:t>
      </w:r>
    </w:p>
    <w:p>
      <w:pPr>
        <w:pStyle w:val="TextBody"/>
        <w:bidi w:val="0"/>
        <w:spacing w:before="240" w:after="283"/>
        <w:jc w:val="left"/>
        <w:rPr>
          <w:rFonts w:ascii="Times New Roman" w:hAnsi="Times New Roman"/>
          <w:sz w:val="20"/>
        </w:rPr>
      </w:pPr>
      <w:r>
        <w:rPr>
          <w:rFonts w:ascii="Times New Roman" w:hAnsi="Times New Roman"/>
          <w:b/>
          <w:i/>
          <w:color w:val="000000"/>
          <w:sz w:val="20"/>
        </w:rPr>
        <w:t>Our ability to use our U.S. net operating loss carryforwards and certain other U.S.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2024, we had U.S. federal net operating loss carryforwards of $399.3 million. The amount of net operating loss carryforwards that we are permitted to deduct is limited to 80% of taxable income in each such taxable year to which the net operating loss carryforwards are applied. In addition, our U.S. federal net operating losses and tax credits may be subject to limitations under Sections 382 and 383 of the Code, if we have undergone or undergo an “ownership change,” generally defined as a greater than 50 percentage point change (by value) in our equity ownership by certain stockholders over a rolling three-year period. We may have experienced such ownership changes in the past and may experience ownership changes in the future as a result of shifts in our stock ownership, some of which are outside our control. Our net operating losses and tax credits may also be impaired or restricted under state law.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utilize our net operating loss carryforwards could be limited by an “ownership change” as described above, which could result in increased tax liability to us. </w:t>
      </w:r>
    </w:p>
    <w:p>
      <w:pPr>
        <w:pStyle w:val="TextBody"/>
        <w:bidi w:val="0"/>
        <w:spacing w:before="240" w:after="283"/>
        <w:jc w:val="left"/>
        <w:rPr>
          <w:rFonts w:ascii="Times New Roman" w:hAnsi="Times New Roman"/>
          <w:sz w:val="20"/>
        </w:rPr>
      </w:pPr>
      <w:r>
        <w:rPr>
          <w:rFonts w:ascii="Times New Roman" w:hAnsi="Times New Roman"/>
          <w:b/>
          <w:i/>
          <w:color w:val="000000"/>
          <w:sz w:val="20"/>
        </w:rPr>
        <w:t>Unstable market and economic conditions may have serious adverse consequences on our business, financial condition and stock price.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any necessary debt or equity financing that we undertake may be more difficult, more costly and more dilutive than it would be otherwise. Failure to secure any necessary financing in a timely manner and on favorable terms could have a material adverse effect on our growth strategy and financial performance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Geopolitical developments, such as the Russian invasion of Ukraine, the conflict in the Middle East or deterioration in the bilateral relationship between the United States and China, may impact government spending, international trade and market stability, and cause weaker macro-economic conditions. Certain political developments may also lead to regulatory uncertainty and to rules that may adversely affect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Future changes in financial accounting standards or practices may cause adverse and unexpected revenue fluctuations and adversely affect our reported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or any CDMOs and suppliers we engage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any CDMOs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third-party facilities. We could also incur significant costs associated with civil or criminal fines and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comply with these laws, regulations and permitting requirements also may result in substantial fines, penalties or other sanctions or business disruption, which could have a material adverse effect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third-party CDMOs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incur significantly increased costs as a result of operating as a public company, and our management will be required to devote substantial time to new compliance initiatives.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that Legacy Tectonic did not incur as a private company. In addition, the Sarbanes-Oxley Act of 2002 (the “Sarbanes-Oxley Act”), as well as rules subsequently implemented by the SEC, and Nasdaq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costlier. For example, we expect these rules and regulations to make it more difficult and more expensive for us to obtain director and officer liability insurance and we may be required to incur substantial costs to maintain our current levels of such coverage. </w:t>
      </w:r>
    </w:p>
    <w:p>
      <w:pPr>
        <w:pStyle w:val="TextBody"/>
        <w:bidi w:val="0"/>
        <w:spacing w:before="240" w:after="283"/>
        <w:jc w:val="left"/>
        <w:rPr>
          <w:rFonts w:ascii="Times New Roman" w:hAnsi="Times New Roman"/>
          <w:sz w:val="20"/>
        </w:rPr>
      </w:pPr>
      <w:r>
        <w:rPr>
          <w:rFonts w:ascii="Times New Roman" w:hAnsi="Times New Roman"/>
          <w:b/>
          <w:i/>
          <w:color w:val="000000"/>
          <w:sz w:val="20"/>
        </w:rPr>
        <w:t>Once we are no longer a smaller reporting company or otherwise no longer qualify for applicable exemptions, we will be subject to additional laws and regulations affecting public companies that will increase our costs and the demands on management and could harm our operating results and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We currently qualify as a “smaller reporting company,” as such term is defined in Rule 12b-2 under the Exchange Act, which allows the us to take advantage of many of the same exemptions from disclosure requirements, including not being required to comply with the auditor attestation requirements of Section 404 of the Sarbanes-Oxley Act and reduced disclosure obligations regarding executive compensation in this Quarterly Report and in our periodic reports and proxy statements. Once we are no longer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remedy those deficiencies, the market price of our stock could decline or we could be subject to sanctions or investigations by the SEC or other regulatory authorities, which would require additional financial and management resources. </w:t>
      </w:r>
    </w:p>
    <w:p>
      <w:pPr>
        <w:pStyle w:val="TextBody"/>
        <w:bidi w:val="0"/>
        <w:spacing w:before="240" w:after="283"/>
        <w:jc w:val="left"/>
        <w:rPr>
          <w:rFonts w:ascii="Times New Roman" w:hAnsi="Times New Roman"/>
          <w:sz w:val="20"/>
        </w:rPr>
      </w:pPr>
      <w:r>
        <w:rPr>
          <w:rFonts w:ascii="Times New Roman" w:hAnsi="Times New Roman"/>
          <w:b/>
          <w:i/>
          <w:color w:val="000000"/>
          <w:sz w:val="20"/>
        </w:rPr>
        <w:t>Failure to build our finance infrastructure and improve our accounting systems and controls could impair our ability to comply with the financial reporting and internal controls requirements for publicly traded companies.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operate in an increasingly demanding regulatory environment, which requires us to comply with the Sarbanes-Oxley Act, the regulations of Nasdaq, the rules and regulations of the SEC, expanded disclosure requirements, accelerated reporting requirements and more complex accounting rules. The Sarbanes-Oxley Act requires us to, among other things, establish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the year after the Merger is completed, we must perform system and process evaluation and testing of our internal controls over financial reporting to allow management to report on the effectiveness of our internal controls over financial reporting in our Annual Report on Form 10-K filing for that year, as required by Section 404 of the Sarbanes-Oxley Act. Prior to the closing of the Merger, we were never required to test our internal controls within a specified period and, as a result, we may experience difficulty in meeting these reporting requirements in a timely manner. 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 </w:t>
      </w:r>
    </w:p>
    <w:p>
      <w:pPr>
        <w:pStyle w:val="TextBody"/>
        <w:bidi w:val="0"/>
        <w:spacing w:before="24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240" w:after="283"/>
        <w:jc w:val="left"/>
        <w:rPr>
          <w:rFonts w:ascii="Times New Roman" w:hAnsi="Times New Roman"/>
          <w:sz w:val="20"/>
        </w:rPr>
      </w:pPr>
      <w:r>
        <w:rPr>
          <w:rFonts w:ascii="Times New Roman" w:hAnsi="Times New Roman"/>
          <w:b/>
          <w:i/>
          <w:color w:val="000000"/>
          <w:sz w:val="20"/>
        </w:rPr>
        <w:t>Stockholders previously filed lawsuits, which were subsequently dismissed, relating to the Merger; however, additional lawsuits could be filed.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Prior to the Merger, three actions were filed by purported stockholders of AVROBIO in connection with the Merger. One action has been filed in the United States District Court for the Southern District of New York captioned </w:t>
      </w:r>
      <w:r>
        <w:rPr>
          <w:rFonts w:ascii="Times New Roman" w:hAnsi="Times New Roman"/>
          <w:i/>
          <w:color w:val="000000"/>
          <w:sz w:val="20"/>
        </w:rPr>
        <w:t>Garofalo v. Avrobio, Inc. et al.</w:t>
      </w:r>
      <w:r>
        <w:rPr>
          <w:rFonts w:ascii="Times New Roman" w:hAnsi="Times New Roman"/>
          <w:color w:val="000000"/>
          <w:sz w:val="20"/>
        </w:rPr>
        <w:t xml:space="preserve">, 24-cv-1493 (filed February 27, 2024). Two actions have been filed in the Supreme Court of New York, captioned </w:t>
      </w:r>
      <w:r>
        <w:rPr>
          <w:rFonts w:ascii="Times New Roman" w:hAnsi="Times New Roman"/>
          <w:i/>
          <w:color w:val="000000"/>
          <w:sz w:val="20"/>
        </w:rPr>
        <w:t>Price v. Avrobio, Inc., et al.</w:t>
      </w:r>
      <w:r>
        <w:rPr>
          <w:rFonts w:ascii="Times New Roman" w:hAnsi="Times New Roman"/>
          <w:color w:val="000000"/>
          <w:sz w:val="20"/>
        </w:rPr>
        <w:t xml:space="preserve">, No. 652555/2024 (filed May 17, 2024) and </w:t>
      </w:r>
      <w:r>
        <w:rPr>
          <w:rFonts w:ascii="Times New Roman" w:hAnsi="Times New Roman"/>
          <w:i/>
          <w:color w:val="000000"/>
          <w:sz w:val="20"/>
        </w:rPr>
        <w:t>Keller v. Avrobio, Inc., et al.</w:t>
      </w:r>
      <w:r>
        <w:rPr>
          <w:rFonts w:ascii="Times New Roman" w:hAnsi="Times New Roman"/>
          <w:color w:val="000000"/>
          <w:sz w:val="20"/>
        </w:rPr>
        <w:t xml:space="preserve">, No. 652597/2024 (filed May 21, 2024). The foregoing actions are referred to as the “Merger Actions.”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Merger Actions generally allege that the Registration Statement misrepresents and/or omits certain purportedly material information in connection with the Merger, potential conflicts of interest of AVROBIO’s officers and directors, and the events that led to the signing of the Merger Agreement. The </w:t>
      </w:r>
      <w:r>
        <w:rPr>
          <w:rFonts w:ascii="Times New Roman" w:hAnsi="Times New Roman"/>
          <w:i/>
          <w:color w:val="000000"/>
          <w:sz w:val="20"/>
        </w:rPr>
        <w:t>Price</w:t>
      </w:r>
      <w:r>
        <w:rPr>
          <w:rFonts w:ascii="Times New Roman" w:hAnsi="Times New Roman"/>
          <w:color w:val="000000"/>
          <w:sz w:val="20"/>
        </w:rPr>
        <w:t xml:space="preserve"> and </w:t>
      </w:r>
      <w:r>
        <w:rPr>
          <w:rFonts w:ascii="Times New Roman" w:hAnsi="Times New Roman"/>
          <w:i/>
          <w:color w:val="000000"/>
          <w:sz w:val="20"/>
        </w:rPr>
        <w:t>Keller</w:t>
      </w:r>
      <w:r>
        <w:rPr>
          <w:rFonts w:ascii="Times New Roman" w:hAnsi="Times New Roman"/>
          <w:color w:val="000000"/>
          <w:sz w:val="20"/>
        </w:rPr>
        <w:t xml:space="preserve"> actions assert claims for breach of fiduciary duty against all defendants. The Merger Actions seek, among other things, an injunction enjoining the consummation of the Merger, rescission of the Merger if consummated, costs of the action, including plaintiff’s attorneys’ fees and experts’ fees and other relief the court may deem just and proper.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 also received demand letters from eleven purported AVROBIO stockholders (the “Demands”). The Demands generally assert that the Registration Statement misrepresents and/or omits certain purportedly material information relating to the Merger.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 believed that the disclosures set forth in the Registration Statement complied fully with all applicable law, that no supplemental disclosures were required under applicable law, and that the allegations in the Merger Actions and Demands were without merit. However, in order to moot the claims in the Merger Actions and Demands, avoid nuisance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possible expense and business delays, and provide additional information to its stockholders, and without admitting any liability or wrongdoing, AVROBIO decided voluntarily to supplement certain disclosures in the Registration Statement (the “Supplemental Disclosures”). On June 4, 2024, AVROBIO made certain Supplemental Disclosures on Form 8-K filed with the Securities and Exchange Commission. Following the issuance of the Supplemental Disclosures, each of the Merger Actions was voluntarily dismissed and each of the Demands were withdrawn.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potential plaintiffs may file lawsuits challenging the Merger. The outcome of any current or future litigation is uncertain. Such litigation, if not resolved, could result in substantial costs to us, including any costs associated with the indemnification of directors and officers. If a plaintiff were successful in obtaining an injunction obtaining a rescission of the Merger, then such injunction may rescind the Merger after its consummation. Regardless of the outcome, litigation can have a material and adverse impact on us because of defense and settlement costs, diversion of management resources and other factors.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The market price of our common stock has been and is likely to continue to be volatile and fluctuate substantially.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common stock has been and is likely to continue to be highly volatile. Furthermore, the stock market in general and the market for biopharmaceutical and pharmaceutical companies in particular have experienced extreme volatility that has often been unrelated to the operating performance of particular companies. As a result of this volatility, our stockholders may not be able to sell their shares at or above the price they paid for their shares. The market price of our common stock may be influenced by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clinical trials and preclinical studies of our product candidates, or those of our competitors or existing or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meet or exceed financial and development projections we may provide to the public;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meet or exceed the financial and development projections of the investment community;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not achieve the perceived benefits of the Merger as rapidly or to the extent anticipated by financial or industry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of significant acquisitions, strategic collaborations, joint ventures or capital commitments by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actions taken by regulatory agencies with respect to our product candidates, clinical studies, manufacturing process or sales and marketing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or other developments relating to proprietary rights, including patents, litigation matters, and our ability to obtain patent protection for our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or departures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lawsuits, including patent or stockholder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securities or industry analysts do not publish research or reports about our business, or if they issue adverse or misleading opinions regarding our business and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market valuations of similar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market or macroeconomic conditions or 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securities by us, the selling stockholders or other securityholders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raise an adequate amount of capital to fund our operations or continued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trading volume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competitors of new commercial products, clinical progress or lack thereof, significant contracts, commercial relationships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relating to precision medicine product candidates, including with respect to other products in such markets;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introduction of technological innovations or new therapies that compete with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period-to-period fluctuations in our financial results;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other factors described in this “Risk Factors” section.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Sales of our common stock or the perception of such sales, by us or selling stockholders, in the public market or otherwise, could cause the market price for our securities to decline, even though selling stockholders would still realize a profit on sales at lower prices. Resales of the securities offered may cause the market price of such securities to drop significantly, even if our business is doing well.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sale of our common stock in the public market or otherwise, or the perception that such sales could occur, could harm the prevailing market price of our common stock. These sales, or the possibility that these sales may occur, also might make it more difficult for us to sell equity securities in the future at a time and at a price that we deem appropriate. Resales of our common stock may cause the market price of our securities to drop significantly, even if our business is doing well.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selling stockholders acquired securities at prices that are significantly less than the current trading price of our common stock. Accordingly, certain selling stockholders could still realize a profit on sales at lower prices. Even if the trading price of our common stock falls to or significantly below the current trading price, selling stockholders may still have an incentive to sell and profit due to the nominal purchase prices paid by such selling stockholders, which are significantly lower than the purchase prices paid by the public stockholders.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Subscription Agreement, we filed a resale shelf registration statement covering the resale of up to an aggregate of 2,969,583 shares of our common stock, which was declared effective on July 30, 2024. In addition, in connection with the private placement we completed in February 2025 (the “February 2025 PIPE”), we intend to file a resale shelf registration statement covering the resale of up to an aggregate of 3,689,465 shares of our common stock. Given the substantial number of shares available for resale, the sale of shares by such stockholders, or the perception in the market that the stockholders of a large number of shares intend to sell shares, could increase the volatility of the market price of our common stock or result in a significant decline in the public trading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certain of our shares are subject to lock-up agreements in connection with the February 2025 PIPE. Following the expiration of these lock-up agreements, the relevant stockholders will not be restricted from selling shares our common stock held by them, other than by applicable securities laws. Stockholders not subject to these lock-up agreements will not be restricted from selling shares of our common stock held by them, other than by applicable securities laws. Common stock that is issued in connection with stock options and restricted stock units will also become eligible for sale in the public market, to the extent permitted by the provisions of various vesting agreements and Rules 144 and 701 under the Securities Act. If our stockholders sell, or indicate an intention to sell, substantial amounts of our common stock in the public market after any legal or contractual restrictions on resale lapse, the trading price of our common stock could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Our executive officers, directors and principal stockholders have the ability to control or significantly influence all matters submitted to our stockholders for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the number of shares outstanding as of December 31, 2024, our executive officers, directors and principal stockholders, in the aggregate, beneficially own approximately 72% of our outstanding shares of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our company on terms that other stockholders may desire.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If equity research analysts do not publish research or reports, or publish unfavorable research or reports, about us, our business or our market, our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broad discretion in the use of our cash and cash equivalents and may invest or spend the proceeds in ways with which you do not agree and in ways that may not increase the value of your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broad discretion over the use of our cash and cash equivalents. You may not agree with our decisions, and our use of the proceeds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our cash resources. </w:t>
      </w:r>
    </w:p>
    <w:p>
      <w:pPr>
        <w:pStyle w:val="TextBody"/>
        <w:bidi w:val="0"/>
        <w:spacing w:before="240" w:after="283"/>
        <w:jc w:val="left"/>
        <w:rPr>
          <w:rFonts w:ascii="Times New Roman" w:hAnsi="Times New Roman"/>
          <w:sz w:val="20"/>
        </w:rPr>
      </w:pPr>
      <w:r>
        <w:rPr>
          <w:rFonts w:ascii="Times New Roman" w:hAnsi="Times New Roman"/>
          <w:b/>
          <w:i/>
          <w:color w:val="000000"/>
          <w:sz w:val="20"/>
        </w:rPr>
        <w:t>Because we do not anticipate paying any cash dividends on our share capital in the foreseeable future, capital appreciation, if any, will be your sole source of gain.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should not rely on an investment in our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appreciation, if any, of our common shares will be your sole source of gain for the foreseeable future. Investors seeking cash dividends should not purchase our shares. </w:t>
      </w:r>
    </w:p>
    <w:p>
      <w:pPr>
        <w:pStyle w:val="TextBody"/>
        <w:bidi w:val="0"/>
        <w:spacing w:before="240" w:after="283"/>
        <w:jc w:val="left"/>
        <w:rPr>
          <w:rFonts w:ascii="Times New Roman" w:hAnsi="Times New Roman"/>
          <w:sz w:val="20"/>
        </w:rPr>
      </w:pPr>
      <w:r>
        <w:rPr>
          <w:rFonts w:ascii="Times New Roman" w:hAnsi="Times New Roman"/>
          <w:b/>
          <w:i/>
          <w:color w:val="000000"/>
          <w:sz w:val="20"/>
        </w:rPr>
        <w:t>Provisions in our charter and bylaws, as well as provisions of Delaware law, could make it more difficult for a third party to acquire us or increase the cost of acquiring us, even if doing so would benefit our stockholders or remove our current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charter and bylaws and Delaware law contain provisions that may have the effect of delaying or preventing a change in control of the Company or changes in our management. Our charter and bylaws, include provisions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“blank check” preferred stock, which could be issued by the Board without stockholder approval and may contain voting, liquidation, dividend and other rights superior to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create a classified board of directors whose members serve staggered three-year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specify that special meetings of our stockholders can be called only by the Board, the chairperson of the Board, our Chief Executive Officer or our President;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 action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 advance notice procedure for stockholder approvals to be brought before an annual meeting of our stockholders, including proposed nominations of persons for election to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our directors may be removed only for cause;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vacancies on the Board may be filled only by a majority of directors then in office, even though less than a quorum;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specify that no stockholder is permitted to cumulate votes at any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expressly authorize the Board to modify, alter or repeal our amended and restated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supermajority votes of the holders of our common stock to amend specified provisions of our charter and bylaws.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provisions, alone or together, could delay or prevent hostile takeovers and changes in control or changes in our management.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because we are incorporated in Delaware, we are governed by the provisions of Section 203 of the DGCL, which limits the ability of stockholders owning in excess of 15% of our outstanding voting stock to merge or combine with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provision of our charter,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Our bylaws contain exclusive forum provisions, which may limit a stockholder’s ability to bring a claim in a judicial forum it finds favorable and may discourage lawsuits with respect to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AVROBIO consents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Watertown,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recognize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 </w:t>
      </w:r>
    </w:p>
    <w:p>
      <w:pPr>
        <w:pStyle w:val="TextBody"/>
        <w:bidi w:val="0"/>
        <w:spacing w:before="240" w:after="240"/>
        <w:jc w:val="left"/>
        <w:rPr>
          <w:rFonts w:ascii="Times New Roman" w:hAnsi="Times New Roman"/>
          <w:b/>
          <w:color w:val="000000"/>
          <w:sz w:val="20"/>
        </w:rPr>
      </w:pPr>
      <w:bookmarkStart w:id="5" w:name="item_1b"/>
      <w:bookmarkEnd w:id="5"/>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bookmarkStart w:id="6" w:name="item_1c"/>
      <w:bookmarkEnd w:id="6"/>
      <w:r>
        <w:rPr>
          <w:rFonts w:ascii="Times New Roman" w:hAnsi="Times New Roman"/>
          <w:b/>
          <w:color w:val="000000"/>
          <w:sz w:val="20"/>
        </w:rPr>
        <w:t>Item 1C. Cybersecurity.</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data related to our clinical trial and development of therapeutic proteins and antibodies (“Information Systems and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Information Technology (“IT”) Department, led by our Vice President of IT, helps identify, assess and manage the Company’s cybersecurity threats and risks. Our IT Department identifies and assesses risks from cybersecurity threats by monitoring and evaluating our threat environment using various methods including, for example manual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automated tools, subscribing to reports and services that identify cybersecurity threats, analyzing reports of threats and threat actors, conducting scans of the threat environment, evaluating and assessing threats reported to us, coordinating with law enforcement about certain threats as may be appropriate, conducting internal and external audits and conducting risk and threat assessments.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our incident response plan, incident detection and response procedures, disaster recovery and business continuity plans, encryption of certain data, network security controls, data segmentation, access and physical security controls, asset management and disposal, monitoring of our systems, employee training, and maintaining cybersecurity insurance.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assessment and management of material risks from cybersecurity threats are integrated into the Company’s overall risk management processes. For example, cybersecurity risk is addressed as a component of the Company’s enterprise risk management program and the IT Department works with management to prioritize our risk management processes and mitigate cybersecurity threats that are more likely to lead to a material impact to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third-party service providers to assist us from time to time to identify, assess, and manage material risks from cybersecurity threats, including for example cybersecurity consultants and managed cybersecurity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third-party service providers to perform a variety of functions throughout our business, such as application providers, hosting companies, and third parties associated with our clinical trial development, such as contract research organizations and contract manufacturing organizations.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vendor management processes to manage cybersecurity risks associated with our use of certain of these providers.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 description of the risks from cybersecurity threats that may materially affect the Company and how they may do so, see our risk factors under Part 1. Item 1A. Risk Factors in this Annual Report on Form 10-K, including if our information technology systems, or the information technology systems of our CROs, our CDMOs, service providers, our current and potential future partners or other third parties with whom we work were compromised, we could experience adverse consequences, including but not limited to material disruptions to our business operations, regulatory investigations or actions, litigation, fines and penalties, reputational harm, loss of revenue or profits, or other adverse consequences. </w:t>
      </w:r>
    </w:p>
    <w:p>
      <w:pPr>
        <w:pStyle w:val="TextBody"/>
        <w:bidi w:val="0"/>
        <w:spacing w:before="120" w:after="283"/>
        <w:jc w:val="left"/>
        <w:rPr>
          <w:rFonts w:ascii="Times New Roman" w:hAnsi="Times New Roman"/>
          <w:sz w:val="20"/>
        </w:rPr>
      </w:pPr>
      <w:r>
        <w:rPr>
          <w:rFonts w:ascii="Times New Roman" w:hAnsi="Times New Roman"/>
          <w:b/>
          <w:color w:val="000000"/>
          <w:sz w:val="20"/>
        </w:rPr>
        <w:t>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addresses the Company’s cybersecurity risk management as part of its general oversight function. The board of directors’ audit committee is responsible for overseeing Company’s cybersecurity risk management processes, including oversight of mitigation of risks from cybersecurity threats.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cybersecurity risk assessment and management processes are implemented and maintained by certain Company management, including our VP of IT, who has over 25 years of IT experience and 10 years of cybersecurity management expertise.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VP of IT is responsible for hiring appropriate personnel, helping to integrate cybersecurity risk considerations into the Company’s overall risk management strategy, and communicating key priorities to relevant personnel. Our Chief Financial Officer is responsible for approving budgets, helping prepare for cybersecurity incidents, approving cybersecurity processes, and reviewing security assessments and other security-related reports.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cybersecurity incident response plan is designed to escalate certain cybersecurity incidents to members of management depending on the circumstances. Management works with the Company’s incident response team to help the Company mitigate and remediate cybersecurity incidents of which they are notified. In addition, the Company’s incident response plan includes reporting to the audit committee of the board of directors for certain cybersecurity incidents as appropriate.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audit committee receives periodic reports our VP of IT concerning the Company’s significant cybersecurity threats and risk and the processes the Company has implemented to address them. The audit committee also can request access to various reports, summaries or presentations related to cybersecurity threats, risk and mitigation.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7" w:name="item_2"/>
      <w:bookmarkEnd w:id="7"/>
      <w:r>
        <w:rPr>
          <w:rFonts w:ascii="Times New Roman" w:hAnsi="Times New Roman"/>
          <w:b/>
          <w:color w:val="000000"/>
          <w:sz w:val="20"/>
        </w:rPr>
        <w:t>Item 2. Properties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corporate headquarters are currently located in Watertown, Massachusetts and consist of approximately 19,000 square feet of leased research laboratory and office space under a lease that expires in January 2026. We believe that our facilities are adequate to meet our current needs. </w:t>
      </w:r>
    </w:p>
    <w:p>
      <w:pPr>
        <w:pStyle w:val="TextBody"/>
        <w:bidi w:val="0"/>
        <w:spacing w:before="240" w:after="283"/>
        <w:jc w:val="left"/>
        <w:rPr>
          <w:rFonts w:ascii="Times New Roman" w:hAnsi="Times New Roman"/>
          <w:sz w:val="20"/>
        </w:rPr>
      </w:pPr>
      <w:bookmarkStart w:id="8" w:name="item_3"/>
      <w:bookmarkEnd w:id="8"/>
      <w:r>
        <w:rPr>
          <w:rFonts w:ascii="Times New Roman" w:hAnsi="Times New Roman"/>
          <w:b/>
          <w:color w:val="000000"/>
          <w:sz w:val="20"/>
        </w:rPr>
        <w:t>Item 3.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b/>
          <w:color w:val="000000"/>
          <w:sz w:val="20"/>
        </w:rPr>
      </w:pPr>
      <w:bookmarkStart w:id="9" w:name="item_4"/>
      <w:bookmarkEnd w:id="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0" w:name="part_ii"/>
      <w:bookmarkEnd w:id="10"/>
      <w:r>
        <w:rPr>
          <w:rFonts w:ascii="Times New Roman" w:hAnsi="Times New Roman"/>
          <w:b/>
          <w:color w:val="000000"/>
          <w:sz w:val="20"/>
        </w:rPr>
        <w:t>PART II</w:t>
      </w:r>
    </w:p>
    <w:p>
      <w:pPr>
        <w:pStyle w:val="TextBody"/>
        <w:bidi w:val="0"/>
        <w:spacing w:before="240" w:after="283"/>
        <w:jc w:val="left"/>
        <w:rPr>
          <w:rFonts w:ascii="Times New Roman" w:hAnsi="Times New Roman"/>
          <w:b/>
          <w:color w:val="000000"/>
          <w:sz w:val="20"/>
        </w:rPr>
      </w:pPr>
      <w:bookmarkStart w:id="11" w:name="item_5"/>
      <w:bookmarkEnd w:id="11"/>
      <w:r>
        <w:rPr>
          <w:rFonts w:ascii="Times New Roman" w:hAnsi="Times New Roman"/>
          <w:b/>
          <w:color w:val="000000"/>
          <w:sz w:val="20"/>
        </w:rPr>
        <w:t>Item 5. Market for Registrant’s Common Equity, Related Stockholder Matters and Issuer Purchases of Equity Securities.</w:t>
      </w:r>
    </w:p>
    <w:p>
      <w:pPr>
        <w:pStyle w:val="TextBody"/>
        <w:bidi w:val="0"/>
        <w:jc w:val="left"/>
        <w:rPr>
          <w:rFonts w:ascii="Times New Roman" w:hAnsi="Times New Roman"/>
          <w:color w:val="000000"/>
          <w:sz w:val="20"/>
        </w:rPr>
      </w:pPr>
      <w:r>
        <w:rPr>
          <w:rFonts w:ascii="Times New Roman" w:hAnsi="Times New Roman"/>
          <w:color w:val="000000"/>
          <w:sz w:val="20"/>
        </w:rPr>
        <w:t xml:space="preserve">Our common stock is traded on the Nasdaq Global Market under the symbol “TECX”. Public trading of our common stock began on June 21, 2024.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Holders of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1, 2025, there were 37 holders of record of our common stock. The actual number of stockholders is greater than this number of record holders, and includes stockholders who are beneficial owners, but whose shares are held in street name by brokers and other nominees.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Dividends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never declared or paid any cash dividends on our common stock and do not anticipate paying cash dividends in the foreseeable future.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Purchases of Equity Securities by the Issuer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40"/>
        <w:jc w:val="left"/>
        <w:rPr>
          <w:rFonts w:ascii="Times New Roman" w:hAnsi="Times New Roman"/>
          <w:b/>
          <w:color w:val="000000"/>
          <w:sz w:val="20"/>
        </w:rPr>
      </w:pPr>
      <w:bookmarkStart w:id="12" w:name="item_6"/>
      <w:bookmarkEnd w:id="12"/>
      <w:r>
        <w:rPr>
          <w:rFonts w:ascii="Times New Roman" w:hAnsi="Times New Roman"/>
          <w:b/>
          <w:color w:val="000000"/>
          <w:sz w:val="20"/>
        </w:rPr>
        <w:t>Item 6. Reserved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bookmarkStart w:id="13" w:name="item_7"/>
      <w:bookmarkEnd w:id="13"/>
      <w:r>
        <w:rPr>
          <w:rFonts w:ascii="Times New Roman" w:hAnsi="Times New Roman"/>
          <w:b/>
          <w:color w:val="000000"/>
          <w:sz w:val="20"/>
        </w:rPr>
        <w:t>Item 7.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financial statements and related notes included elsewhere in this Annual Report on Form 10-K. The following discussion contains forward-looking statements that are based upon current expectations that involve risks, uncertainties and assumptions. Our actual results could differ materially from those anticipated in these forward-looking statements as a result of many factors, including those discussed under “Risk Factors” and elsewhere in this Annual Report on Form 10-K. Please also see the section titled “Special Note Regarding Forward-Looking Statements.”</w:t>
      </w:r>
    </w:p>
    <w:p>
      <w:pPr>
        <w:pStyle w:val="TextBody"/>
        <w:bidi w:val="0"/>
        <w:spacing w:before="120" w:after="283"/>
        <w:jc w:val="left"/>
        <w:rPr>
          <w:rFonts w:ascii="Times New Roman" w:hAnsi="Times New Roman"/>
          <w:sz w:val="20"/>
        </w:rPr>
      </w:pPr>
      <w:r>
        <w:rPr>
          <w:rFonts w:ascii="Times New Roman" w:hAnsi="Times New Roman"/>
          <w:i/>
          <w:color w:val="000000"/>
          <w:sz w:val="20"/>
        </w:rPr>
        <w:t>Unless otherwise indicated or the context otherwise requires, references in this “Management’s Discussion and Analysis of Financial Condition and Results of Operations” section to the Company, “we,” “us,” and “our” refer to the business and operations of Tectonic Operating Company, Inc. (previously Tectonic Therapeutic, Inc., referred to as “Legacy Tectonic”) and its consolidated subsidiaries prior to the Merger, and the business and operations of Tectonic Therapeutic, Inc. (previously AVROBIO, Inc., referred to as “AVROBIO”) and its consolidated subsidiaries following the Merger.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are a biotechnology company focused on the discovery and development of therapeutic proteins and antibodies that modulate the activity of GPCRs. The discovery of biologics that can modulate GPCRs has historically been quite challenging. We have developed a proprietary technology platform called GEODe</w:t>
      </w:r>
      <w:r>
        <w:rPr>
          <w:rFonts w:ascii="Times New Roman" w:hAnsi="Times New Roman"/>
          <w:color w:val="000000"/>
          <w:sz w:val="13"/>
        </w:rPr>
        <w:t></w:t>
      </w:r>
      <w:r>
        <w:rPr>
          <w:rFonts w:ascii="Times New Roman" w:hAnsi="Times New Roman"/>
          <w:color w:val="000000"/>
          <w:sz w:val="20"/>
        </w:rPr>
        <w:t xml:space="preserve">, with the aim of addressing these challenges to enable the discovery and development of GPCR-targeted biologic medicines that can modify the course of disease. We focus on areas of significant unmet medical need, often where therapeutic options are poor or nonexistent, as these are areas where new medicines have the potential to improve patient quality of life or extend duration of life.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lead asset, TX45, is an Fc-relaxin fusion molecule that activates the RXFP1 receptor, the GPCR target of the hormone, relaxin. In September 2024, we announced favorable results from a Phase 1a trial evaluating safety, tolerability and pharmacokinetic (“PK”) and pharmacodynamic (“PD”) properties for TX45. In this trial, TX45 was well-tolerated with no drug-related severe adverse events, no observed immunogenicity and demonstrated a favorable PK/PD relationship. Renal plasma flow was measured in each patient at several time points as a pharmacodynamic marker. This data was used to develop an exposure-response model which enabled the selection of doses for the APEX Phase 2 trial.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currently evaluating TX45 in a Phase 1b hemodynamic clinical trial and in a Phase 2 clinical trial. Part A of the TX45 Phase 1b hemodynamic clinical trial is a single dose IV, open-label clinical trial evaluating the safety, tolerability and acute hemodynamic effects of TX45 in patients with Group 2 PH in Heart Failure with Preserved Ejection Fraction (“PH-HFpEF”). We have completed dosing of all 19 patients in the Part A of the Phase 1b trial. A preliminary analysis of hemodynamic data from 16 out of 19 patients demonstrated improvements which met and or exceeded our prespecified goals and demonstrated that TX45 both improved left heart function and pulmonary hemodynamics over the 8 hour period post dosing which was evaluated. Part B of the Phase 1b trial which is assessing acute hemodynamics effects of TX45 in patients with Group 2 PH-HFrEF is expected to enroll the first patient in the first half of 2025 with data expected to be announced in the second half of 2025. We dosed our first subject in the APEX Phase 2 clinical trial in October 2024. The APEX Phase 2 clinical trial is a global, 24-week, placebo-controlled trial designed to evaluate the safety and efficacy TX45 administered subcutaneously (“SC”) in subjects with PH-HFpEF. Subjects will be randomized to 300 mg SC (2ml injection) once monthly of TX45, 300 mg SC once every other week of TX45, or placebo. We expect topline trial results from the APEX trial in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evaluating TX002100 (“TX2100”) as our second development candidate for the treatment of Hereditary Hemorrhagic Telangiectasia (“HHT”), the second most common genetic bleeding disorder with no approved therapy. TX2100 is a VHH-Fc fusion antagonist antibody that binds to an undisclosed GPCR target (“GPCR3”) which plays a key role in pathogenic angiogenesis. A rodent surrogate of TX2100 demonstrated reduced arteriovenous malformation development and bleeding in an animal model of HHT. A 4-week non-human primate dose-range study with a functionally equivalent precursor to TX2100 showed no treatment-related toxicity observed at doses up to 100 mg/kg. A formulation supporting TX2100 SC dosing has been identified. Both IND enabling NHP GLP toxicology studies and technical development activities to generate GMP drug supply and drug product for TX2100 is expected to start in the second quarter of 2025.We expect to initiate a Phase 1 clinical trial for TX2100 in the fourth quarter of 2025 or the first quarter of 2026, subject to the results of IND enabling studies.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Merger with AVROBIO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30, 2024, Legacy Tectonic entered into the Agreement and Plan of Merger and Reorganization (“Merger Agreement”) with AVROBIO and Alpine Merger Subsidiary, Inc. (“Merger Sub”). Pursuant to the Merger Agreement and the satisfaction of the conditions described in the Merger Agreement, on June 20, 2024, Merger Sub merged with and into Legacy Tectonic, with Legacy Tectonic surviving as a wholly owned subsidiary of AVROBIO (the “Merger”). The Merger Agreement and the transactions contemplated therein were approved by the members of the AVROBIO Board of Directors and Legacy Tectonic Board of Directors. Subject to the terms and conditions of the Merger Agreement, at the effective time, (a) each outstanding share of Legacy Tectonic common stock (including shares of Legacy Tectonic common stock issued upon conversion of its preferred stock and the shares issued pursuant to that certain Subscription Agreement dated January 30, 2024, entered into among Legacy Tectonic and the investors party thereto (the “Subscription Agreement”) and conversion of the SAFEs into the right to receive a number of shares of AVROBIO common stock equal to the exchange ratio; and (b) each then outstanding Legacy Tectonic stock option that was outstanding and unexercised immediately prior to the effective time was assumed by AVROBIO, subject to the exchange ratio.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Immediately after the Merger, AVROBIO securityholders as of immediately prior to the Merger owned approximately 24.8% of the outstanding shares of our capital stock on a diluted basis. Immediately after the Merger, Legacy Tectonic securityholders owned approximately 38.5% of the outstanding shares of our capital stock on a diluted basis. Investors participating in the Subscription Agreement and the SAFEs owned approximately 27.1% and 9.6% of the outstanding shares of our capital stock, respectively, on a diluted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Legacy Tectonic stockholders received 10,956,614 shares of AVROBIO common stock in connection with the Merger, including 11,447 shares of AVROBIO common stock subject to vesting terms, based on the number of shares of Legacy Tectonic common stock outstanding immediately prior to the Merger, including Legacy Tectonic restricted stock, the number of shares of Legacy Tectonic common stock issued to investors participating in the Subscription Agreement and SAFEs, and Legacy Tectonic convertible preferred stock outstanding immediately prior to the Merger, which was converted into shares of Legacy Tectonic common stock on a one-for-one basis immediately prior to the closing of the Merger. </w:t>
      </w:r>
    </w:p>
    <w:p>
      <w:pPr>
        <w:pStyle w:val="TextBody"/>
        <w:bidi w:val="0"/>
        <w:spacing w:before="240" w:after="283"/>
        <w:jc w:val="left"/>
        <w:rPr>
          <w:rFonts w:ascii="Times New Roman" w:hAnsi="Times New Roman"/>
          <w:sz w:val="20"/>
        </w:rPr>
      </w:pPr>
      <w:r>
        <w:rPr>
          <w:rFonts w:ascii="Times New Roman" w:hAnsi="Times New Roman"/>
          <w:b/>
          <w:i/>
          <w:color w:val="000000"/>
          <w:sz w:val="20"/>
        </w:rPr>
        <w:t>Subscription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Concurrently with the closing of the Merger, on June 20, 2024, certain investors completed the purchase of shares of Legacy Tectonic common stock pursuant to the Subscription Agreement for an aggregate purchase price of $96.6 million. The shares of Legacy Tectonic common stock that were issued pursuant to the Subscription Agreement were converted into 4,163,606 shares of our common stock upon the closing of the Merger based on the exchange ratio, pursuant to the Merger Agreement. </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generated any revenue since our inception and do not expect to generate any revenue from the sale of products in the foreseeable future, if at all. If our development efforts for our product candidates are successful and result in regulatory approval, or if we enter collaboration or license agreements with third parties, we may generate revenue in the future from product sales or payments from collaboration or license agreements, or any combination thereof. We cannot predict if, when or to what extent we will generate revenue from the commercialization and sale of our product candidates. We may never succeed in obtaining regulatory approval for any of our product candidates. </w:t>
      </w:r>
    </w:p>
    <w:p>
      <w:pPr>
        <w:pStyle w:val="TextBody"/>
        <w:bidi w:val="0"/>
        <w:spacing w:before="120" w:after="283"/>
        <w:jc w:val="left"/>
        <w:rPr>
          <w:rFonts w:ascii="Times New Roman" w:hAnsi="Times New Roman"/>
          <w:sz w:val="20"/>
        </w:rPr>
      </w:pPr>
      <w:r>
        <w:rPr>
          <w:rFonts w:ascii="Times New Roman" w:hAnsi="Times New Roman"/>
          <w:b/>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of costs incurred for our research activities, including our discovery efforts and the development of our programs and platform. These expenses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including salaries and bonuses, related benefits and stock-based compensation expense, for employees engaged in research and development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in connection with research and the preclinical and clinical development of our programs and our product candidates, including fees paid to contract research organizations (“CROs”);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manufacturing material for our preclinical studies and clinical trials, including fees paid to contract development and manufacturing organizations (“CDMOs”);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laboratory supplies, consumables and other research materials;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facilities, depreciation and other expenses related to research and development activities, which include direct or allocated expenses for rent and maintenance of facilities, and utilities;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compliance with regulatory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payments made under third-party licensing agreements.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expense all research and development costs in the periods in which they are incurred. Costs for certain development activities are recognized based on our evaluation of the progress to completion of specific tasks using information and data provided to us by our vendors and third-party service providers. Nonrefundable advance payments for goods or services to be received in the future for use in research and development activities are recorded as prepaid expenses. Such amounts are recognized as an expense when the goods have been delivered or the services have been performed, or when it is no longer expected that the goods will be delivered or the services rendered. Upfront payments under license agreements are expensed upon receipt of the license, and annual maintenance fees under license agreements are expensed in the period in which they are incurred. Milestone payments under license or collaboration agreements are accrued, with a corresponding expense being recognized, in the period in which the milestone is determined to be probable of achievement and the related amount is reasonably estimable.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direct research and development expenses relate to the development of TX45 and TX2100, as well as the nonclinical safety pharmacology and toxicology testing of our product candidates. Our external services expenses consist of the external costs and fees paid to consultants and other research laboratories in connection with our preclinical development and clinical development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that are deployed across multiple internal programs, including programs aimed at the discovery and development of potential therapies for fibrotic disease, and our platform technology and are not directly attributable to any single program are not allocated to any single program and, as such, are not separately classified. These costs include multi-program employee-related costs, cross-program payments made under third-party licensing agreements, costs of laboratory supplies and facilities expenses, including rent, depreciation and other indirect costs, the costs of our discovery efforts and projects, and other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Our future expenses may vary significantly each period based on factors such 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to conduct preclinical studies required to advance our product candidates into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 patient trial costs, including based on the number of doses that patients received;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who enroll in each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trials required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sites included in the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countries in which the trials are conducted;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length of time required to enroll eligible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drop-out or discontinuation rates of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additional safety monitoring requested by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duration of patient participation in the trials and follow-up;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phase of development of the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contractors failing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manufacture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profile of our product candidates.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employee-related costs, including salaries and bonuses, related benefits and stock-based compensation expense, for our personnel in executive, legal, accounting, human resources and other administrative functions. General and administrative expenses also include legal fees relating to patents and corporate matters, professional fees paid for accounting, auditing, consulting and tax services, insurance, travel expenses, office and information technology costs and facilities and utilities, depreciation and other expenses related to general and administrative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anticipate that our general and administrative expenses will increase in the future as we expect to incur increased accounting, audit, legal, regulatory, compliance, director and officer insurance, and investor and public relations expenses associated with operating as a public company. We also expect to incur additional intellectual property-related expenses as we file patent applications to protect innovations arising from our research and development activities. </w:t>
      </w:r>
    </w:p>
    <w:p>
      <w:pPr>
        <w:pStyle w:val="TextBody"/>
        <w:bidi w:val="0"/>
        <w:spacing w:before="120" w:after="283"/>
        <w:jc w:val="left"/>
        <w:rPr>
          <w:rFonts w:ascii="Times New Roman" w:hAnsi="Times New Roman"/>
          <w:sz w:val="20"/>
        </w:rPr>
      </w:pPr>
      <w:r>
        <w:rPr>
          <w:rFonts w:ascii="Times New Roman" w:hAnsi="Times New Roman"/>
          <w:b/>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Loss on Issuance of SAFE Liabilities and Change in Fair Value of SAFE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and December 2023, Legacy Tectonic issued SAFEs for proceeds of $34.1 million. The SAFEs were recorded as liabilities in the Consolidated Balance Sheets at their fair value on the issuance dates. Until redemption on June 20, 2024, the SAFEs were measured at a fair value on a recurring basis, with subsequent changes in fair value recorded in other income and expenses on the Consolidated Statement of Operations and Comprehensive Loss. </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primarily consists of interest earned on money market funds, which are included in cash and cash equivalents in the Consolidated Balance Sheets.</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b/>
          <w:i/>
          <w:color w:val="000000"/>
          <w:sz w:val="20"/>
        </w:rPr>
        <w:t>Comparison of the Years Ended December 31, 2024 and 2023</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years ended December 31, 2024 and 2023: </w:t>
      </w:r>
    </w:p>
    <w:tbl>
      <w:tblPr>
        <w:tblW w:w="9386" w:type="dxa"/>
        <w:jc w:val="left"/>
        <w:tblInd w:w="0" w:type="dxa"/>
        <w:tblLayout w:type="fixed"/>
        <w:tblCellMar>
          <w:top w:w="28" w:type="dxa"/>
          <w:left w:w="28" w:type="dxa"/>
          <w:bottom w:w="28" w:type="dxa"/>
          <w:right w:w="28" w:type="dxa"/>
        </w:tblCellMar>
      </w:tblPr>
      <w:tblGrid>
        <w:gridCol w:w="3816"/>
        <w:gridCol w:w="146"/>
        <w:gridCol w:w="211"/>
        <w:gridCol w:w="736"/>
        <w:gridCol w:w="166"/>
        <w:gridCol w:w="146"/>
        <w:gridCol w:w="211"/>
        <w:gridCol w:w="736"/>
        <w:gridCol w:w="166"/>
        <w:gridCol w:w="146"/>
        <w:gridCol w:w="211"/>
        <w:gridCol w:w="736"/>
        <w:gridCol w:w="166"/>
        <w:gridCol w:w="146"/>
        <w:gridCol w:w="202"/>
        <w:gridCol w:w="669"/>
        <w:gridCol w:w="776"/>
      </w:tblGrid>
      <w:tr>
        <w:trPr/>
        <w:tc>
          <w:tcPr>
            <w:tcW w:w="3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the SAFE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issuance of SAFEs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Research and Development Expenses</w:t>
      </w:r>
    </w:p>
    <w:tbl>
      <w:tblPr>
        <w:tblW w:w="10205" w:type="dxa"/>
        <w:jc w:val="left"/>
        <w:tblInd w:w="0" w:type="dxa"/>
        <w:tblLayout w:type="fixed"/>
        <w:tblCellMar>
          <w:top w:w="28" w:type="dxa"/>
          <w:left w:w="28" w:type="dxa"/>
          <w:bottom w:w="28" w:type="dxa"/>
          <w:right w:w="28" w:type="dxa"/>
        </w:tblCellMar>
      </w:tblPr>
      <w:tblGrid>
        <w:gridCol w:w="4960"/>
        <w:gridCol w:w="146"/>
        <w:gridCol w:w="211"/>
        <w:gridCol w:w="676"/>
        <w:gridCol w:w="146"/>
        <w:gridCol w:w="146"/>
        <w:gridCol w:w="211"/>
        <w:gridCol w:w="676"/>
        <w:gridCol w:w="146"/>
        <w:gridCol w:w="146"/>
        <w:gridCol w:w="211"/>
        <w:gridCol w:w="631"/>
        <w:gridCol w:w="166"/>
        <w:gridCol w:w="146"/>
        <w:gridCol w:w="177"/>
        <w:gridCol w:w="694"/>
        <w:gridCol w:w="716"/>
      </w:tblGrid>
      <w:tr>
        <w:trPr/>
        <w:tc>
          <w:tcPr>
            <w:tcW w:w="4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49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8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6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TX45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6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TX2100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Platform development and unallocated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6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Employee-related expenses,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6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External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6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Lab supplies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6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Facility related and other expenses, including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6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platform development and 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960"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research and development expenses increased $4.4 million for the year ended December 31, 2024 compared to the year ended December 31, 2023. The increase in research and development expense was primarily the result of increased CRO and CDMO costs related to the discovery and development of TX2100.</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General and Administrative Expenses</w:t>
      </w:r>
    </w:p>
    <w:tbl>
      <w:tblPr>
        <w:tblW w:w="10205" w:type="dxa"/>
        <w:jc w:val="left"/>
        <w:tblInd w:w="0" w:type="dxa"/>
        <w:tblLayout w:type="fixed"/>
        <w:tblCellMar>
          <w:top w:w="28" w:type="dxa"/>
          <w:left w:w="28" w:type="dxa"/>
          <w:bottom w:w="28" w:type="dxa"/>
          <w:right w:w="28" w:type="dxa"/>
        </w:tblCellMar>
      </w:tblPr>
      <w:tblGrid>
        <w:gridCol w:w="5331"/>
        <w:gridCol w:w="146"/>
        <w:gridCol w:w="211"/>
        <w:gridCol w:w="676"/>
        <w:gridCol w:w="146"/>
        <w:gridCol w:w="146"/>
        <w:gridCol w:w="211"/>
        <w:gridCol w:w="571"/>
        <w:gridCol w:w="146"/>
        <w:gridCol w:w="146"/>
        <w:gridCol w:w="214"/>
        <w:gridCol w:w="582"/>
        <w:gridCol w:w="146"/>
        <w:gridCol w:w="146"/>
        <w:gridCol w:w="224"/>
        <w:gridCol w:w="647"/>
        <w:gridCol w:w="516"/>
      </w:tblGrid>
      <w:tr>
        <w:trPr/>
        <w:tc>
          <w:tcPr>
            <w:tcW w:w="5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expenses,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Facility related and other expenses, including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$9.0 million for the year ended December 31, 2024 compared to the year ended December 31, 2023. The increase is primarily attributable to an increase in employee-related expenses and professional and consulting expenses. Employee-related expenses increased $3.9 million for the year ended December 31, 2024 compared to the year ended December 31, 2023 due to an increase in stock-based compensation for stock-based awards, the expense for the modification of certain stock options and severance costs related the reduction in force that occurred during the year ended December 31, 2024. Professional and consulting expenses increased $4.8 million for the year ended December 31, 2024 compared to the year ended December 31, 2023. The increase in professional and consulting expenses was due to an increase in services fees to support Merger-related activities and an increase in audit, legal and administrative services to support our operations as a public company.</w:t>
      </w:r>
    </w:p>
    <w:p>
      <w:pPr>
        <w:pStyle w:val="TextBody"/>
        <w:bidi w:val="0"/>
        <w:spacing w:before="240" w:after="283"/>
        <w:jc w:val="left"/>
        <w:rPr>
          <w:rFonts w:ascii="Times New Roman" w:hAnsi="Times New Roman"/>
          <w:sz w:val="20"/>
        </w:rPr>
      </w:pPr>
      <w:r>
        <w:rPr>
          <w:rFonts w:ascii="Times New Roman" w:hAnsi="Times New Roman"/>
          <w:b/>
          <w:color w:val="000000"/>
          <w:sz w:val="20"/>
        </w:rPr>
        <w:t>Other (Expense) Income, Net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Change in Fair Value of SAFE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 liabilities loss of $3.6 million resulted from the remeasurement of the SAFE liabilities to fair value during the year ended December 31, 2024.</w:t>
      </w:r>
    </w:p>
    <w:p>
      <w:pPr>
        <w:pStyle w:val="TextBody"/>
        <w:bidi w:val="0"/>
        <w:spacing w:before="24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increased by $3.7 million for the year ended December 31, 2024 compared to the year ended December 31, 2023 primarily due to an increase in cash and cash equivalents as a result of the Merger.</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incurred significant operating losses. We expect to incur significant expenses and operating losses for the foreseeable future as we advance the preclinical and clinical development of our research programs and product candidates. We expect that our research and development and general and administrative costs will increase in connection with conducting additional preclinical studies and clinical trials for our current and future research programs and product candidates, contracting with CDMOs to support preclinical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have any approved products and have never generated any revenue from product sales. We have funded our operations with proceeds from the sale of convertible preferred stock, the issuance of convertible promissory notes, the Merger, and sale of common stock. In February 2025, we sold shares of our common stock under a securities purchase agreement in exchange for gross proceeds of $185 million. As of December 31, 2024, we had $141.2 million in cash and cash equivalents and an accumulated deficit of $148.6 million. Based on our current business plans, management believes that our cash, cash equivalents and marketable securities on hand at December 31, 2024 are sufficient to meet our operating requirements for at least the next 12 months from the issuance of the consolidated financial statements included in this Annual Report on Form 10-K. We have based this estimate on assumptions that may prove to be wrong, and we could exhaust our capital resources sooner than we expect. </w:t>
      </w:r>
    </w:p>
    <w:p>
      <w:pPr>
        <w:pStyle w:val="TextBody"/>
        <w:bidi w:val="0"/>
        <w:spacing w:before="240" w:after="240"/>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shows a summary of our cash flows for the years ended December 31, 2024 and 2023: </w:t>
      </w:r>
    </w:p>
    <w:tbl>
      <w:tblPr>
        <w:tblW w:w="8554" w:type="dxa"/>
        <w:jc w:val="left"/>
        <w:tblInd w:w="0" w:type="dxa"/>
        <w:tblLayout w:type="fixed"/>
        <w:tblCellMar>
          <w:top w:w="28" w:type="dxa"/>
          <w:left w:w="28" w:type="dxa"/>
          <w:bottom w:w="28" w:type="dxa"/>
          <w:right w:w="28" w:type="dxa"/>
        </w:tblCellMar>
      </w:tblPr>
      <w:tblGrid>
        <w:gridCol w:w="5766"/>
        <w:gridCol w:w="146"/>
        <w:gridCol w:w="211"/>
        <w:gridCol w:w="781"/>
        <w:gridCol w:w="166"/>
        <w:gridCol w:w="146"/>
        <w:gridCol w:w="211"/>
        <w:gridCol w:w="736"/>
        <w:gridCol w:w="391"/>
      </w:tblGrid>
      <w:tr>
        <w:trPr/>
        <w:tc>
          <w:tcPr>
            <w:tcW w:w="5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year ended December 31, 2024, cash used in operating activities was $59.1 million. Cash used in operating activities was primarily used to fund our operations to develop our product candidates, resulting in a net loss of $58.0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million and changes in our operating assets and liabilities of $10.3 million, partially offset by non-cash charges of $9.2 million related to the change in the fair value of the SAFE liabilities, stock-based compensation expense, depreciation and amortization expense and lease expense. The increase in operating assets and liabilities relates to accrued expenses for the Merger and prepayments to the CRO.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year ended December 31, 2023, cash used in operating activities was $40.7 million. Cash used in operating activities was primarily used to fund our operations to development our product candidates, resulting in a net loss of $42.8 million and changes in our operating assets and liabilities of $0.6 million, partially offset by non-cash charges of $2.7 million related to the change in the fair value of the SAFE liabilities, stock-based compensation expense, depreciation and amortization expense and lease expense. The increase in operating assets and liabilities relates to accrued expenses, timing of vendor payments, and timing of lease repayments. </w:t>
      </w:r>
    </w:p>
    <w:p>
      <w:pPr>
        <w:pStyle w:val="TextBody"/>
        <w:bidi w:val="0"/>
        <w:spacing w:before="24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year ended December 31, 2024 and 2023, net cash used in investing activities was $0.2 million and $0.3 million, respectively, related to purchases of property and equipment. </w:t>
      </w:r>
    </w:p>
    <w:p>
      <w:pPr>
        <w:pStyle w:val="TextBody"/>
        <w:bidi w:val="0"/>
        <w:spacing w:before="24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year ended December 31, 2024, net cash provided by financing activities was $171.7 million, primarily due to net proceeds of $94.6 million from the sale of shares pursuant to the Subscription Agreement, $76.0 million in net proceeds and $1.6 million in proceeds from the exercise of stock options. Net cash provided by financing activities during the year ended December 31, 2023 was primarily due to the receipt of $34.1 million of proceeds from the issuance of SAFEs. </w:t>
      </w:r>
    </w:p>
    <w:p>
      <w:pPr>
        <w:pStyle w:val="TextBody"/>
        <w:bidi w:val="0"/>
        <w:spacing w:before="24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expenses to increase in connection with our ongoing activities, particularly as we continue the research and development of, continue or initiate clinical trials of, and seek marketing approval for, our product candidates including our lead product candidate TX45 and TX2100. In addition, if we obtain marketing approval for TX45, TX2100 or any of our other product candidates, we expect to incur significant commercialization expenses related to program sales,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existing cash and cash equivalents, together with the net proceeds from the Merger and the sale of securities pursuant to the Subscription Agreement, will enable us to fund our operating expenses and capital expenditure requirements for at least the next twelve months. 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of product discovery,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prioritization and number of our research and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our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access sufficient additional capital on a timely basis and on favorable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process development and manufacturing scale-up activities associated with our product candidates and other programs as we advance them through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collaborations on favorable terms,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achievement of milestones or occurrence of other developments that trigger payments under the license agreements and any other collaboration agreements we enter into;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are obligated to reimburse, or entitled to reimbursement of, clinical trial costs under collaboration agreements,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enforcing our intellectual property rights and defending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acquire or in-license other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securing manufacturing arrangements for commercial production;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as a publicly traded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establishing or contracting for sales and marketing capabilities if we obtain regulatory approvals to market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macroeconomic environment, including inflation and interest rates.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 Until such time, if ever, as we can generate substantial product revenues, we expect to finance our cash needs through a combination of equity offerings, debt financings, collaborations, strategic alliances and licensing arrangements. Debt financing, if available, may involve agreements that include covenants limiting or restricting our ability to take specific actions, such as incurring additional debt, making capital expenditures or declaring dividends.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incur additional costs associated with operating as a public company. In addition, we anticipate that we will need substantial additional funding in connection with our continuing operations. Our projections of operating capital requirements are based on our current operating plan, which includes several assumptions that may prove to be incorrect and we may use all of our available capital resources sooner than we expect.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no ongoing material financing commitments, such as lines of credit or guarantees, that are expected to affect our liquidity over the next five years, other than our lease obligations. </w:t>
      </w:r>
    </w:p>
    <w:p>
      <w:pPr>
        <w:pStyle w:val="TextBody"/>
        <w:bidi w:val="0"/>
        <w:spacing w:before="240" w:after="283"/>
        <w:jc w:val="left"/>
        <w:rPr>
          <w:rFonts w:ascii="Times New Roman" w:hAnsi="Times New Roman"/>
          <w:sz w:val="20"/>
        </w:rPr>
      </w:pPr>
      <w:r>
        <w:rPr>
          <w:rFonts w:ascii="Times New Roman" w:hAnsi="Times New Roman"/>
          <w:b/>
          <w:color w:val="000000"/>
          <w:sz w:val="20"/>
        </w:rPr>
        <w:t>Contractual Obligations &amp; Commitments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have entered into license agreements under which we are obligated to make specified milestone and royalty payments. The payment obligations under these agreements are contingent upon future events, such as our achievement of specified development, regulatory, and sales milestones, or generating product sales. Generally, the timing or likelihood of achieving these milestones or generating future product sales are not determinable. For further details regarding our significant contracts, and the commitments and contractual obligations contained within each contract, please refer to Note 11, </w:t>
      </w:r>
      <w:r>
        <w:rPr>
          <w:rFonts w:ascii="Times New Roman" w:hAnsi="Times New Roman"/>
          <w:i/>
          <w:color w:val="000000"/>
          <w:sz w:val="20"/>
        </w:rPr>
        <w:t>License Agreements</w:t>
      </w:r>
      <w:r>
        <w:rPr>
          <w:rFonts w:ascii="Times New Roman" w:hAnsi="Times New Roman"/>
          <w:color w:val="000000"/>
          <w:sz w:val="20"/>
        </w:rPr>
        <w:t xml:space="preserve">, and Note 12, </w:t>
      </w:r>
      <w:r>
        <w:rPr>
          <w:rFonts w:ascii="Times New Roman" w:hAnsi="Times New Roman"/>
          <w:i/>
          <w:color w:val="000000"/>
          <w:sz w:val="20"/>
        </w:rPr>
        <w:t>Commitments and Contingencies</w:t>
      </w:r>
      <w:r>
        <w:rPr>
          <w:rFonts w:ascii="Times New Roman" w:hAnsi="Times New Roman"/>
          <w:color w:val="000000"/>
          <w:sz w:val="20"/>
        </w:rPr>
        <w:t>, and to our consolidated financial statements included in this Annual Report on Form 10-K, which is incorporated herein by 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lease obligations including amounts due on leases of certain laboratory equipment and office and laboratory space under the terms of non-cancelable operating and finance leases. The leases expire at various times through 2027. Minimum lease payments are $3.0 million in 2025, $0.4 million in 2026, and $0.1 million in 2027. The commitment amounts are associated with contracts that are enforceable and legally binding and that specify all significant terms, including fixed or minimum services to be used, fixed, minimum or variable price provisions, and the approximate timing of the actions under the contracts. Such amounts do not include obligations under agreements that we can cancel without a significant penalty.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enter into agreements in the normal course of business with vendors for preclinical research studies, clinical trials and other services and products for operating purposes. These contracts do not contain any minimum purchase commitments and are generally cancelable upon written notice. Payments due upon cancellation consist only of payments for services provided and expenses incurred up to the date of cancellation.</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is based on our consolidated financial statements, which have been prepared in accordance with generally accepted accounting principles in the United States (“GAAP”). The preparation of the consolidated financial statements requires us to make estimates and assumptions that affect the reported amounts of assets and liabilities, the disclosures of contingent assets and liabilities in our consolidated financial statements and the reported amounts of expenses during the reporting periods. We base our estimates on historical experience, known trends and events, and various other assumptions that we believe are reasonable under the circumstances, the results of which form the basis for making judgments about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carrying values of assets and liabilities recorded expenses that are not readily apparent from other sources. We evaluate our estimates and assumptions on an ongoing basis. Actual results may differ from these estimates.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our significant accounting policies are described in the notes to our financial statements included elsewhere in this Annual Report, we believe that the following accounting policies are critical to understanding our historical and future performance, as these policies relate to the more significant areas involving management’s judgments and estimates. </w:t>
      </w:r>
    </w:p>
    <w:p>
      <w:pPr>
        <w:pStyle w:val="TextBody"/>
        <w:bidi w:val="0"/>
        <w:spacing w:before="240" w:after="283"/>
        <w:jc w:val="left"/>
        <w:rPr>
          <w:rFonts w:ascii="Times New Roman" w:hAnsi="Times New Roman"/>
          <w:sz w:val="20"/>
        </w:rPr>
      </w:pPr>
      <w:r>
        <w:rPr>
          <w:rFonts w:ascii="Times New Roman" w:hAnsi="Times New Roman"/>
          <w:b/>
          <w:i/>
          <w:color w:val="000000"/>
          <w:sz w:val="20"/>
        </w:rPr>
        <w:t>Prepaid and Accrued 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process of preparing our consolidated financial statements, we are required to estimate our prepaid and accrued research and development expenses. This process involves estimating the level of service performed and the associated cost incurred for the services when we have not yet been invoiced or otherwise notified of actual costs. The majority of our service providers invoice us in arrears for services performed, on a pre-determined schedule or when contractual milestones are met; however, some require advance payments. We make judgments and estimates of our prepaid and accrued research and development expenses as of each balance sheet date in the consolidated financial statements based on facts and circumstances known to us at that time, which includes corroboration of these estimates with the service providers. If the actual timing of the performance of services or the level of effort varies from the estimate, we adjust accrued expenses or prepaid expenses accordingly, which impact research and development expenses. To date, we have not experienced any material adjustments to our prior estimates of prepaid and accrued research and development expenses. Changes in these estimates that result in material changes to our accrued costs could materially affect our results of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the Black-Scholes-Merton (“BSM”) option pricing model. Prior to being publicly traded, the fair value of the Company’s common stock underlying the stock options was determined by the Board of Directors with assistance from management and, in part, on input from an independent third-party valuation firm. The Board of Directors determined the fair value of common stock by considering a number of objective and subjective factors, including valuations of comparable companies, sales of convertible preferred stock, operating and financial performance, the lack of liquidity of the Company’s common stock and the general and industry-specific economic outlook. Subsequent to the Merger, the fair value of the Company’s common stock is based on the closing quoted market price of its common stock as reported by the NASDAQ Select Market on the date of grant.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fair value of the Company’s stock, the estimated fair value of options granted to employees and non-employees requires a subjective estimate for the following input: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Volatility— The estimated volatility is determined by evaluating the average historical volatility of a peer group of companies for the period preceding the stock option grant for a term that is approximately equal to the stock options’ expected term. </w:t>
      </w:r>
    </w:p>
    <w:p>
      <w:pPr>
        <w:pStyle w:val="TextBody"/>
        <w:bidi w:val="0"/>
        <w:spacing w:before="24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Recent accounting pronouncements are addressed in Note 2, </w:t>
      </w:r>
      <w:r>
        <w:rPr>
          <w:rFonts w:ascii="Times New Roman" w:hAnsi="Times New Roman"/>
          <w:i/>
          <w:color w:val="000000"/>
          <w:sz w:val="20"/>
        </w:rPr>
        <w:t>Summary of Significant Accounting Policies and Basis of Presentation</w:t>
      </w:r>
      <w:r>
        <w:rPr>
          <w:rFonts w:ascii="Times New Roman" w:hAnsi="Times New Roman"/>
          <w:color w:val="000000"/>
          <w:sz w:val="20"/>
        </w:rPr>
        <w:t>, in the Notes to the Consolidated Financial Statements included herein.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Smaller Reporting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in the Exchange Act. We may take advantage of certain of the scaled disclosures available to smaller reporting companies and will be able to take advantage of these scaled disclosures for so long as the market value of the common stock held by non-affiliates is less than $250.0 million measured on the last business day of our second fiscal quarter, or our annual revenue is less than $100.0 million during the most recently completed fiscal year and the market value of the common stock held by non-affiliates is less than $700.0 million measured on the last business day of our second fiscal quarter.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the information in this Annual Report on Form 10-K and that we provide to our investors in the future may be different than what you might receive from other public reporting companies.</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4" w:name="item_7a"/>
      <w:bookmarkEnd w:id="14"/>
      <w:r>
        <w:rPr>
          <w:rFonts w:ascii="Times New Roman" w:hAnsi="Times New Roman"/>
          <w:b/>
          <w:color w:val="000000"/>
          <w:sz w:val="20"/>
        </w:rPr>
        <w:t>Item 7A. Quantitative and Qualitative Disclosures About Market Risk.</w:t>
      </w:r>
    </w:p>
    <w:p>
      <w:pPr>
        <w:pStyle w:val="TextBody"/>
        <w:bidi w:val="0"/>
        <w:spacing w:before="240" w:after="283"/>
        <w:jc w:val="left"/>
        <w:rPr>
          <w:rFonts w:ascii="Times New Roman" w:hAnsi="Times New Roman"/>
          <w:sz w:val="20"/>
        </w:rPr>
      </w:pPr>
      <w:r>
        <w:rPr>
          <w:rFonts w:ascii="Times New Roman" w:hAnsi="Times New Roman"/>
          <w:b/>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exposure to market risk is related to interest rate sensitivity, which is affected by changes in the general level of U.S. interest rates. As of December 31, 2024, we had cash and cash equivalents of $141.2 million, which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consisted of cash and money market funds. As of December 31, 2024, we had an operating lease liability and a finance lease liability of $2.4 million and $0.9 million, respectively. Interest income and expenses are sensitive to changes in the general level of interest rates. However, due to the nature of these investments, an immediate 10% change in market interest rates would not have a material effect on the fair market value of our investment portfolio. </w:t>
      </w:r>
    </w:p>
    <w:p>
      <w:pPr>
        <w:pStyle w:val="TextBody"/>
        <w:bidi w:val="0"/>
        <w:spacing w:before="240" w:after="283"/>
        <w:jc w:val="left"/>
        <w:rPr>
          <w:rFonts w:ascii="Times New Roman" w:hAnsi="Times New Roman"/>
          <w:sz w:val="20"/>
        </w:rPr>
      </w:pPr>
      <w:r>
        <w:rPr>
          <w:rFonts w:ascii="Times New Roman" w:hAnsi="Times New Roman"/>
          <w:b/>
          <w:color w:val="000000"/>
          <w:sz w:val="20"/>
        </w:rPr>
        <w:t>Inflation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pStyle w:val="TextBody"/>
        <w:bidi w:val="0"/>
        <w:spacing w:before="240" w:after="283"/>
        <w:jc w:val="left"/>
        <w:rPr>
          <w:rFonts w:ascii="Times New Roman" w:hAnsi="Times New Roman"/>
          <w:b/>
          <w:color w:val="000000"/>
          <w:sz w:val="20"/>
        </w:rPr>
      </w:pPr>
      <w:bookmarkStart w:id="15" w:name="item_8"/>
      <w:bookmarkEnd w:id="15"/>
      <w:r>
        <w:rPr>
          <w:rFonts w:ascii="Times New Roman" w:hAnsi="Times New Roman"/>
          <w:b/>
          <w:color w:val="000000"/>
          <w:sz w:val="20"/>
        </w:rPr>
        <w:t>Item 8. Financial Statements and Supplementary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statements required to be filed pursuant to this Item 8 are appended to this Annual Report on Form 10-K beginning on page F-1. An index of those financial statements is found in Item 15, Exhibits and Financial Statement Schedules, of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6" w:name="item_9"/>
      <w:bookmarkEnd w:id="16"/>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7" w:name="item_9a"/>
      <w:bookmarkEnd w:id="17"/>
      <w:r>
        <w:rPr>
          <w:rFonts w:ascii="Times New Roman" w:hAnsi="Times New Roman"/>
          <w:b/>
          <w:color w:val="000000"/>
          <w:sz w:val="20"/>
        </w:rPr>
        <w:t>Item 9A.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sz w:val="20"/>
        </w:rPr>
      </w:pPr>
      <w:r>
        <w:rPr>
          <w:rFonts w:ascii="Times New Roman" w:hAnsi="Times New Roman"/>
          <w:color w:val="000000"/>
          <w:sz w:val="20"/>
        </w:rPr>
        <w:t>Our management, with the participation and supervision of our Chief Executive Officer and our Chief Financial Officer, have evaluated our disclosure controls and procedures (as defined in Rules 13a-15(e) and 15d-15(e) under the Exchange Act) as of the end of the period covered by this Annual Report on Form 10-K. Based on that evaluation, our Chief Executive Officer and Chief Financial Officer have concluded that, as of the end of the period covered by this Annual Report on Form 10-K,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r>
        <w:rPr>
          <w:rFonts w:ascii="Aptos;sans-serif" w:hAnsi="Aptos;sans-serif"/>
          <w:color w:val="000000"/>
          <w:sz w:val="22"/>
        </w:rPr>
        <w: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Management’s Annual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 13a-15(f) under the Exchange Act). Under the supervision of and with the participation of our Chief Executive Officer and Chief Financial Officer, our management assessed the effectiveness of our internal control over financial reporting as of December 31, 2024,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Attestation Report of the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independent registered public accounting firm is not required to issue an attestation report on the internal control over financial reporting because we are a non-accelerated filer and a “smaller reporting company".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and 15d</w:t>
        <w:noBreakHyphen/>
        <w:t>15(f) under the Exchange Act) during the three months ended December 31, 2024, that have materially affected, or are reasonably likely to materially affect, our internal control over financial reporting.</w:t>
      </w:r>
    </w:p>
    <w:p>
      <w:pPr>
        <w:pStyle w:val="TextBody"/>
        <w:bidi w:val="0"/>
        <w:spacing w:before="240" w:after="283"/>
        <w:jc w:val="left"/>
        <w:rPr>
          <w:rFonts w:ascii="Times New Roman" w:hAnsi="Times New Roman"/>
          <w:b/>
          <w:color w:val="000000"/>
          <w:sz w:val="20"/>
        </w:rPr>
      </w:pPr>
      <w:bookmarkStart w:id="18" w:name="item_9b"/>
      <w:bookmarkEnd w:id="18"/>
      <w:r>
        <w:rPr>
          <w:rFonts w:ascii="Times New Roman" w:hAnsi="Times New Roman"/>
          <w:b/>
          <w:color w:val="000000"/>
          <w:sz w:val="20"/>
        </w:rPr>
        <w:t>Item 9B.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9" w:name="item_9c"/>
      <w:bookmarkEnd w:id="19"/>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0" w:name="part_iii"/>
      <w:bookmarkEnd w:id="20"/>
      <w:r>
        <w:rPr>
          <w:rFonts w:ascii="Times New Roman" w:hAnsi="Times New Roman"/>
          <w:b/>
          <w:color w:val="000000"/>
          <w:sz w:val="20"/>
        </w:rPr>
        <w:t>PART III</w:t>
      </w:r>
    </w:p>
    <w:p>
      <w:pPr>
        <w:pStyle w:val="TextBody"/>
        <w:bidi w:val="0"/>
        <w:spacing w:before="240" w:after="283"/>
        <w:jc w:val="left"/>
        <w:rPr>
          <w:rFonts w:ascii="Times New Roman" w:hAnsi="Times New Roman"/>
          <w:b/>
          <w:color w:val="000000"/>
          <w:sz w:val="20"/>
        </w:rPr>
      </w:pPr>
      <w:bookmarkStart w:id="21" w:name="item_10"/>
      <w:bookmarkEnd w:id="21"/>
      <w:r>
        <w:rPr>
          <w:rFonts w:ascii="Times New Roman" w:hAnsi="Times New Roman"/>
          <w:b/>
          <w:color w:val="000000"/>
          <w:sz w:val="20"/>
        </w:rPr>
        <w:t>Item 10. 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 written Code of Business Conduct and Ethics (the “Code of Conduct”) applicable to all of our employees, executive officers and directors, including our principal executive officer, principal financial officer and principal accounting officer. A current copy of the Code of Conduct is available on the Investors section of our website, https://investors.tectonictx.com, under “Investors / Corporate Governance.” We intend to disclose on our website any amendments to, or waivers from, our Code of Conduct that are required to be disclosed pursuant to SEC rules. The reference to our website address does not constitute incorporation by reference of the information contained at or available through our website, and you should not consider it to be a part of this Annual Report on Form 10-K.</w:t>
      </w:r>
    </w:p>
    <w:p>
      <w:pPr>
        <w:pStyle w:val="TextBody"/>
        <w:bidi w:val="0"/>
        <w:spacing w:before="240" w:after="283"/>
        <w:jc w:val="left"/>
        <w:rPr>
          <w:rFonts w:ascii="Times New Roman" w:hAnsi="Times New Roman"/>
          <w:b/>
          <w:color w:val="000000"/>
          <w:sz w:val="20"/>
        </w:rPr>
      </w:pPr>
      <w:bookmarkStart w:id="22" w:name="item_11"/>
      <w:bookmarkEnd w:id="22"/>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2024.</w:t>
      </w:r>
    </w:p>
    <w:p>
      <w:pPr>
        <w:pStyle w:val="TextBody"/>
        <w:bidi w:val="0"/>
        <w:spacing w:before="240" w:after="283"/>
        <w:jc w:val="left"/>
        <w:rPr>
          <w:rFonts w:ascii="Times New Roman" w:hAnsi="Times New Roman"/>
          <w:sz w:val="20"/>
        </w:rPr>
      </w:pPr>
      <w:bookmarkStart w:id="23" w:name="item_12"/>
      <w:bookmarkEnd w:id="23"/>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12. 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2024.</w:t>
      </w:r>
    </w:p>
    <w:p>
      <w:pPr>
        <w:pStyle w:val="TextBody"/>
        <w:bidi w:val="0"/>
        <w:spacing w:before="240" w:after="283"/>
        <w:jc w:val="left"/>
        <w:rPr>
          <w:rFonts w:ascii="Times New Roman" w:hAnsi="Times New Roman"/>
          <w:b/>
          <w:color w:val="000000"/>
          <w:sz w:val="20"/>
        </w:rPr>
      </w:pPr>
      <w:bookmarkStart w:id="24" w:name="item_13"/>
      <w:bookmarkEnd w:id="24"/>
      <w:r>
        <w:rPr>
          <w:rFonts w:ascii="Times New Roman" w:hAnsi="Times New Roman"/>
          <w:b/>
          <w:color w:val="000000"/>
          <w:sz w:val="20"/>
        </w:rPr>
        <w:t>Item 13. Certain Relationships and Related 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2024.</w:t>
      </w:r>
    </w:p>
    <w:p>
      <w:pPr>
        <w:pStyle w:val="TextBody"/>
        <w:bidi w:val="0"/>
        <w:spacing w:before="240" w:after="283"/>
        <w:jc w:val="left"/>
        <w:rPr>
          <w:rFonts w:ascii="Times New Roman" w:hAnsi="Times New Roman"/>
          <w:sz w:val="20"/>
        </w:rPr>
      </w:pPr>
      <w:bookmarkStart w:id="25" w:name="item_14"/>
      <w:bookmarkEnd w:id="25"/>
      <w:r>
        <w:rPr>
          <w:rFonts w:ascii="Times New Roman" w:hAnsi="Times New Roman"/>
          <w:b/>
          <w:color w:val="000000"/>
          <w:sz w:val="20"/>
        </w:rPr>
        <w:t>Item 14.</w:t>
      </w:r>
      <w:r>
        <w:rPr>
          <w:rFonts w:ascii="Times New Roman" w:hAnsi="Times New Roman"/>
          <w:color w:val="000000"/>
          <w:sz w:val="20"/>
        </w:rPr>
        <w:t xml:space="preserve"> </w:t>
      </w:r>
      <w:r>
        <w:rPr>
          <w:rFonts w:ascii="Times New Roman" w:hAnsi="Times New Roman"/>
          <w:b/>
          <w:color w:val="000000"/>
          <w:sz w:val="20"/>
        </w:rPr>
        <w:t>Principal Accounting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6" w:name="part_iv"/>
      <w:bookmarkEnd w:id="26"/>
      <w:r>
        <w:rPr>
          <w:rFonts w:ascii="Times New Roman" w:hAnsi="Times New Roman"/>
          <w:b/>
          <w:color w:val="000000"/>
          <w:sz w:val="20"/>
        </w:rPr>
        <w:t>PART IV</w:t>
      </w:r>
    </w:p>
    <w:p>
      <w:pPr>
        <w:pStyle w:val="TextBody"/>
        <w:bidi w:val="0"/>
        <w:spacing w:before="240" w:after="283"/>
        <w:jc w:val="left"/>
        <w:rPr>
          <w:rFonts w:ascii="Times New Roman" w:hAnsi="Times New Roman"/>
          <w:b/>
          <w:color w:val="000000"/>
          <w:sz w:val="20"/>
        </w:rPr>
      </w:pPr>
      <w:bookmarkStart w:id="27" w:name="item_15"/>
      <w:bookmarkEnd w:id="27"/>
      <w:r>
        <w:rPr>
          <w:rFonts w:ascii="Times New Roman" w:hAnsi="Times New Roman"/>
          <w:b/>
          <w:color w:val="000000"/>
          <w:sz w:val="20"/>
        </w:rPr>
        <w:t>Item 15. Exhibits, Financial Statement Schedules.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(1)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list of the financial statements included herein, see Index to the Consolidated Financial Statements on page F-1 of this Annual Report on Form 10-K, incorporated into this Item by reference.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financial schedules have been omitted because the required information is either presented in the consolidated financial statements or the notes thereto or is not applicable or required.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(3)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Agreement and Plan of Merger and Reorganization, dated as of January 30, 2024, by and among AVROBIO, Alpine Merger Subsidiary, Inc. and Tectonic Therapeutic Inc. (incorporated by reference to Exhibit 2.1 to the Registrant’s Current Report on Form 8-K (File No. 001-38537) filed with the Securities and Exchange Commission on January 30,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Fourth Amended and Restated Certificate of Incorporation as amended through June 20, 2024 (incorporated by reference to Exhibit 3.1 to the Registrant’s Quarterly Report on Form 10-Q (File No. 001-38537) filed with the Securities and Exchange Commission on August 14,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By-laws (incorporated by reference to Exhibit 3.2 to the Registrant’s Current Report on Form 8-K (File No. 001-38537) filed with the Securities and Exchange Commission on June 25, 2018).</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ecx-ex4_1.htm">
              <w:r>
                <w:rPr>
                  <w:rStyle w:val="InternetLink"/>
                  <w:rFonts w:ascii="Times New Roman" w:hAnsi="Times New Roman"/>
                  <w:color w:val="0000FF"/>
                  <w:sz w:val="20"/>
                  <w:u w:val="single"/>
                </w:rPr>
                <w:t>Description of Capital Stock.</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Contingent Value Rights Agreement dated June 20, 2024, by and between Tectonic Therapeutic, Inc. and Computershare Trust Company, LLC (incorporated by reference to Exhibit 10.1 to the Registrant’s Current Report on Form 8-K (File No. 001-38537) filed with the Securities and Exchange Commission on June 20,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Indemnification Agreement between Tectonic Therapeutic, Inc. and each of its directors and executive officers (incorporated by reference to Exhibit 10.2 to the Registrant’s Current Report on Form 8-K (File No. 001-38537) filed with the Securities and Exchange Commission on June 20,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Subscription Agreement, dated as of January 29, 2024, by and among Tectonic Therapeutic, Inc. and the purchasers thereunder (incorporated by reference to Exhibit 10.3 to the Registrant’s Current Report on Form 8-K (File No. 001-38537) filed with the Securities and Exchange Commission on June 20,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2019 Equity Incentive Plan of Tectonic Therapeutic, Inc., and form of award agreements thereunder (incorporated by reference to Exhibit 10.42 to the Registrant’s Registration Statement on Form S-4 (File No. 333-277048) filed with the Securities and Exchange Commission on February 14,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Non-Employee Director Compensation Policy of Tectonic Therapeutic, Inc. (incorporated by reference to Exhibit 10.1 to the Registrant’s Quarterly Report on Form 10-Q (File No. 001-38537) filed with the Securities and Exchange Commission on November 12,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2024 Equity Incentive Plan of Tectonic Therapeutic, Inc. (incorporated by reference to Exhibit 10.6 to the Registrant’s Current Report on Form 8-K (File No. 001-38537) filed with the Securities and Exchange Commission on June 20,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Forms of Option Grant Notice, Option Agreement and Notice of Exercise under Tectonic Therapeutic, Inc. 2024 Equity Incentive Plan (incorporated by reference to Exhibit 10.7 to the Registrant’s Current Report on Form 8-K (File No. 001-38537) filed with the Securities and Exchange Commission on June 20, 2024).</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1"/>
        <w:gridCol w:w="146"/>
        <w:gridCol w:w="9418"/>
      </w:tblGrid>
      <w:tr>
        <w:trPr/>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18" w:type="dxa"/>
            <w:tcBorders/>
            <w:vAlign w:val="center"/>
          </w:tcPr>
          <w:p>
            <w:pPr>
              <w:pStyle w:val="TableContents"/>
              <w:bidi w:val="0"/>
              <w:spacing w:before="0" w:after="283"/>
              <w:jc w:val="left"/>
              <w:rPr>
                <w:sz w:val="4"/>
                <w:szCs w:val="4"/>
              </w:rPr>
            </w:pPr>
            <w:r>
              <w:rPr>
                <w:sz w:val="4"/>
                <w:szCs w:val="4"/>
              </w:rPr>
            </w:r>
          </w:p>
        </w:tc>
      </w:tr>
      <w:tr>
        <w:trPr/>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2024 Employee Stock Purchase Plan of Tectonic Therapeutic, Inc. (incorporated by reference to Exhibit 10.8 to the Registrant’s Current Report on Form 8-K (File No. 001-38537) filed with the Securities and Exchange Commission on June 20, 2024).</w:t>
              </w:r>
            </w:hyperlink>
          </w:p>
        </w:tc>
      </w:tr>
      <w:tr>
        <w:trPr/>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Amended and Restated Employment Agreement, dated as of June 20, 2024, by and between Tectonic Therapeutic, Inc. and Alise Reicin, M.D. (incorporated by reference to Exhibit 10.4 to the Registrant’s Current Report on Form 8-K (File No. 001-38537) filed with the Securities and Exchange Commission on June 20, 2024).</w:t>
              </w:r>
            </w:hyperlink>
          </w:p>
        </w:tc>
      </w:tr>
      <w:tr>
        <w:trPr/>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License Agreement, dated February 10, 2022, by and between Tectonic Therapeutic, Inc. and President and Fellows of Harvard College (incorporated by reference to Exhibit 10.35 to the Registrant’s Amendment No. 1 to the Registration Statement on Form S-4 (File No. 333-277048) filed with the Securities and Exchange Commission on March 26, 2024).</w:t>
              </w:r>
            </w:hyperlink>
          </w:p>
        </w:tc>
      </w:tr>
      <w:tr>
        <w:trPr/>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Master Agreement for Early Phase Clinical Services, dated October 23, 2023, by and between Tectonic Therapeutic, Inc. and ARENSIA Exploratory Medicine GmbH (incorporated by reference to Exhibit 10.36 to the Registrant’s Amendment No. 1 to the Registration Statement on Form S-4 (File No. 333-277048) filed with the Securities and Exchange Commission on March 26, 2024).</w:t>
              </w:r>
            </w:hyperlink>
          </w:p>
        </w:tc>
      </w:tr>
      <w:tr>
        <w:trPr/>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Master Contract Services Agreement, dated October 17, 2023, by and between Tectonic Therapeutic, Inc. and QPS Holdings, LLC (incorporated by reference to Exhibit 10.37 to the Registrant’s Amendment No. 1 to the Registration Statement on Form S-4 (File No. 333-277048) filed with the Securities and Exchange Commission on March 26, 2024).</w:t>
              </w:r>
            </w:hyperlink>
          </w:p>
        </w:tc>
      </w:tr>
      <w:tr>
        <w:trPr/>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Master Contract Services Agreement, dated February 16, 2022, by and between Tectonic Therapeutic, Inc. and ITR LABORATORIES CANADA INC. (incorporated by reference to Exhibit 10.38 to the Registrant’s Amendment No. 1 to the Registration Statement on Form S-4(File No. 333-277048) filed with the Securities and Exchange Commission on March 26, 2024).</w:t>
              </w:r>
            </w:hyperlink>
          </w:p>
        </w:tc>
      </w:tr>
      <w:tr>
        <w:trPr/>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Development and Manufacturing Services Agreement, dated May 6, 2022, by and between Tectonic Therapeutic, Inc. and WuXi Biologics (Hong Kong) Limited (incorporated by reference to Exhibit 10.39 to the Registrant’s Amendment No. 1 to the Registration Statement on Form S-4 (File No. 333-277048) filed with the Securities and Exchange Commission on March 26, 2024).</w:t>
              </w:r>
            </w:hyperlink>
          </w:p>
        </w:tc>
      </w:tr>
      <w:tr>
        <w:trPr/>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Master Clinical Contract Services Agreement, dated March 6, 2023, by and between Tectonic Therapeutic, Inc. and Novotech (Australia) Pty Limited CAN (incorporated by reference to Exhibit 10.40 to the Registrant’s Amendment No. 1 to the Registration Statement on Form S-4 (File No. 333-277048) filed with the Securities and Exchange Commission on March 26, 2024)</w:t>
              </w:r>
            </w:hyperlink>
          </w:p>
        </w:tc>
      </w:tr>
      <w:tr>
        <w:trPr/>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Offer Letter dated June 16, 2021, by and between Tectonic Therapeutic, Inc. and Marcella Ruddy (incorporated by reference to Exhibit 10.43 to the Registrant’s Amendment No. 2 to the Registration Statement on Form S-4 (File No. 333-277048) filed with the Securities and Exchange Commission on April 15, 2024).</w:t>
              </w:r>
            </w:hyperlink>
          </w:p>
        </w:tc>
      </w:tr>
      <w:tr>
        <w:trPr/>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ecx-ex10_17.htm">
              <w:r>
                <w:rPr>
                  <w:rStyle w:val="InternetLink"/>
                  <w:rFonts w:ascii="Times New Roman" w:hAnsi="Times New Roman"/>
                  <w:color w:val="0000FF"/>
                  <w:sz w:val="20"/>
                  <w:u w:val="single"/>
                </w:rPr>
                <w:t>Offer Letter dated May 28, 2024, by and between Tectonic Therapeutic, Inc. and Daniel Lochner.</w:t>
              </w:r>
            </w:hyperlink>
          </w:p>
        </w:tc>
      </w:tr>
      <w:tr>
        <w:trPr/>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Form of Severance Plan and Form of Participation Agreement of Tectonic Therapeutic, Inc. (incorporated as reference to Exhibit 10.47 to the Registrant’s Amendment No. 2 to the Registration Statement on Form S-4 filed on April 15, 2024 (File No. 333-277048) and incorporated herein by reference).</w:t>
              </w:r>
            </w:hyperlink>
          </w:p>
        </w:tc>
      </w:tr>
      <w:tr>
        <w:trPr/>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Form of Securities Purchase Agreement, dated as of February 3, 2025, by and among Tectonic Therapeutic, Inc. and the purchasers thereunder (incorporated by reference to Exhibit 10.1 to the Company’s Current Report on Form 8-K (File No. 001-38537) filed with the Securities and Exchange Commission on February 3, 2025).</w:t>
              </w:r>
            </w:hyperlink>
          </w:p>
        </w:tc>
      </w:tr>
      <w:tr>
        <w:trPr/>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Form of Registration Rights Agreement, dated as of February 3, 2025, by and among Tectonic Therapeutic, Inc. and the signatories thereto (incorporated by reference to Exhibit 10.2 to the Company’s Current Report on Form 8-K (File No. 001-38537) filed with the Securities and Exchange Commission on February 3, 2025)</w:t>
              </w:r>
            </w:hyperlink>
          </w:p>
        </w:tc>
      </w:tr>
      <w:tr>
        <w:trPr/>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2"/>
        <w:gridCol w:w="146"/>
        <w:gridCol w:w="9377"/>
      </w:tblGrid>
      <w:tr>
        <w:trPr/>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7" w:type="dxa"/>
            <w:tcBorders/>
            <w:vAlign w:val="center"/>
          </w:tcPr>
          <w:p>
            <w:pPr>
              <w:pStyle w:val="TableContents"/>
              <w:bidi w:val="0"/>
              <w:spacing w:before="0" w:after="283"/>
              <w:jc w:val="left"/>
              <w:rPr>
                <w:sz w:val="4"/>
                <w:szCs w:val="4"/>
              </w:rPr>
            </w:pPr>
            <w:r>
              <w:rPr>
                <w:sz w:val="4"/>
                <w:szCs w:val="4"/>
              </w:rPr>
            </w:r>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Separation Agreement, dated as of July 5, 2024, by and among Tectonic Therapeutic, Inc. and Christian Cortis (incorporated by reference to Exhibit 10.1 to the Company’s Current Report on Form 8-K (File No. 001-38537) filed with the Securities and Exchange Commission on July 5, 2024).</w:t>
              </w:r>
            </w:hyperlink>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ecx-ex19_1.htm">
              <w:r>
                <w:rPr>
                  <w:rStyle w:val="InternetLink"/>
                  <w:rFonts w:ascii="Times New Roman" w:hAnsi="Times New Roman"/>
                  <w:color w:val="0000FF"/>
                  <w:sz w:val="20"/>
                  <w:u w:val="single"/>
                </w:rPr>
                <w:t>Insider Trading Policy of Tectonic Therapeutic, Inc.</w:t>
              </w:r>
            </w:hyperlink>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ecx-ex21_1.htm">
              <w:r>
                <w:rPr>
                  <w:rStyle w:val="InternetLink"/>
                  <w:rFonts w:ascii="Times New Roman" w:hAnsi="Times New Roman"/>
                  <w:color w:val="0000FF"/>
                  <w:sz w:val="20"/>
                  <w:u w:val="single"/>
                </w:rPr>
                <w:t>List of Subsidiaries.</w:t>
              </w:r>
            </w:hyperlink>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ecx-ex23_1.htm">
              <w:r>
                <w:rPr>
                  <w:rStyle w:val="InternetLink"/>
                  <w:rFonts w:ascii="Times New Roman" w:hAnsi="Times New Roman"/>
                  <w:color w:val="0000FF"/>
                  <w:sz w:val="20"/>
                  <w:u w:val="single"/>
                </w:rPr>
                <w:t>Consent of independent registered public accounting firm, Deloitte &amp; Touche LLP</w:t>
              </w:r>
            </w:hyperlink>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ec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ecx-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ecx-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ecx-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ecx-ex97_1.htm">
              <w:r>
                <w:rPr>
                  <w:rStyle w:val="InternetLink"/>
                  <w:rFonts w:ascii="Times New Roman" w:hAnsi="Times New Roman"/>
                  <w:color w:val="0000FF"/>
                  <w:sz w:val="20"/>
                  <w:u w:val="single"/>
                </w:rPr>
                <w:t>Incentive Compensation Recoupment Policy of Tectonic Therapeutic, Inc.</w:t>
              </w:r>
            </w:hyperlink>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previously.</w:t>
      </w:r>
    </w:p>
    <w:p>
      <w:pPr>
        <w:pStyle w:val="TextBody"/>
        <w:bidi w:val="0"/>
        <w:spacing w:before="240" w:after="240"/>
        <w:jc w:val="left"/>
        <w:rPr>
          <w:rFonts w:ascii="Times New Roman" w:hAnsi="Times New Roman"/>
          <w:b/>
          <w:color w:val="000000"/>
          <w:sz w:val="20"/>
        </w:rPr>
      </w:pPr>
      <w:bookmarkStart w:id="28" w:name="item_16"/>
      <w:bookmarkEnd w:id="28"/>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360" w:after="283"/>
        <w:jc w:val="left"/>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6089" w:type="dxa"/>
        <w:jc w:val="left"/>
        <w:tblInd w:w="0" w:type="dxa"/>
        <w:tblLayout w:type="fixed"/>
        <w:tblCellMar>
          <w:top w:w="28" w:type="dxa"/>
          <w:left w:w="28" w:type="dxa"/>
          <w:bottom w:w="28" w:type="dxa"/>
          <w:right w:w="28" w:type="dxa"/>
        </w:tblCellMar>
      </w:tblPr>
      <w:tblGrid>
        <w:gridCol w:w="1891"/>
        <w:gridCol w:w="146"/>
        <w:gridCol w:w="406"/>
        <w:gridCol w:w="364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TECTONIC THERAPEUTIC, INC.</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Alise Reicin, M.D.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Alise Reicin, M.D.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Daniel Lochner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Daniel Lochner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i/>
                <w:color w:val="000000"/>
                <w:sz w:val="20"/>
              </w:rPr>
            </w:pPr>
            <w:r>
              <w:rPr>
                <w:rFonts w:ascii="Times New Roman" w:hAnsi="Times New Roman"/>
                <w:i/>
                <w:color w:val="000000"/>
                <w:sz w:val="20"/>
              </w:rPr>
              <w:t>(Principal Financial Officer and Principal</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Alise Reicin and Daniel Lochner, and each of them, as true and lawful attorneys-in-fact and agents, with full powers of substitution and resubstitution, for them and in their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and generally to do all such things in their names and behalf in their capacities as officers and directors to enable Tectonic Therapeutic, Inc. to comply with the provisions of the Securities Act of 1933, as amended, and all requirements of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ratifying and confirming all that said attorneys-in-fact and agents, or any of them, or their or his substitutes or substitute, may lawfully do or cause to be done by virtue hereof.</w:t>
      </w:r>
    </w:p>
    <w:p>
      <w:pPr>
        <w:pStyle w:val="TextBody"/>
        <w:bidi w:val="0"/>
        <w:jc w:val="left"/>
        <w:rPr/>
      </w:pPr>
      <w:r>
        <w:rPr/>
        <w:t> </w:t>
      </w:r>
    </w:p>
    <w:p>
      <w:pPr>
        <w:pStyle w:val="TextBody"/>
        <w:bidi w:val="0"/>
        <w:jc w:val="left"/>
        <w:rPr/>
      </w:pPr>
      <w:r>
        <w:rPr/>
        <w:t> </w:t>
      </w:r>
    </w:p>
    <w:tbl>
      <w:tblPr>
        <w:tblW w:w="9025" w:type="dxa"/>
        <w:jc w:val="left"/>
        <w:tblInd w:w="0" w:type="dxa"/>
        <w:tblLayout w:type="fixed"/>
        <w:tblCellMar>
          <w:top w:w="28" w:type="dxa"/>
          <w:left w:w="28" w:type="dxa"/>
          <w:bottom w:w="28" w:type="dxa"/>
          <w:right w:w="28" w:type="dxa"/>
        </w:tblCellMar>
      </w:tblPr>
      <w:tblGrid>
        <w:gridCol w:w="2026"/>
        <w:gridCol w:w="146"/>
        <w:gridCol w:w="5266"/>
        <w:gridCol w:w="146"/>
        <w:gridCol w:w="144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Alise Reicin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Chief Executive Officer and 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 2025</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Alise Reicin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Daniel Lochner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 2025</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Daniel Lochner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Terrance McGuire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 2025</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Terrance McGuire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Stefan Vitorovic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 2025</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Stefan Vitorovic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Timothy A. Springer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 2025</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Timothy A. Springer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Praveen Tipirneni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 2025</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Praveen Tipirneni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Phillip B. Donenberg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 2025</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Phillip B. Donenberg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9414"/>
        <w:gridCol w:w="146"/>
        <w:gridCol w:w="645"/>
      </w:tblGrid>
      <w:tr>
        <w:trPr/>
        <w:tc>
          <w:tcPr>
            <w:tcW w:w="94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9414"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report">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00"/>
                <w:sz w:val="20"/>
              </w:rPr>
              <w:t> (PCAOB ID No. 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F-2</w:t>
            </w:r>
          </w:p>
        </w:tc>
      </w:tr>
      <w:tr>
        <w:trPr/>
        <w:tc>
          <w:tcPr>
            <w:tcW w:w="9414"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balance_sheets">
              <w:r>
                <w:rPr>
                  <w:rStyle w:val="InternetLink"/>
                  <w:rFonts w:ascii="Times New Roman" w:hAnsi="Times New Roman"/>
                  <w:color w:val="0000FF"/>
                  <w:sz w:val="20"/>
                  <w:u w:val="single"/>
                </w:rPr>
                <w:t>Consolidated Balance Sheets as of December 31, 2024 and 2023</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F-4</w:t>
            </w:r>
          </w:p>
        </w:tc>
      </w:tr>
      <w:tr>
        <w:trPr/>
        <w:tc>
          <w:tcPr>
            <w:tcW w:w="9414"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comp_loss">
              <w:r>
                <w:rPr>
                  <w:rStyle w:val="InternetLink"/>
                  <w:rFonts w:ascii="Times New Roman" w:hAnsi="Times New Roman"/>
                  <w:color w:val="0000FF"/>
                  <w:sz w:val="20"/>
                  <w:u w:val="single"/>
                </w:rPr>
                <w:t>Consolidated Statements of Operations and Comprehensive Loss for the Years ended December 31, 2024 and 2023</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F-5</w:t>
            </w:r>
          </w:p>
        </w:tc>
      </w:tr>
      <w:tr>
        <w:trPr/>
        <w:tc>
          <w:tcPr>
            <w:tcW w:w="9414"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equity">
              <w:r>
                <w:rPr>
                  <w:rStyle w:val="InternetLink"/>
                  <w:rFonts w:ascii="Times New Roman" w:hAnsi="Times New Roman"/>
                  <w:color w:val="0000FF"/>
                  <w:sz w:val="20"/>
                  <w:u w:val="single"/>
                </w:rPr>
                <w:t>Consolidated Statements of Convertible Preferred Stock and Stockholders’ Equity (Deficit) for the Years ended December 31, 2024 and 2023</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F-6</w:t>
            </w:r>
          </w:p>
        </w:tc>
      </w:tr>
      <w:tr>
        <w:trPr/>
        <w:tc>
          <w:tcPr>
            <w:tcW w:w="9414"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cash_flow">
              <w:r>
                <w:rPr>
                  <w:rStyle w:val="InternetLink"/>
                  <w:rFonts w:ascii="Times New Roman" w:hAnsi="Times New Roman"/>
                  <w:color w:val="0000FF"/>
                  <w:sz w:val="20"/>
                  <w:u w:val="single"/>
                </w:rPr>
                <w:t>Consolidated Statements of Cash Flows for the Years ended December 31, 2024 and 2023</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F-7</w:t>
            </w:r>
          </w:p>
        </w:tc>
      </w:tr>
      <w:tr>
        <w:trPr/>
        <w:tc>
          <w:tcPr>
            <w:tcW w:w="9414"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notes">
              <w:r>
                <w:rPr>
                  <w:rStyle w:val="InternetLink"/>
                  <w:rFonts w:ascii="Times New Roman" w:hAnsi="Times New Roman"/>
                  <w:color w:val="0000FF"/>
                  <w:sz w:val="20"/>
                  <w:u w:val="single"/>
                </w:rPr>
                <w:t>Notes to Consolidated Financial Statements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29" w:name="report"/>
      <w:bookmarkEnd w:id="29"/>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To the shareholders and the Board of Directors of Tectonic Therapeutic, Inc.</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have audited the accompanying consolidated balance sheets of Tectonic Therapeutic, Inc. and subsidiaries (the "Company") as of December 31, 2024 and 2023, the related consolidated statements of operations and comprehensive loss,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 .</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Critical Audit Matters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Accrued and prepaid contract research and development, and manufacturing expenses— Refer to Notes 2 and 6 to the financial statements</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Critical Audit Matter Description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As disclosed in Note 2 to the financial statements, the Company records accrued and prepaid research and development and manufacturing expenses for third-party contract research organizations (“CROs”) and contract development and manufacturing organizations (“CDMOs”). Estimates of expenses incurred are determined by reviewing information provided to the Company by its service providers and through discussions with both internal personnel and external service providers as to the status of specific tasks within arrangements. Expenses incurred in excess of amounts invoices are recorded as accrued expenses. Payments made in excess of costs incurred are recorded as prepaid expenses.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identified auditing the estimates of the progress to completion of specific tasks performed by CROs and CDMOs as a critical audit matter due to the (i) level of judgment required by management and the volume of such estimates made by management and (ii) the degree of auditor judgment, subjectivity, and increased extent of effort in performing procedures to evaluate the reasonableness of management’s estimates of progress to completion.</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How the Critical Audit Matter Was Addressed in the Audit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audit procedures related to accrued and prepaid research and development expenses and manufacturing costs included the following,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tested the design and implementation of controls over the estimation of accrued and prepaid research and development expenses and manufacturing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a sample of contracts with service providers performing research and development and manufacturing activities, we performed the following: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appropriateness of the method used by management to develop its estimates of progress to completion of specific tasks.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Tested the completeness and accuracy of the underlying data used in the estimates of progress to completion through inspection of the terms of contracts and statements of work between the Company and its service providers and testing of actual billed expenses under the contracts.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Performed corroborating inquiries with Company personnel responsible for overseeing the activities performed by the Company’s CRO and CDMO, which may include the service providers’ estimate of completed tasks or progress of completion of certain tasks within the arrangement.</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Accounting for the Merger — Refer to Notes 1 and 3 to the financial statements</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Critical Audit Matter Description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As disclosed in Notes 1 and 3 to the financial statements, on June 20, 2024, the Company completed a merger with AVROBIO, Inc. (“AVROBIO”). The merger was accounted for as a reverse recapitalization in accordance with U.S. GAAP with the Company as the accounting acquirer of AVROBIO.</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identified the evaluation of the accounting for the merger with AVROBIO, Inc. as a critical audit matter due to the (i) level of judgment required by management related to the determination of the accounting acquirer and the assessment of the transaction as a reverse recapitalization and (ii) the moderate degree of auditor judgment and extensive audit effort in evaluating the Company’s determination of the accounting acquirer and assessment of the transaction as a reverse recapitalization.</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How the Critical Audit Matter Was Addressed in the Audit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audit procedures related to the reverse merger included the following,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tested the design and implementation of controls related to the transaction, including controls over management’s determination of the (i) accounting acquirer and (ii) accounting model as a reverse recapitalization.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evaluated the Company’s determination of the (i) accounting acquirer and (ii) accounting model as a reverse recapitalization.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tested the retrospective application of the reverse recapitalization to all outstanding common shares, convertible preferred shares, stock options, and restricted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inspected minutes of Board of Directors’ meetings, executed merger transaction agreements, and other information to assess the nature and structure of the reverse merger in evaluating management’s conclusions.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 Deloitte &amp; Touche LLP</w:t>
      </w:r>
    </w:p>
    <w:p>
      <w:pPr>
        <w:pStyle w:val="TextBody"/>
        <w:bidi w:val="0"/>
        <w:jc w:val="both"/>
        <w:rPr>
          <w:rFonts w:ascii="Times New Roman" w:hAnsi="Times New Roman"/>
          <w:color w:val="000000"/>
          <w:sz w:val="20"/>
        </w:rPr>
      </w:pPr>
      <w:r>
        <w:rPr>
          <w:rFonts w:ascii="Times New Roman" w:hAnsi="Times New Roman"/>
          <w:color w:val="000000"/>
          <w:sz w:val="20"/>
        </w:rPr>
        <w:t>Boston, Massachusetts</w:t>
      </w:r>
    </w:p>
    <w:p>
      <w:pPr>
        <w:pStyle w:val="TextBody"/>
        <w:bidi w:val="0"/>
        <w:jc w:val="both"/>
        <w:rPr>
          <w:rFonts w:ascii="Times New Roman" w:hAnsi="Times New Roman"/>
          <w:color w:val="000000"/>
          <w:sz w:val="20"/>
        </w:rPr>
      </w:pPr>
      <w:r>
        <w:rPr>
          <w:rFonts w:ascii="Times New Roman" w:hAnsi="Times New Roman"/>
          <w:color w:val="000000"/>
          <w:sz w:val="20"/>
        </w:rPr>
        <w:t>March 20, 2025</w:t>
      </w:r>
    </w:p>
    <w:p>
      <w:pPr>
        <w:pStyle w:val="TextBody"/>
        <w:bidi w:val="0"/>
        <w:jc w:val="both"/>
        <w:rPr>
          <w:rFonts w:ascii="Times New Roman" w:hAnsi="Times New Roman"/>
          <w:color w:val="000000"/>
          <w:sz w:val="20"/>
        </w:rPr>
      </w:pPr>
      <w:r>
        <w:rPr>
          <w:rFonts w:ascii="Times New Roman" w:hAnsi="Times New Roman"/>
          <w:color w:val="000000"/>
          <w:sz w:val="20"/>
        </w:rPr>
        <w:t>We have served as the Company's auditor since 2022.</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0" w:name="balance_sheets"/>
      <w:bookmarkEnd w:id="30"/>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37"/>
        <w:gridCol w:w="146"/>
        <w:gridCol w:w="211"/>
        <w:gridCol w:w="841"/>
        <w:gridCol w:w="166"/>
        <w:gridCol w:w="146"/>
        <w:gridCol w:w="211"/>
        <w:gridCol w:w="736"/>
        <w:gridCol w:w="611"/>
      </w:tblGrid>
      <w:tr>
        <w:trPr/>
        <w:tc>
          <w:tcPr>
            <w:tcW w:w="71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Convertible Preferred Stock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SAFE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liability,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 liability,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43,408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preferred stock (Series A-1, A-2, A-3 and A-4), $0.0001 par</w:t>
              <w:br/>
              <w:t xml:space="preserve">   value; no shares authorized, issued or outstanding as of </w:t>
              <w:br/>
              <w:t>   December 31, 2024; 3,647,675 shares authorized as of December 31, 2023; 3,647,675</w:t>
              <w:br/>
              <w:t>   shares issued and outstanding as of December 31, 2023; aggregate</w:t>
              <w:br/>
              <w:t>   liquidation preference of $87,459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80,627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Preferred stock, 10,000,000 shares and no shares authorized as of December 31, 2024 </w:t>
              <w:br/>
              <w:t xml:space="preserve">   and 31, 2023, respectively; no shares issued and outstanding as of </w:t>
              <w:br/>
              <w:t>   December 31, 2024 and 2023,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$0.0001 par value; 150,000,000 shares authorized</w:t>
              <w:br/>
              <w:t>   as of December 31, 2024 and 2023, respectively; 14,856,309 and 1,407,753</w:t>
              <w:br/>
              <w:t>   shares issued and outstanding as of December 31, 2024 and 2023,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(90,604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(84,636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convertible preferred stock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1" w:name="comp_loss"/>
      <w:bookmarkEnd w:id="31"/>
      <w:r>
        <w:rPr>
          <w:rFonts w:ascii="Times New Roman" w:hAnsi="Times New Roman"/>
          <w:b/>
          <w:color w:val="000000"/>
          <w:sz w:val="20"/>
        </w:rPr>
        <w:t>CONSOLIDATED STATEMENTS OF OPERATIONS AND COMPREHENSIVE LOSS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8734" w:type="dxa"/>
        <w:jc w:val="left"/>
        <w:tblInd w:w="0" w:type="dxa"/>
        <w:tblLayout w:type="fixed"/>
        <w:tblCellMar>
          <w:top w:w="28" w:type="dxa"/>
          <w:left w:w="28" w:type="dxa"/>
          <w:bottom w:w="28" w:type="dxa"/>
          <w:right w:w="28" w:type="dxa"/>
        </w:tblCellMar>
      </w:tblPr>
      <w:tblGrid>
        <w:gridCol w:w="5401"/>
        <w:gridCol w:w="146"/>
        <w:gridCol w:w="211"/>
        <w:gridCol w:w="931"/>
        <w:gridCol w:w="166"/>
        <w:gridCol w:w="146"/>
        <w:gridCol w:w="211"/>
        <w:gridCol w:w="931"/>
        <w:gridCol w:w="591"/>
      </w:tblGrid>
      <w:tr>
        <w:trPr/>
        <w:tc>
          <w:tcPr>
            <w:tcW w:w="5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SAFE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issuance of SAFEs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(42,823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(42,834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8,490,171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1,268,512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2" w:name="equity"/>
      <w:bookmarkEnd w:id="32"/>
      <w:r>
        <w:rPr>
          <w:rFonts w:ascii="Times New Roman" w:hAnsi="Times New Roman"/>
          <w:b/>
          <w:color w:val="000000"/>
          <w:sz w:val="20"/>
        </w:rPr>
        <w:t>CONSOLIDATED STATEMENTS OF CONVERTIBLE PREFERRED STOCK AND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(DEFICIT)</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10794" w:type="dxa"/>
        <w:jc w:val="left"/>
        <w:tblInd w:w="0" w:type="dxa"/>
        <w:tblLayout w:type="fixed"/>
        <w:tblCellMar>
          <w:top w:w="28" w:type="dxa"/>
          <w:left w:w="28" w:type="dxa"/>
          <w:bottom w:w="28" w:type="dxa"/>
          <w:right w:w="28" w:type="dxa"/>
        </w:tblCellMar>
      </w:tblPr>
      <w:tblGrid>
        <w:gridCol w:w="1156"/>
        <w:gridCol w:w="146"/>
        <w:gridCol w:w="146"/>
        <w:gridCol w:w="766"/>
        <w:gridCol w:w="151"/>
        <w:gridCol w:w="146"/>
        <w:gridCol w:w="181"/>
        <w:gridCol w:w="571"/>
        <w:gridCol w:w="151"/>
        <w:gridCol w:w="146"/>
        <w:gridCol w:w="146"/>
        <w:gridCol w:w="146"/>
        <w:gridCol w:w="796"/>
        <w:gridCol w:w="151"/>
        <w:gridCol w:w="146"/>
        <w:gridCol w:w="216"/>
        <w:gridCol w:w="415"/>
        <w:gridCol w:w="146"/>
        <w:gridCol w:w="146"/>
        <w:gridCol w:w="187"/>
        <w:gridCol w:w="624"/>
        <w:gridCol w:w="146"/>
        <w:gridCol w:w="146"/>
        <w:gridCol w:w="376"/>
        <w:gridCol w:w="720"/>
        <w:gridCol w:w="151"/>
        <w:gridCol w:w="146"/>
        <w:gridCol w:w="207"/>
        <w:gridCol w:w="739"/>
        <w:gridCol w:w="151"/>
        <w:gridCol w:w="146"/>
        <w:gridCol w:w="229"/>
        <w:gridCol w:w="762"/>
        <w:gridCol w:w="196"/>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Convertible 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b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br/>
              <w:t>Equity</w:t>
              <w:br/>
              <w:t>(Deficit)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Balances as of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6,825,483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80,627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2,525,771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(47,781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(45,654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Retroactive application of reverse</w:t>
              <w:br/>
              <w:t>   recapitalization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(3,177,808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(1,175,989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Adjusted 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3,647,675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80,627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1,349,782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(47,781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(45,654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57,971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Contribution from related party investors related to SAFEs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(42,823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(42,823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Balances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3,647,675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80,627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1,407,753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(90,604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(84,636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Conversion of convertible preferred stock into</w:t>
              <w:br/>
              <w:t>   common stock in connection with the Merger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(3,647,675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(80,627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3,647,675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80,627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388,727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Vesting of restricted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3,491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to related party</w:t>
              <w:br/>
              <w:t>   investors upon redemption of the SAFEs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1,470,839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34,125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under subscription</w:t>
              <w:br/>
              <w:t>   agreement, net of offering costs of $2,000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4,163,606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94,601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upon the Merger, net of transaction costs of $9,300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3,777,709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68,891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(57,982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(57,982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14,856,309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289,351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(148,586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140,776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3" w:name="cash_flow"/>
      <w:bookmarkEnd w:id="33"/>
      <w:r>
        <w:rPr>
          <w:rFonts w:ascii="Times New Roman" w:hAnsi="Times New Roman"/>
          <w:b/>
          <w:color w:val="000000"/>
          <w:sz w:val="20"/>
        </w:rPr>
        <w:t>CONSOLIDATED</w:t>
      </w:r>
      <w:r>
        <w:rPr>
          <w:rFonts w:ascii="Times New Roman" w:hAnsi="Times New Roman"/>
          <w:color w:val="000000"/>
          <w:sz w:val="20"/>
        </w:rPr>
        <w:t xml:space="preserve"> </w:t>
      </w:r>
      <w:r>
        <w:rPr>
          <w:rFonts w:ascii="Times New Roman" w:hAnsi="Times New Roman"/>
          <w:b/>
          <w:color w:val="000000"/>
          <w:sz w:val="20"/>
        </w:rPr>
        <w:t>STATEMENTS OF CASH FLOWS</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9964" w:type="dxa"/>
        <w:jc w:val="left"/>
        <w:tblInd w:w="0" w:type="dxa"/>
        <w:tblLayout w:type="fixed"/>
        <w:tblCellMar>
          <w:top w:w="28" w:type="dxa"/>
          <w:left w:w="28" w:type="dxa"/>
          <w:bottom w:w="28" w:type="dxa"/>
          <w:right w:w="28" w:type="dxa"/>
        </w:tblCellMar>
      </w:tblPr>
      <w:tblGrid>
        <w:gridCol w:w="6756"/>
        <w:gridCol w:w="146"/>
        <w:gridCol w:w="211"/>
        <w:gridCol w:w="781"/>
        <w:gridCol w:w="166"/>
        <w:gridCol w:w="146"/>
        <w:gridCol w:w="211"/>
        <w:gridCol w:w="736"/>
        <w:gridCol w:w="811"/>
      </w:tblGrid>
      <w:tr>
        <w:trPr/>
        <w:tc>
          <w:tcPr>
            <w:tcW w:w="6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(42,823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Loss on disposal of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Loss on issuance of SAFEs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 in fair value of SAFE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the issuance of SAFEs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the Subscription Agreement, net of offering costs of $2,000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acquired in connection with the Merger, net of transaction costs of $9,300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Repayment of 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(7,197</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and restricted cash as of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and restricted cash as of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29,356</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Components of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29,356</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SAFEs 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Convertible Preferred Stock 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equipment through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Merger transaction costs included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4" w:name="notes"/>
      <w:bookmarkEnd w:id="34"/>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1.</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NATURE OF BUSINESS</w:t>
      </w:r>
    </w:p>
    <w:p>
      <w:pPr>
        <w:pStyle w:val="TextBody"/>
        <w:bidi w:val="0"/>
        <w:spacing w:before="120" w:after="120"/>
        <w:jc w:val="both"/>
        <w:rPr>
          <w:rFonts w:ascii="Times New Roman" w:hAnsi="Times New Roman"/>
          <w:sz w:val="20"/>
        </w:rPr>
      </w:pPr>
      <w:r>
        <w:rPr>
          <w:rFonts w:ascii="Times New Roman" w:hAnsi="Times New Roman"/>
          <w:b/>
          <w:i/>
          <w:color w:val="000000"/>
          <w:sz w:val="20"/>
        </w:rPr>
        <w:t>Description of the Business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Tectonic Therapeutic, Inc. (formerly AVROBIO, Inc.) (the “Company” or “Tectonic”) is a clinical-stage biotechnology company focused on the discovery and development of therapeutic proteins and antibodies that modulate the activity of G-protein coupled receptors (“GPCRs”). The Company focuses on areas of significant unmet medical need, often where therapeutic options are poor or nonexistent, as these are areas where new medicines have the potential to improve patient quality of life.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Merger and Pre-Merger Financing Transaction not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On June 20, 2024, the Company completed its previously announced merger transaction in accordance with the terms of the Agreement and Plan of Merger and Reorganization, dated as of January 30, 2024 (the “Merger Agreement”) with AVROBIO, Inc. (“AVROBIO”), pursuant to which Alpine Merger Subsidiary, Inc., a wholly owned subsidiary of AVROBIO, merged with and into the entity formerly known as Tectonic Therapeutic, Inc., now known as Tectonic Operating Company, Inc. (“Legacy Tectonic”), with Legacy Tectonic continuing as a wholly owned subsidiary of the surviving corporation of AVROBIO (the “Merger”). The Merger was accounted for as a reverse recapitalization in accordance with generally accepted accounting principles in the United States of America (“GAAP”), with AVROBIO treated as the acquired company for financial reporting purposes, and Legacy Tectonic treated as the accounting acquirer.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Upon the closing of the Merger, each outstanding share of Legacy Tectonic’s common stock, including outstanding and unvested restricted stock, was converted into the right to receive a number of shares of AVROBIO’s common stock based on an exchange ratio of 0.53 (the “Exchange Ratio”), as defined in the Merger Agreement, after giving effect to the 1-for-12 reverse stock split of AVROBIO common stock that was effected on June 20, 2024. The exchange ratio was retroactively applied to all outstanding common shares, convertible preferred shares, stock options and restricted stock.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Each outstanding and unexercised option to purchase shares of Legacy Tectonic’s common stock immediately prior to closing was assumed by AVROBIO and was converted into an option to purchase shares of AVROBIO common stock, with necessary adjustments to the number of shares and exercise price to reflect the Exchange Ratio. Legacy Tectonic’s restricted common stock, outstanding and unvested immediately prior to the closing, was assumed by AVROBIO in the Merger.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Legacy Tectonic stockholders received 10,956,614 shares of AVROBIO common stock in connection with the Merger, including 11,447 shares of AVROBIO restricted common stock subject to vesting terms, based on the number of shares of Legacy Tectonic common stock outstanding immediately prior to the Merger, including restricted stock, the number of shares of common stock issued to investors participating in the Subscription Agreements (as defined below) and Simple Agreements for Future Equity (“SAFEs”), and Legacy Tectonic convertible preferred stock outstanding immediately prior to the Merger, which was converted into shares of Legacy Tectonic common stock on a one-for-one basis immediately prior to the closing of the Merger.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Concurrently with the closing of the Merger, certain investors of Legacy Tectonic completed the purchase of 7,790,889 shares of Legacy Tectonic common stock pursuant to the Subscription Agreement dated January 30, 2024 (the “Subscription Agreement”) at a purchase price of $12.40 per share for an aggregate purchase price of $96.6 million. Shares of Legacy Tectonic common stock issued pursuant to the Subscription Agreements were converted into 4,163,606 shares of AVROBIO common stock at the closing of the Merger based on the Exchange Ratio, pursuant to the Merger Agreement. </w:t>
      </w:r>
    </w:p>
    <w:p>
      <w:pPr>
        <w:pStyle w:val="TextBody"/>
        <w:bidi w:val="0"/>
        <w:spacing w:before="120" w:after="120"/>
        <w:jc w:val="both"/>
        <w:rPr>
          <w:rFonts w:ascii="Times New Roman" w:hAnsi="Times New Roman"/>
          <w:sz w:val="20"/>
        </w:rPr>
      </w:pPr>
      <w:r>
        <w:rPr>
          <w:rFonts w:ascii="Times New Roman" w:hAnsi="Times New Roman"/>
          <w:b/>
          <w:i/>
          <w:color w:val="000000"/>
          <w:sz w:val="20"/>
        </w:rPr>
        <w:t>Risks and Uncertainties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Company’s proprietary GEODe platform is currently in development. There can be no assurance that current and future research and development activities will be successfully completed, that adequate protection for owned intellectual property will be obtained, that any products developed will obtain necessary government regulatory approval or that any approved products will be commercially viable. Even if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spacing w:before="120" w:after="120"/>
        <w:jc w:val="both"/>
        <w:rPr>
          <w:rFonts w:ascii="Times New Roman" w:hAnsi="Times New Roman"/>
          <w:sz w:val="20"/>
        </w:rPr>
      </w:pPr>
      <w:r>
        <w:rPr>
          <w:rFonts w:ascii="Times New Roman" w:hAnsi="Times New Roman"/>
          <w:b/>
          <w:i/>
          <w:color w:val="000000"/>
          <w:sz w:val="20"/>
        </w:rPr>
        <w:t>Liquidity and Capital Resources</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Since inception, the Company has incurred recurring losses and negative cash flows from operations and expects such losses to continue in the future as it conducts research and development activities and continues to develop its product candidates. The Company generated net losses of $58.0 million and $42.8 million for the years ended December 31, 2024 and 2023, respectively and had an accumulated deficit of $148.6 million as of December 31, 2024. The Company has financed its operations primarily through the sale and issuance of common stock, convertible preferred stock, convertible promissory notes, SAFEs and the Merger. In February 2025, the Company sold shares of its common stock under a securities purchase agreement in exchange for gross proceeds of $185 million, as described in Note 16, </w:t>
      </w:r>
      <w:r>
        <w:rPr>
          <w:rFonts w:ascii="Times New Roman" w:hAnsi="Times New Roman"/>
          <w:i/>
          <w:color w:val="000000"/>
          <w:sz w:val="20"/>
        </w:rPr>
        <w:t>Subsequent Events</w:t>
      </w:r>
      <w:r>
        <w:rPr>
          <w:rFonts w:ascii="Times New Roman" w:hAnsi="Times New Roman"/>
          <w:color w:val="000000"/>
          <w:sz w:val="20"/>
        </w:rPr>
        <w:t xml:space="preserve">. The Company has devoted substantially all of its financial resources and efforts to business planning, conducting research and development, recruiting management and technical staff, and raising capital.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As the Company continues to develop its proprietary platform and potential product candidates, it will require significant additional research and development efforts, including extensive preclinical and clinical testing and regulatory approval prior to commercialization. It may never achieve profitability, and unless and until it does, it will continue to need to raise additional capital to fund its operations. The Company had cash and cash equivalents of $141.2 million as of December 31, 2024. Management believes that the Company’s current cash and cash equivalents will be sufficient to fund its planned operations for at least 12 months from the issuance date of these consolidated financial statements.</w:t>
      </w:r>
    </w:p>
    <w:p>
      <w:pPr>
        <w:pStyle w:val="TextBody"/>
        <w:bidi w:val="0"/>
        <w:spacing w:before="120" w:after="120"/>
        <w:jc w:val="both"/>
        <w:rPr/>
      </w:pPr>
      <w:r>
        <w:rPr/>
        <w:t> </w:t>
      </w:r>
    </w:p>
    <w:p>
      <w:pPr>
        <w:pStyle w:val="TextBody"/>
        <w:bidi w:val="0"/>
        <w:spacing w:before="120" w:after="120"/>
        <w:jc w:val="both"/>
        <w:rPr>
          <w:rFonts w:ascii="Times New Roman" w:hAnsi="Times New Roman"/>
          <w:b/>
          <w:caps/>
          <w:color w:val="000000"/>
          <w:sz w:val="20"/>
        </w:rPr>
      </w:pPr>
      <w:r>
        <w:rPr>
          <w:rFonts w:ascii="Times New Roman" w:hAnsi="Times New Roman"/>
          <w:b/>
          <w:caps/>
          <w:color w:val="000000"/>
          <w:sz w:val="20"/>
        </w:rPr>
        <w:t>2.</w:t>
      </w:r>
    </w:p>
    <w:p>
      <w:pPr>
        <w:pStyle w:val="TextBody"/>
        <w:bidi w:val="0"/>
        <w:spacing w:before="120" w:after="120"/>
        <w:jc w:val="both"/>
        <w:rPr/>
      </w:pPr>
      <w:r>
        <w:rPr>
          <w:rFonts w:ascii="Times New Roman" w:hAnsi="Times New Roman"/>
          <w:b/>
          <w:caps/>
          <w:color w:val="000000"/>
          <w:sz w:val="20"/>
        </w:rPr>
        <w:t>SUMMARY OF SIGNIFICANT ACCOUNTING POLICIES</w:t>
      </w:r>
      <w:r>
        <w:rPr>
          <w:color w:val="000000"/>
        </w:rPr>
        <w:t xml:space="preserve"> </w:t>
      </w:r>
      <w:r>
        <w:rPr>
          <w:rFonts w:ascii="Times New Roman" w:hAnsi="Times New Roman"/>
          <w:b/>
          <w:color w:val="000000"/>
          <w:sz w:val="20"/>
        </w:rPr>
        <w:t>AND BASIS OF PRESENTATION</w:t>
      </w:r>
    </w:p>
    <w:p>
      <w:pPr>
        <w:pStyle w:val="TextBody"/>
        <w:bidi w:val="0"/>
        <w:spacing w:before="120" w:after="120"/>
        <w:jc w:val="both"/>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accompanying consolidated financial statements have been prepared in conformity with GAAP. Any reference in these notes to applicable guidance is meant to refer to GAAP, as found in the Accounting Standards Codification (“ASC”) and Accounting Standards Updates (“ASU”) of the Financial Accounting Standards Board (“FASB”).</w:t>
      </w:r>
    </w:p>
    <w:p>
      <w:pPr>
        <w:pStyle w:val="TextBody"/>
        <w:bidi w:val="0"/>
        <w:spacing w:before="120" w:after="120"/>
        <w:jc w:val="both"/>
        <w:rPr>
          <w:rFonts w:ascii="Times New Roman" w:hAnsi="Times New Roman"/>
          <w:sz w:val="20"/>
        </w:rPr>
      </w:pPr>
      <w:r>
        <w:rPr>
          <w:rFonts w:ascii="Times New Roman" w:hAnsi="Times New Roman"/>
          <w:b/>
          <w:i/>
          <w:color w:val="000000"/>
          <w:sz w:val="20"/>
        </w:rPr>
        <w:t>Principles of Consolidation</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consolidated financial statements include the accounts of the Company and its subsidiaries. All intercompany balances and transactions have been eliminated in consolidation.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Reverse Stock Split and Exchange Ratio</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Upon the closing of the Merger, each outstanding share of Legacy Tectonic’s common stock, including outstanding and unvested restricted stock, was converted into the right to receive a number of shares of AVROBIO’s common stock based on the Exchange Ratio of 0.53, after giving effect to the 1-for-12 reverse stock split of AVROBIO common stock that was effected on June 20, 2024. The exchange ratio was retroactively applied to all outstanding common shares, convertible preferred shares, stock options and restricted stock.</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 xml:space="preserve">Use of Estimates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preparation of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expenses during the reporting periods. Significant items subject to such estimates and assumptions include those related to the valuation of stock-based awards, income taxes, the fair value determination of the SAFEs and certain research and development accruals. Management’s estimates are based on historical experience and various other assumptions that it believes are reasonable under the circumstances. Changes in estimates are recorded in the period in which they become known. Actual results could differ from those estimates.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Foreign Currency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operations of each of the Company’s entities are measured using the currency of the primary economic environment in which the subsidiary operates (“functional currency”). Assets and liabilities of foreign subsidiaries whose functional currency is the local currency are translated into U.S. dollars using period-end exchange rates. Expenses are translated at the average exchange rate in effect during each fiscal month during the year. The effects of foreign currency translation adjustments are included as a component of Accumulated other comprehensive income (loss) in the Consolidated Balance Sheets.</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Operating segments are identified as components of an enterprise about which separate discrete financial information is made available for evaluation by the chief operating decision maker (“CODM”) in making decisions regarding resource allocation and assessing performance. The Company’s CODM is its chief executive officer, who reviews financial information on a consolidated basis for the purpose of making operating decisions, assessing financial performance and allocating resources. The Company has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one reportable segment and manages its operations on a consolidated basis for the purposes of assessing performance and making operating decisions. See Note 16, </w:t>
      </w:r>
      <w:r>
        <w:rPr>
          <w:rFonts w:ascii="Times New Roman" w:hAnsi="Times New Roman"/>
          <w:i/>
          <w:color w:val="000000"/>
          <w:sz w:val="20"/>
        </w:rPr>
        <w:t>Segment Information</w:t>
      </w:r>
      <w:r>
        <w:rPr>
          <w:rFonts w:ascii="Times New Roman" w:hAnsi="Times New Roman"/>
          <w:color w:val="000000"/>
          <w:sz w:val="20"/>
        </w:rPr>
        <w:t xml:space="preserve"> for additional information regarding the Company’s segment information.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considers all highly liquid investments with an original maturity of three months or less at the time of purchase to be cash equivalents. As of December 31, 2024 and 2023, cash equivalents consisted of cash on deposit with banks denominated in U.S. dollars and investment in money market funds.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classifies all cash whose use is limited by contractual provisions as restricted cash. Restricted cash arises from the requirement for the Company to maintain cash of $0.6 million as collateral in connection with a letter of credit issued with the corporate headquarters and lab space lease agreement entered into on November 19, 2020. The Company may not access these funds until after the expiration of the lease term on January 31, 2026. The Company has classified the certificate of deposits collateralizing the letter of credits issued as a security deposit as restricted cash in the noncurrent asset section of the Consolidated Balance Sheets.</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Concentrations of Credit Risk and Off-Balance Sheet Risk</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Financial instruments that potentially expose the Company to concentrations of credit risk consist primarily of cash and cash equivalents. Periodically, the Company maintains deposits in accredited financial institutions in excess of governmental insured limits. The Company deposits its cash and cash equivalents in financial institutions that it believes have a high credit quality and have not experienced any losses on such accounts and does not believe it is exposed to any unusual credit risk beyond the normal credit risk associated with commercial banking relationships.</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Property and equipment are stated at cost less accumulated depreciation. Depreciation is calculated using the straight-line method over the estimated useful life of each asset, generally three to five years. Leasehold improvements are amortized over the shorter of the assets’ expected useful life or the remaining lease term. Construction-in-progress reflects amounts incurred for property and equipment for use in the research and development process and have not yet been placed in service and are not depreciated or amortized. Expenditures for major renewals and improvements that extend the useful life of the asset are capitalized as part of the asset. Expenditures for repairs and maintenance are expensed as incurred.</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Upon retirement or sale, the cost of assets disposed of and the related accumulated depreciation are removed from the accounts and any resulting gain or loss is recognized.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evaluates its long-lived assets, which consist primarily of property and equipment, for impairment whenever events or changes in circumstances indicate that the carrying amount of such assets may not be recoverable. The carrying amount of a long-lived asset is not recoverable if it exceeds the sum of the undiscounted cash flows expected to result from the use and eventual disposition of the asset. If the carrying amount of the asset is not recoverable, an impairment will be recognized and measured as the amount by which the carrying amount of the asset exceeds its fair value. No impairment was identified during the years ended December 31, 2024 and 2023.</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assesses the fair value of financial instruments as the exchange price that would be received for an asset or paid to transfer a liability (an exit price) in the principal or most advantageous market for the asset or liability in an orderly transaction between market participants on the measurement date.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br/>
        <w:t> </w:t>
      </w:r>
    </w:p>
    <w:p>
      <w:pPr>
        <w:pStyle w:val="TextBody"/>
        <w:bidi w:val="0"/>
        <w:spacing w:before="120" w:after="120"/>
        <w:jc w:val="both"/>
        <w:rPr>
          <w:rFonts w:ascii="Times New Roman" w:hAnsi="Times New Roman"/>
          <w:sz w:val="20"/>
        </w:rPr>
      </w:pPr>
      <w:r>
        <w:rPr>
          <w:rFonts w:ascii="Times New Roman" w:hAnsi="Times New Roman"/>
          <w:b/>
          <w:i/>
          <w:color w:val="000000"/>
          <w:sz w:val="20"/>
        </w:rPr>
        <w:t>Level 1</w:t>
      </w:r>
      <w:r>
        <w:rPr>
          <w:rFonts w:ascii="Times New Roman" w:hAnsi="Times New Roman"/>
          <w:color w:val="000000"/>
          <w:sz w:val="20"/>
        </w:rPr>
        <w:t>—Unadjusted quoted prices in active markets for identical, unrestricted assets or liabilities that are accessible at the measurement date;</w:t>
      </w:r>
    </w:p>
    <w:p>
      <w:pPr>
        <w:pStyle w:val="TextBody"/>
        <w:bidi w:val="0"/>
        <w:spacing w:before="120" w:after="120"/>
        <w:jc w:val="both"/>
        <w:rPr>
          <w:rFonts w:ascii="Times New Roman" w:hAnsi="Times New Roman"/>
          <w:sz w:val="20"/>
        </w:rPr>
      </w:pPr>
      <w:r>
        <w:rPr>
          <w:rFonts w:ascii="Times New Roman" w:hAnsi="Times New Roman"/>
          <w:b/>
          <w:i/>
          <w:color w:val="000000"/>
          <w:sz w:val="20"/>
        </w:rPr>
        <w:t>Level 2</w:t>
      </w:r>
      <w:r>
        <w:rPr>
          <w:rFonts w:ascii="Times New Roman" w:hAnsi="Times New Roman"/>
          <w:color w:val="000000"/>
          <w:sz w:val="20"/>
        </w:rPr>
        <w:t xml:space="preserve">—Quoted prices for similar assets or liabilities in active markets, quoted prices for identical or similar asset or liabilities in markets that are not active or valuations with significant inputs other than quoted prices that are observable, either directly or indirectly; and, </w:t>
      </w:r>
    </w:p>
    <w:p>
      <w:pPr>
        <w:pStyle w:val="TextBody"/>
        <w:bidi w:val="0"/>
        <w:spacing w:before="120" w:after="120"/>
        <w:jc w:val="both"/>
        <w:rPr>
          <w:rFonts w:ascii="Times New Roman" w:hAnsi="Times New Roman"/>
          <w:sz w:val="20"/>
        </w:rPr>
      </w:pPr>
      <w:r>
        <w:rPr>
          <w:rFonts w:ascii="Times New Roman" w:hAnsi="Times New Roman"/>
          <w:b/>
          <w:i/>
          <w:color w:val="000000"/>
          <w:sz w:val="20"/>
        </w:rPr>
        <w:t>Level 3</w:t>
      </w:r>
      <w:r>
        <w:rPr>
          <w:rFonts w:ascii="Times New Roman" w:hAnsi="Times New Roman"/>
          <w:color w:val="000000"/>
          <w:sz w:val="20"/>
        </w:rPr>
        <w:t>—Prices or valuations that require inputs that are both significant to the fair value measurement and unobservable.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Financial instruments are categorized in their entirety in the same level of the fair value hierarchy as the lowest level input that is significant to the entire fair value measurement.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Research and development costs are expensed as incurred. Research and development expenses consist primarily of costs incurred for research activities, including discovery efforts and the development of the Company’s programs and platform and include (1) expenses incurred in connection with research and the preclinical and clinical development of the Company’s programs and product candidates, including agreements with third parties and contract research organizations (“CROs”), (2) costs related to manufacturing material for preclinical studies and clinical trials, including fees paid to contract development and manufacturing organizations (“CDMOs”), (3) employee-related expenses, including salaries and bonuses, related benefits and stock-based compensation expense, for employees engaged in research and development functions (4) facilities, depreciation and other expenses related to research and development activities, which include direct or allocated expenses for rent, maintenance of facilities and utilities, (5) licensing and license maintenance fees incurred under license agreements where no alternative future use exists, and (6) costs related to compliance with regulatory requirements.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Company’s accruals for research and development activities performed by third parties are estimated based on the level of services performed, progress of the studies, including the phase or completion of events, and contracted costs. The estimated costs of research and development provided, but not yet invoiced, are included in accrued expenses and other current liabilities on the Consolidated Balance Sheets. If the actual timing of the performance of services or the level of effort varies from the original estimates, the Company will adjust the accruals accordingly. These vendors generally bill monthly for services performed, or bill based upon milestone achievement. The Company accrues expenses based upon estimates of percentage of work completed and the contract milestones remaining. Payments made to third parties under these arrangements in advance of the performance of the related services by the third parties are recorded as prepaid expenses until the services are rendered. The Company estimates the period over which such services will be performed based on the terms of the agreements as well as the level of effort to be expended in each period.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The Company accounts for leases in accordance with ASC Topic 842, </w:t>
      </w:r>
      <w:r>
        <w:rPr>
          <w:rFonts w:ascii="Times New Roman" w:hAnsi="Times New Roman"/>
          <w:i/>
          <w:color w:val="000000"/>
          <w:sz w:val="20"/>
        </w:rPr>
        <w:t xml:space="preserve">Leases </w:t>
      </w:r>
      <w:r>
        <w:rPr>
          <w:rFonts w:ascii="Times New Roman" w:hAnsi="Times New Roman"/>
          <w:color w:val="000000"/>
          <w:sz w:val="20"/>
        </w:rPr>
        <w:t>("ASC 842"). The Company determines if an arrangement is or contains a lease and the classification of that lease at inception of the contract. The Company’s operating and finance lease assets are included in right-of-use assets, net, and the current and non-current portions of the finance and operating lease liabilities are included in lease liabilities, and lease liabilities, non-current, respectively, on the balance sheets. Right-of-use assets and lease liabilities are recognized based on the present value of the future minimum lease payments over the lease term at the lease commencement date. Right-of-use assets are based on the corresponding lease liability adjusted for (i) payments made at or before the commencement date, (ii) initial direct costs incurred, and (iii) tenant incentives under the lease. The Company does not account for renewals or early terminations unless it is reasonably certain to exercise these options at commencement. Operating lease expense is recognized on a straight-line basis over the lease term. For finance leases, right of use assets are amortized on a straight-line basis over the shorter of the lease term or the estimated useful life of the leased assets. The Company accounts for lease and non-lease components as a single lease component for operating leases. The discount rate used to calculate the present value of the Company's lease liabilities is based on either an explicit rate stipulated in the contract for finance leases or the incremental borrowing rate based on the information available at the lease commencement date. The Company’s incremental borrowing rate is estimated to approximate the interest rate on a collateralized basis with similar terms and payments, in an economic environment where the leased asset is located. The Company determines the incremental borrowing rate by considering various factors, such as its credit rating, interest rates of similar debt instruments of entities with comparable credit ratings, the lease term and the currency in which the lease was denominated. The Company has elected the practical expedient to not recognize leases with a lease term of twelve months or less on the balance sheet (“short-term leases”) and will recognize lease payments for such short-term leases as an expense on a straight-line basis.</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Simple Agreements for Future Equity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SAFE instruments do not represent legal form debt (i.e., no creditor rights), but allow for redemption based upon certain triggering events that are outside of the control of the Company. The Company accounts for the SAFE instruments as a liability at fair value on a recurring basis. Triggering events include an equity financing, public listing transaction, change of control or dissolution. Changes in the liability’s fair value are recognized in the Company’s statements of operations and comprehensive loss. The SAFE liabilities were adjusted to fair value upon the closing of the Merger and all SAFE instruments were converted to common stock of AVROBIO pursuant to the Merger Agreement. The SAFEs were redeemed for common stock shares upon closing of the Merger.</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Convertible Preferred Stock</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recorded all shares of convertible preferred stock at their respective fair values on the dates of issuance, net of issuance costs. Convertible preferred stock was recorded outside of permanent equity because while it was not mandatorily redeemable, in certain events considered not solely within the Company’s control, such as a merger, acquisition, or sale of all or substantially all of the Company’s assets (each, a “deemed liquidation event”), the convertible preferred stock became redeemable at the option of the holders of at least a majority of the then outstanding preferred shares. The Company did not adjust the carrying value of the convertible preferred stock to its liquidation preference because a deemed liquidation event obligating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to pay the liquidation preference to holders of shares of convertible preferred stock was not probable of occurring. All outstanding shares of convertible preferred stock were converted to common stock shares upon the closing of the Merger.</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Prior to being publicly traded, the fair value of the Company’s common stock underlying the stock options was determined by the Board of Directors with assistance from management and, in part, on input from an independent third-party valuation firm. The Board of Directors determined the fair value of common stock by considering a number of objective and subjective factors, including valuations of comparable companies, sales of convertible preferred stock, operating and financial performance, the lack of liquidity of the Company’s common stock and the general and industry-specific economic outlook. Subsequent to the Merger, the fair value of the Company’s common stock is based on the closing quoted market price of its common stock as reported by the NASDAQ Select Market on the date of grant.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utilizes the Black-Scholes-Merton (“BSM”) option pricing model to determine the estimated fair value of options granted to employees and non-employees, including directors. In addition to the fair value of the Company’s common stock, the BSM mode requires the input of several assumptions. These assumptions include: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Expected Term—The expected life represents the period of time that the stock options are expected to be outstanding. Because the Company does not have substantial historical exercise behavior, it determines the expected term in accordance with the simplified method, which is an average of the contractual term of the stock option and its vesting period.</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Expected Volatility— The estimated volatility is determined by evaluating the average historical volatility of a peer group of companies for the period preceding the stock option grant for a term that is approximately equal to the stock options’ expected term.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Risk-Free Interest Rate—The risk-free interest rate is based on the implied yield currently available on U.S. Treasury issues with a term that is equal to the stock options’ expected term at the grant date.</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Expected Dividend—The expected dividend yield is assumed to be zero as the Company has not declared or paid dividends to date and does not anticipate declaring dividends for the foreseeable future.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Restricted stock units (RSUs) are measured and recognized over the vesting period and are based on the quoted market price of the Company's stock on the grant date.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All stock-based compensation expense is recorded in research and development expense or general and administrative expense in the Consolidated Statements of Operations and Comprehensive Loss, on the basis of the respective employee and nonemployee’s role within the Company.</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The Company accounts for income taxes under the asset and liability method in accordance with ASC Topic 740, </w:t>
      </w:r>
      <w:r>
        <w:rPr>
          <w:rFonts w:ascii="Times New Roman" w:hAnsi="Times New Roman"/>
          <w:i/>
          <w:color w:val="000000"/>
          <w:sz w:val="20"/>
        </w:rPr>
        <w:t xml:space="preserve">Income Taxes </w:t>
      </w:r>
      <w:r>
        <w:rPr>
          <w:rFonts w:ascii="Times New Roman" w:hAnsi="Times New Roman"/>
          <w:color w:val="000000"/>
          <w:sz w:val="20"/>
        </w:rPr>
        <w:t>(“ASC 740”), which requires the recognition of deferred tax assets and liabilities for the expected future tax consequences of events that have been included in the consolidated financial statements. Under this method, the Company determined deferred tax assets and liabilities on the basis of the differences between the consolidated financial statements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would make an adjustment to the deferred tax asset valuation allowance, which would reduce the provision for income taxes.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records uncertain tax positions in accordance with ASC 740 on the basis of a two-step process in which (1) the Company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Basic and diluted net loss per common share is presented in conformity with ASC 260, </w:t>
      </w:r>
      <w:r>
        <w:rPr>
          <w:rFonts w:ascii="Times New Roman" w:hAnsi="Times New Roman"/>
          <w:i/>
          <w:color w:val="000000"/>
          <w:sz w:val="20"/>
        </w:rPr>
        <w:t>Earning Per Share,</w:t>
      </w:r>
      <w:r>
        <w:rPr>
          <w:rFonts w:ascii="Times New Roman" w:hAnsi="Times New Roman"/>
          <w:color w:val="000000"/>
          <w:sz w:val="20"/>
        </w:rPr>
        <w:t xml:space="preserve"> for all periods presented. In accordance with this guidance, basic and diluted net loss per common share is determined by dividing the net loss by the weighted-average number of common shares outstanding during the period. Basic net loss and diluted net loss per share are calculated without consideration of potentially dilutive securities.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Related Party Transactions</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The Company applies ASC 850, </w:t>
      </w:r>
      <w:r>
        <w:rPr>
          <w:rFonts w:ascii="Times New Roman" w:hAnsi="Times New Roman"/>
          <w:i/>
          <w:color w:val="000000"/>
          <w:sz w:val="20"/>
        </w:rPr>
        <w:t>Related Party Disclosure</w:t>
      </w:r>
      <w:r>
        <w:rPr>
          <w:rFonts w:ascii="Times New Roman" w:hAnsi="Times New Roman"/>
          <w:color w:val="000000"/>
          <w:sz w:val="20"/>
        </w:rPr>
        <w:t>s, for the identification of related parties and disclosure of related party transactions.</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Comprehensive loss includes net loss as well as other changes in stockholders’ equity (deficit) that result from transactions and economic events other than those with stockholders. The comprehensive loss for the Company equals its net loss plus changes in foreign currency translation for all periods presented.</w:t>
      </w:r>
    </w:p>
    <w:p>
      <w:pPr>
        <w:pStyle w:val="TextBody"/>
        <w:bidi w:val="0"/>
        <w:spacing w:before="120" w:after="120"/>
        <w:jc w:val="both"/>
        <w:rPr>
          <w:rFonts w:ascii="Times New Roman" w:hAnsi="Times New Roman"/>
          <w:sz w:val="20"/>
        </w:rPr>
      </w:pPr>
      <w:r>
        <w:rPr>
          <w:rFonts w:ascii="Times New Roman" w:hAnsi="Times New Roman"/>
          <w:b/>
          <w:i/>
          <w:color w:val="000000"/>
          <w:sz w:val="20"/>
        </w:rPr>
        <w:t>Recent Accounting Pronouncements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From time to time, new accounting pronouncements are issued by the FASB under its ASCs or other standard setting bodies and adopted by the Company as of the specified effective date, unless otherwise discussed below.</w:t>
      </w:r>
    </w:p>
    <w:p>
      <w:pPr>
        <w:pStyle w:val="TextBody"/>
        <w:bidi w:val="0"/>
        <w:spacing w:before="120" w:after="120"/>
        <w:jc w:val="both"/>
        <w:rPr>
          <w:rFonts w:ascii="Times New Roman" w:hAnsi="Times New Roman"/>
          <w:sz w:val="20"/>
        </w:rPr>
      </w:pPr>
      <w:r>
        <w:rPr>
          <w:rFonts w:ascii="Times New Roman" w:hAnsi="Times New Roman"/>
          <w:b/>
          <w:i/>
          <w:color w:val="000000"/>
          <w:sz w:val="20"/>
        </w:rPr>
        <w:t>Recently Issued Accounting Pronouncements Not Yet Adopted</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Income Taxes</w:t>
      </w:r>
      <w:r>
        <w:rPr>
          <w:rFonts w:ascii="Times New Roman" w:hAnsi="Times New Roman"/>
          <w:color w:val="000000"/>
          <w:sz w:val="20"/>
        </w:rPr>
        <w:t xml:space="preserve"> (Topic 740) (“ASU 2023-09”), which enhances the income tax disclosure requirements for public entities on an annual basis. Under ASU 2023-09, public entities will be required to disclose in their rate reconciliation, on an annual basis, both percentages and amounts in their reporting currency for certain categories in a tabular format, with accompanying qualitative disclosures. The amendments in ASU 2023-09 are effective for fiscal years beginning after December 15, 2024, and early adoption is permitted. The Company is currently evaluating the impact of ASU 2023-09 on its consolidated financial statements. </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Statement—Reporting Comprehensive Income—Expense Disaggregation Disclosures</w:t>
      </w:r>
      <w:r>
        <w:rPr>
          <w:rFonts w:ascii="Times New Roman" w:hAnsi="Times New Roman"/>
          <w:color w:val="000000"/>
          <w:sz w:val="20"/>
        </w:rPr>
        <w:t xml:space="preserve"> (Subtopic 220-40) (“ASU 2024-03”), which requires disaggregated disclosure of certain income statement captions within the footnotes to the financial statements. The amendments in ASU 2024-03 are effective for fiscal years beginning after December 15, 2026, and early adoption is permitted. The Company is currently evaluating the impact of ASU 2023-09 on its consolidated financial statements. </w:t>
      </w:r>
    </w:p>
    <w:p>
      <w:pPr>
        <w:pStyle w:val="TextBody"/>
        <w:bidi w:val="0"/>
        <w:spacing w:before="120" w:after="283"/>
        <w:jc w:val="left"/>
        <w:rPr>
          <w:rFonts w:ascii="Times New Roman" w:hAnsi="Times New Roman"/>
          <w:b/>
          <w:caps/>
          <w:color w:val="000000"/>
          <w:sz w:val="20"/>
        </w:rPr>
      </w:pPr>
      <w:r>
        <w:rPr>
          <w:rFonts w:ascii="Times New Roman" w:hAnsi="Times New Roman"/>
          <w:b/>
          <w:caps/>
          <w:color w:val="000000"/>
          <w:sz w:val="20"/>
        </w:rPr>
        <w:t>3.</w:t>
      </w:r>
    </w:p>
    <w:p>
      <w:pPr>
        <w:pStyle w:val="TextBody"/>
        <w:bidi w:val="0"/>
        <w:spacing w:before="120" w:after="283"/>
        <w:jc w:val="left"/>
        <w:rPr>
          <w:rFonts w:ascii="Times New Roman" w:hAnsi="Times New Roman"/>
          <w:sz w:val="20"/>
        </w:rPr>
      </w:pPr>
      <w:r>
        <w:rPr>
          <w:rFonts w:ascii="Times New Roman" w:hAnsi="Times New Roman"/>
          <w:b/>
          <w:caps/>
          <w:color w:val="000000"/>
          <w:sz w:val="20"/>
        </w:rPr>
        <w:t>Merger</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As described in Note 1, </w:t>
      </w:r>
      <w:r>
        <w:rPr>
          <w:rFonts w:ascii="Times New Roman" w:hAnsi="Times New Roman"/>
          <w:i/>
          <w:color w:val="000000"/>
          <w:sz w:val="20"/>
        </w:rPr>
        <w:t>Nature of the Business</w:t>
      </w:r>
      <w:r>
        <w:rPr>
          <w:rFonts w:ascii="Times New Roman" w:hAnsi="Times New Roman"/>
          <w:color w:val="000000"/>
          <w:sz w:val="20"/>
        </w:rPr>
        <w:t xml:space="preserve">, the Company completed its Merger with AVROBIO on June 20, 2024. The Merger was accounted for as a reverse recapitalization in accordance with GAAP with Legacy Tectonic as the accounting acquirer of AVROBIO. At the effective time of the Merger, substantially all the assets of AVROBIO consisted of cash and cash equivalents, as well as other nominal assets. Under such reverse recapitalization accounting, the assets and liabilities of AVROBIO were recorded at their fair value at the effective time of the Merger, which approximated book value due to the short-term nature. No goodwill or intangible assets were recognized. Consequently, the consolidated financial statements of the Company reflect the historical operations of Legacy Tectonic for accounting purposes together with the issuance of shares to the former shareholders of AVROBIO, the legal acquirer, and a recapitalization of the equity of Legacy Tectonic, the accounting acquirer. The exchange ratio was retroactively applied to all outstanding common shares, convertible preferred shares, stock options and restricted stock of Legacy Tectonic.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As part of the recapitalization, Legacy Tectonic recognized the assets and liabilities listed below: </w:t>
      </w:r>
    </w:p>
    <w:tbl>
      <w:tblPr>
        <w:tblW w:w="5070" w:type="dxa"/>
        <w:jc w:val="left"/>
        <w:tblInd w:w="0" w:type="dxa"/>
        <w:tblLayout w:type="fixed"/>
        <w:tblCellMar>
          <w:top w:w="28" w:type="dxa"/>
          <w:left w:w="28" w:type="dxa"/>
          <w:bottom w:w="28" w:type="dxa"/>
          <w:right w:w="28" w:type="dxa"/>
        </w:tblCellMar>
      </w:tblPr>
      <w:tblGrid>
        <w:gridCol w:w="3826"/>
        <w:gridCol w:w="146"/>
        <w:gridCol w:w="211"/>
        <w:gridCol w:w="676"/>
        <w:gridCol w:w="21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78,156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incurred transaction costs of $9.3 million which was recorded as a reduction to additional paid-in capital in the Consolidated Balance Sheet. </w:t>
      </w:r>
    </w:p>
    <w:p>
      <w:pPr>
        <w:pStyle w:val="TextBody"/>
        <w:bidi w:val="0"/>
        <w:spacing w:before="120" w:after="12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caps/>
          <w:color w:val="000000"/>
          <w:sz w:val="20"/>
        </w:rPr>
      </w:pPr>
      <w:r>
        <w:rPr>
          <w:rFonts w:ascii="Times New Roman" w:hAnsi="Times New Roman"/>
          <w:b/>
          <w:caps/>
          <w:color w:val="000000"/>
          <w:sz w:val="20"/>
        </w:rPr>
        <w:t>4.</w:t>
      </w:r>
    </w:p>
    <w:p>
      <w:pPr>
        <w:pStyle w:val="TextBody"/>
        <w:bidi w:val="0"/>
        <w:spacing w:before="120" w:after="283"/>
        <w:jc w:val="left"/>
        <w:rPr>
          <w:rFonts w:ascii="Times New Roman" w:hAnsi="Times New Roman"/>
          <w:sz w:val="20"/>
        </w:rPr>
      </w:pPr>
      <w:r>
        <w:rPr>
          <w:rFonts w:ascii="Times New Roman" w:hAnsi="Times New Roman"/>
          <w:b/>
          <w:caps/>
          <w:color w:val="000000"/>
          <w:sz w:val="20"/>
        </w:rPr>
        <w:t>FAIR VALUE MEASUREMENTS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tables present information about financial assets and liabilities measured at fair value on a recurring basis and indicate the level of the fair value hierarchy utilized to determine such fair values (in thousands): </w:t>
      </w:r>
    </w:p>
    <w:tbl>
      <w:tblPr>
        <w:tblW w:w="7058" w:type="dxa"/>
        <w:jc w:val="left"/>
        <w:tblInd w:w="0" w:type="dxa"/>
        <w:tblLayout w:type="fixed"/>
        <w:tblCellMar>
          <w:top w:w="28" w:type="dxa"/>
          <w:left w:w="28" w:type="dxa"/>
          <w:bottom w:w="28" w:type="dxa"/>
          <w:right w:w="28" w:type="dxa"/>
        </w:tblCellMar>
      </w:tblPr>
      <w:tblGrid>
        <w:gridCol w:w="2201"/>
        <w:gridCol w:w="146"/>
        <w:gridCol w:w="211"/>
        <w:gridCol w:w="781"/>
        <w:gridCol w:w="146"/>
        <w:gridCol w:w="146"/>
        <w:gridCol w:w="239"/>
        <w:gridCol w:w="391"/>
        <w:gridCol w:w="146"/>
        <w:gridCol w:w="146"/>
        <w:gridCol w:w="239"/>
        <w:gridCol w:w="391"/>
        <w:gridCol w:w="146"/>
        <w:gridCol w:w="146"/>
        <w:gridCol w:w="211"/>
        <w:gridCol w:w="781"/>
        <w:gridCol w:w="591"/>
      </w:tblGrid>
      <w:tr>
        <w:trPr/>
        <w:tc>
          <w:tcPr>
            <w:tcW w:w="2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139,610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139,610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105" w:type="dxa"/>
        <w:jc w:val="left"/>
        <w:tblInd w:w="0" w:type="dxa"/>
        <w:tblLayout w:type="fixed"/>
        <w:tblCellMar>
          <w:top w:w="28" w:type="dxa"/>
          <w:left w:w="28" w:type="dxa"/>
          <w:bottom w:w="28" w:type="dxa"/>
          <w:right w:w="28" w:type="dxa"/>
        </w:tblCellMar>
      </w:tblPr>
      <w:tblGrid>
        <w:gridCol w:w="2201"/>
        <w:gridCol w:w="146"/>
        <w:gridCol w:w="211"/>
        <w:gridCol w:w="676"/>
        <w:gridCol w:w="146"/>
        <w:gridCol w:w="146"/>
        <w:gridCol w:w="239"/>
        <w:gridCol w:w="391"/>
        <w:gridCol w:w="146"/>
        <w:gridCol w:w="146"/>
        <w:gridCol w:w="211"/>
        <w:gridCol w:w="676"/>
        <w:gridCol w:w="146"/>
        <w:gridCol w:w="146"/>
        <w:gridCol w:w="211"/>
        <w:gridCol w:w="676"/>
        <w:gridCol w:w="591"/>
      </w:tblGrid>
      <w:tr>
        <w:trPr/>
        <w:tc>
          <w:tcPr>
            <w:tcW w:w="2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SAFE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Money market funds are included in cash and cash equivalents on the Company’s Consolidated Balance Sheets and are classified within Level 1 of the fair value hierarchy because they are valued using quoted market prices.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There were no transfers between the Level 1, Level 2 or Level 3 categories during the years ended December 31, 2024 and 2023. </w:t>
      </w:r>
    </w:p>
    <w:p>
      <w:pPr>
        <w:pStyle w:val="TextBody"/>
        <w:bidi w:val="0"/>
        <w:spacing w:before="120" w:after="120"/>
        <w:jc w:val="both"/>
        <w:rPr>
          <w:rFonts w:ascii="Times New Roman" w:hAnsi="Times New Roman"/>
          <w:sz w:val="20"/>
        </w:rPr>
      </w:pPr>
      <w:r>
        <w:rPr>
          <w:rFonts w:ascii="Times New Roman" w:hAnsi="Times New Roman"/>
          <w:b/>
          <w:i/>
          <w:color w:val="000000"/>
          <w:sz w:val="20"/>
        </w:rPr>
        <w:t>SAFE Liabilities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From October through December 2023, Legacy Tectonic entered into multiple SAFE agreements with certain existing investors and received proceeds of $34.1 million. Prior to redemption, the SAFE liabilities were valued using a probability weighted scenario analysis and discount rates derived by application of the build-up method to reflect the cost of equity. The valuation model required a variety of inputs, including the probability of occurrence of events that would trigger conversion or redemption of the SAFEs, the expected timing of such events, and a discount rate.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Upon the closing of the Merger, the principal balance of the SAFE instruments was automatically redeemed for 2,752,216 shares of Legacy Tectonic common stock at the conversion price of $12.40 per share immediately prior to the Merger closing. As such the valuation inputs utilized to adjust the SAFE liability to fair value upon the closing of the Merger was $12.40. At closing, shares of Legacy Tectonic common stock issued pursuant to the redemption of Legacy Tectonic SAFEs were converted into 1,470,839 shares of AVROBIO common stock based on the Exchange Ratio, pursuant to the Merger Agreement.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presents activity for the SAFE liabilities that were measured at fair value using significant unobservable Level 3 inputs during the years ended December 31, 2024 and 2023 (in thousands): </w:t>
      </w:r>
    </w:p>
    <w:p>
      <w:pPr>
        <w:pStyle w:val="TextBody"/>
        <w:bidi w:val="0"/>
        <w:jc w:val="left"/>
        <w:rPr/>
      </w:pPr>
      <w:r>
        <w:rPr/>
        <w:t> </w:t>
      </w:r>
    </w:p>
    <w:tbl>
      <w:tblPr>
        <w:tblW w:w="4633" w:type="dxa"/>
        <w:jc w:val="left"/>
        <w:tblInd w:w="0" w:type="dxa"/>
        <w:tblLayout w:type="fixed"/>
        <w:tblCellMar>
          <w:top w:w="28" w:type="dxa"/>
          <w:left w:w="28" w:type="dxa"/>
          <w:bottom w:w="28" w:type="dxa"/>
          <w:right w:w="28" w:type="dxa"/>
        </w:tblCellMar>
      </w:tblPr>
      <w:tblGrid>
        <w:gridCol w:w="2821"/>
        <w:gridCol w:w="146"/>
        <w:gridCol w:w="284"/>
        <w:gridCol w:w="991"/>
        <w:gridCol w:w="3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SAFE Liabilities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Initial fair value recognition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Fair value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Fair value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Redemption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caps/>
          <w:color w:val="000000"/>
          <w:sz w:val="20"/>
        </w:rPr>
        <w:t>5. PROPERTY and EQUIPMENT, NET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Property and equipment, net is comprised of the following (in thousands): </w:t>
      </w:r>
    </w:p>
    <w:tbl>
      <w:tblPr>
        <w:tblW w:w="5684" w:type="dxa"/>
        <w:jc w:val="left"/>
        <w:tblInd w:w="0" w:type="dxa"/>
        <w:tblLayout w:type="fixed"/>
        <w:tblCellMar>
          <w:top w:w="28" w:type="dxa"/>
          <w:left w:w="28" w:type="dxa"/>
          <w:bottom w:w="28" w:type="dxa"/>
          <w:right w:w="28" w:type="dxa"/>
        </w:tblCellMar>
      </w:tblPr>
      <w:tblGrid>
        <w:gridCol w:w="3331"/>
        <w:gridCol w:w="146"/>
        <w:gridCol w:w="211"/>
        <w:gridCol w:w="631"/>
        <w:gridCol w:w="166"/>
        <w:gridCol w:w="146"/>
        <w:gridCol w:w="211"/>
        <w:gridCol w:w="631"/>
        <w:gridCol w:w="2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 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Depreciation expense was $1.2 million and $1.0 million for the years ended December 31, 2024 and 2023, respectively, and is primarily attributable to research and development activities. </w:t>
      </w:r>
    </w:p>
    <w:p>
      <w:pPr>
        <w:pStyle w:val="TextBody"/>
        <w:bidi w:val="0"/>
        <w:spacing w:before="120" w:after="283"/>
        <w:jc w:val="left"/>
        <w:rPr>
          <w:rFonts w:ascii="Times New Roman" w:hAnsi="Times New Roman"/>
          <w:b/>
          <w:caps/>
          <w:color w:val="000000"/>
          <w:sz w:val="20"/>
        </w:rPr>
      </w:pPr>
      <w:r>
        <w:rPr>
          <w:rFonts w:ascii="Times New Roman" w:hAnsi="Times New Roman"/>
          <w:b/>
          <w:caps/>
          <w:color w:val="000000"/>
          <w:sz w:val="20"/>
        </w:rPr>
        <w:t>6.</w:t>
      </w:r>
    </w:p>
    <w:p>
      <w:pPr>
        <w:pStyle w:val="TextBody"/>
        <w:bidi w:val="0"/>
        <w:spacing w:before="120" w:after="283"/>
        <w:jc w:val="left"/>
        <w:rPr>
          <w:rFonts w:ascii="Times New Roman" w:hAnsi="Times New Roman"/>
          <w:sz w:val="20"/>
        </w:rPr>
      </w:pPr>
      <w:r>
        <w:rPr>
          <w:rFonts w:ascii="Times New Roman" w:hAnsi="Times New Roman"/>
          <w:b/>
          <w:caps/>
          <w:color w:val="000000"/>
          <w:sz w:val="20"/>
        </w:rPr>
        <w:t>ACCRUED EXPENSES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is comprised of the following (in thousands): </w:t>
      </w:r>
    </w:p>
    <w:p>
      <w:pPr>
        <w:pStyle w:val="TextBody"/>
        <w:bidi w:val="0"/>
        <w:spacing w:before="120" w:after="283"/>
        <w:jc w:val="left"/>
        <w:rPr/>
      </w:pPr>
      <w:r>
        <w:rPr/>
        <w:t> </w:t>
      </w:r>
    </w:p>
    <w:tbl>
      <w:tblPr>
        <w:tblW w:w="6574" w:type="dxa"/>
        <w:jc w:val="left"/>
        <w:tblInd w:w="0" w:type="dxa"/>
        <w:tblLayout w:type="fixed"/>
        <w:tblCellMar>
          <w:top w:w="28" w:type="dxa"/>
          <w:left w:w="28" w:type="dxa"/>
          <w:bottom w:w="28" w:type="dxa"/>
          <w:right w:w="28" w:type="dxa"/>
        </w:tblCellMar>
      </w:tblPr>
      <w:tblGrid>
        <w:gridCol w:w="4381"/>
        <w:gridCol w:w="146"/>
        <w:gridCol w:w="211"/>
        <w:gridCol w:w="571"/>
        <w:gridCol w:w="146"/>
        <w:gridCol w:w="146"/>
        <w:gridCol w:w="211"/>
        <w:gridCol w:w="571"/>
        <w:gridCol w:w="1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 and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7.</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 xml:space="preserve">STOCKHOLDERS’ EQUITY </w:t>
      </w:r>
    </w:p>
    <w:p>
      <w:pPr>
        <w:pStyle w:val="TextBody"/>
        <w:bidi w:val="0"/>
        <w:spacing w:before="120" w:after="120"/>
        <w:jc w:val="both"/>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As of December 31, 2023, the Company’s amended and restated certificate of incorporation authorized the Company to issue up to 11,947,558 shares of $0.0001 par value common stock, of which, 2,634,246 shares were issued and outstanding. Voting, dividend and liquidation rights of the holders of common stock were subject to and qualified by the rights, powers and preferences of the holders of the Preferred Stock. Holders of common stock were entitled to one vote for each share of common stock; however, the holders of the common stock were not entitled to vote on any amendment to the amended and restated certificate of incorporation that related solely to the terms of one or more outstanding series of preferred stock. The Company had included in issued and outstanding common stock shares of restricted common stock granted by the Company. As of December 31, 2023, there were 2,634,246 common shares issued and outstanding, of which 2,598,752 relate to shares of unrestricted common stock.</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amended and restated its certificate of incorporation, effective June 20, 2024, in connection with the Merger. The Company is authorized to issue 150,000,000 shares of common stock at a par value of $0.0001. Holders of voting common stock are entitled to one vote per share. In addition, holders of voting common stock are entitled to receive dividends, if and when declared by the Company’s Board of Directors. As of December 31, 2024, no dividends had been declared.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reserved common stock for future issuance as follows:</w:t>
      </w:r>
    </w:p>
    <w:tbl>
      <w:tblPr>
        <w:tblW w:w="9474" w:type="dxa"/>
        <w:jc w:val="left"/>
        <w:tblInd w:w="0" w:type="dxa"/>
        <w:tblLayout w:type="fixed"/>
        <w:tblCellMar>
          <w:top w:w="28" w:type="dxa"/>
          <w:left w:w="28" w:type="dxa"/>
          <w:bottom w:w="28" w:type="dxa"/>
          <w:right w:w="28" w:type="dxa"/>
        </w:tblCellMar>
      </w:tblPr>
      <w:tblGrid>
        <w:gridCol w:w="6691"/>
        <w:gridCol w:w="146"/>
        <w:gridCol w:w="146"/>
        <w:gridCol w:w="931"/>
        <w:gridCol w:w="146"/>
        <w:gridCol w:w="146"/>
        <w:gridCol w:w="146"/>
        <w:gridCol w:w="931"/>
        <w:gridCol w:w="191"/>
      </w:tblGrid>
      <w:tr>
        <w:trPr/>
        <w:tc>
          <w:tcPr>
            <w:tcW w:w="6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preferred stock (as converted 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3,647,675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1,002,535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SAFEs (as converted 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1,519,331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awards available for future issuance under the 2019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awards available for future issuance under the 2024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purchase under the 2024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2,775,878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6,213,717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Convertible Preferred Stock</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Prior to the conversion upon the closing of the Merger, Legacy Tectonic issued Series A-1, A-2, A-3 and A-4 convertible preferred stock (the “Convertible Preferred Stock”). Upon the closing of the Merger, all outstanding shares of the Convertible Preferred Stock were converted into 3,647,675 shares of common stock. No shares of Convertible Preferred Stock are authorized for issuance as of December 31, 2024.</w:t>
      </w:r>
    </w:p>
    <w:p>
      <w:pPr>
        <w:pStyle w:val="TextBody"/>
        <w:bidi w:val="0"/>
        <w:spacing w:before="120" w:after="120"/>
        <w:jc w:val="both"/>
        <w:rPr>
          <w:rFonts w:ascii="Times New Roman" w:hAnsi="Times New Roman"/>
          <w:sz w:val="20"/>
        </w:rPr>
      </w:pPr>
      <w:r>
        <w:rPr>
          <w:rFonts w:ascii="Times New Roman" w:hAnsi="Times New Roman"/>
          <w:b/>
          <w:i/>
          <w:color w:val="000000"/>
          <w:sz w:val="20"/>
        </w:rPr>
        <w:t>Preferred Stock</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Subsequent to the Merger, the Company authorized the issuance of 10,000,000 shares of undesignated preferred stock, however no such shares were issued or outstanding as of December 31, 2024.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Changes in Capital Structure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Upon the closing of the Merger, all outstanding shares of convertible preferred stock were converted into an aggregate of 3,647,675 shares of the Company’s common stock and $80.6 million of mezzanine equity was reclassified to common stock and additional paid-in capital. As of December 31, 2024, there were no shares of convertible preferred stock issued or outstanding.</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Upon the closing of the Merger, the principal balance of the SAFE instruments was automatically redeemed for 2,752,216 shares of Legacy Tectonic common stock at the conversion price of $12.40 per share immediately prior to the Merger closing. At closing, shares of Legacy Tectonic common stock issued pursuant to the redemption of Legacy Tectonic SAFEs were converted into 1,470,839 shares of common stock based on the Exchange Ratio, pursuant to the Merger Agreement.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Concurrently with the closing of the Merger, on June 20, 2024, certain investors completed the purchase of shares of Legacy Tectonic common stock pursuant to the Subscription Agreement at a price of $12.40 per share for an aggregate purchase price of $96.6 million. The shares of Legacy Tectonic common stock that were issued pursuant to the Subscription Agreement were converted into 4,163,606 shares of common stock upon the closing of the Merger based on the exchange ratio, pursuant to the Merger Agreement. </w:t>
      </w:r>
    </w:p>
    <w:p>
      <w:pPr>
        <w:pStyle w:val="TextBody"/>
        <w:bidi w:val="0"/>
        <w:spacing w:before="120" w:after="120"/>
        <w:jc w:val="both"/>
        <w:rPr>
          <w:rFonts w:ascii="Times New Roman" w:hAnsi="Times New Roman"/>
          <w:b/>
          <w:caps/>
          <w:color w:val="000000"/>
          <w:sz w:val="20"/>
        </w:rPr>
      </w:pPr>
      <w:r>
        <w:rPr>
          <w:rFonts w:ascii="Times New Roman" w:hAnsi="Times New Roman"/>
          <w:b/>
          <w:caps/>
          <w:color w:val="000000"/>
          <w:sz w:val="20"/>
        </w:rPr>
        <w:t>8.</w:t>
      </w:r>
    </w:p>
    <w:p>
      <w:pPr>
        <w:pStyle w:val="TextBody"/>
        <w:bidi w:val="0"/>
        <w:spacing w:before="120" w:after="120"/>
        <w:jc w:val="both"/>
        <w:rPr/>
      </w:pPr>
      <w:r>
        <w:rPr>
          <w:rFonts w:ascii="Times New Roman" w:hAnsi="Times New Roman"/>
          <w:b/>
          <w:caps/>
          <w:color w:val="000000"/>
          <w:sz w:val="20"/>
        </w:rPr>
        <w:t>EQUITY INCENTIVE PLANS</w:t>
      </w:r>
      <w:r>
        <w:rPr>
          <w:color w:val="000000"/>
        </w:rPr>
        <w:t xml:space="preserve"> </w:t>
      </w:r>
    </w:p>
    <w:p>
      <w:pPr>
        <w:pStyle w:val="TextBody"/>
        <w:bidi w:val="0"/>
        <w:spacing w:before="120" w:after="120"/>
        <w:jc w:val="both"/>
        <w:rPr>
          <w:rFonts w:ascii="Times New Roman" w:hAnsi="Times New Roman"/>
          <w:sz w:val="20"/>
        </w:rPr>
      </w:pPr>
      <w:r>
        <w:rPr>
          <w:rFonts w:ascii="Times New Roman" w:hAnsi="Times New Roman"/>
          <w:b/>
          <w:i/>
          <w:color w:val="000000"/>
          <w:sz w:val="20"/>
        </w:rPr>
        <w:t>2019 Equity Incentive Plan</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Legacy Tectonic 2019 Equity Incentive Plan (the “2019 Plan”) provides employees, consultants and advisors and non-employee members of the Board of Directors with the opportunity to receive grants of stock options, stock awards and equity awards. Following the effectiveness of the 2024 Equity Incentive Plan (the “2024 Plan”) as described below, no further grants will be made under the 2019 Plan; however, any outstanding equity awards granted under the 2019 Plan will continue to be governed by the terms of the 2019 Plan. </w:t>
      </w:r>
    </w:p>
    <w:p>
      <w:pPr>
        <w:pStyle w:val="TextBody"/>
        <w:bidi w:val="0"/>
        <w:spacing w:before="120" w:after="120"/>
        <w:jc w:val="both"/>
        <w:rPr>
          <w:rFonts w:ascii="Times New Roman" w:hAnsi="Times New Roman"/>
          <w:sz w:val="20"/>
        </w:rPr>
      </w:pPr>
      <w:r>
        <w:rPr>
          <w:rFonts w:ascii="Times New Roman" w:hAnsi="Times New Roman"/>
          <w:b/>
          <w:i/>
          <w:color w:val="000000"/>
          <w:sz w:val="20"/>
        </w:rPr>
        <w:t>2024 Equity Incentive Plan</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On June 20, 2024, the Company adopted the 2024 Equity Incentive Plan (the “2024 Plan”) which became effective upon completion of the Merger. The 2024 Plan provides for the grant of incentive stock options, nonstatutory stock options, stock appreciation rights, restricted stock awards, restricted stock unit awards, performance awards and other forms of awards to employees, consultants, and non-employee directors of the Company.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2024 Plan initially provided for the issuance of up to 1,938,799 shares of common stock (the “Initial Share Reserve”). Subject to any other adjustments as defined in the 2024 Plan, such aggregate number of shares of common stock will automatically increase on January 1st of each year for a period of ten years commencing on January 1, 2025 and ending on (and including) January 1, 2034, in an amount equal to 5% of the total number of shares of common stock issued and outstanding determined as of the day prior to such increase; provided, however that the Board of Directors may act prior to January 1st of a given year to provide that the increase for such year will be a lesser number of shares of common stock. The maximum number of shares of common stock that may be issued under the 2024 Plan pursuant to the exercise of incentive stock options shall not exceed three times the Initial Share Reserve. </w:t>
      </w:r>
    </w:p>
    <w:p>
      <w:pPr>
        <w:pStyle w:val="TextBody"/>
        <w:bidi w:val="0"/>
        <w:spacing w:before="120" w:after="120"/>
        <w:jc w:val="both"/>
        <w:rPr>
          <w:rFonts w:ascii="Times New Roman" w:hAnsi="Times New Roman"/>
          <w:sz w:val="20"/>
        </w:rPr>
      </w:pPr>
      <w:r>
        <w:rPr>
          <w:rFonts w:ascii="Times New Roman" w:hAnsi="Times New Roman"/>
          <w:b/>
          <w:i/>
          <w:color w:val="000000"/>
          <w:sz w:val="20"/>
        </w:rPr>
        <w:t>2024 Employee Stock Purchase Plan</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On June 20, 2024, the Company adopted the 2024 Employee Stock Purchase Plan (the “2024 ESPP”), which became effective upon completion of the Merger. The maximum number of shares of common stock that may be issued under the 2024 ESPP will not exceed 147,343 shares (the “Initial ESPP Share Reserve”), plus the number of shares of common stock that are automatically added on January 1st of each year for a period of up to ten years commencing on January 1, 2025 and ending on (and including) January 1, 2034, in an amount equal to the lesser of (x) 1% of the total number of shares of common stock issued and outstanding determined as of the day prior to such increase and (y) a number of shares equal to three times the Initial ESPP Share Reserve. Notwithstanding the foregoing, the Board of Directors may act prior to the first day of any calendar year to provide that there will be no January 1st increase in the share reserve for such calendar year or that the increase in the share reserve for such calendar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year will be a lesser number of shares of common stock than would otherwise occur pursuant to the preceding sentence. No offering periods under the 2024 ESPP had been initiated as of December 31, 2024. </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The equity activity below reflects the reverse stock split and retroactive application of the exchange ratio as discussed in Note 1, </w:t>
      </w:r>
      <w:r>
        <w:rPr>
          <w:rFonts w:ascii="Times New Roman" w:hAnsi="Times New Roman"/>
          <w:i/>
          <w:color w:val="000000"/>
          <w:sz w:val="20"/>
        </w:rPr>
        <w:t>Nature of Business</w:t>
      </w:r>
      <w:r>
        <w:rPr>
          <w:rFonts w:ascii="Times New Roman" w:hAnsi="Times New Roman"/>
          <w:color w:val="000000"/>
          <w:sz w:val="20"/>
        </w:rPr>
        <w:t xml:space="preserve">.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summarizes the stock option activity under the 2019 Plan and 2024 Plan during the year ended December 31, 2024 (in thousands except share, contractual term and per share amounts): </w:t>
      </w:r>
    </w:p>
    <w:tbl>
      <w:tblPr>
        <w:tblW w:w="10205" w:type="dxa"/>
        <w:jc w:val="left"/>
        <w:tblInd w:w="0" w:type="dxa"/>
        <w:tblLayout w:type="fixed"/>
        <w:tblCellMar>
          <w:top w:w="28" w:type="dxa"/>
          <w:left w:w="28" w:type="dxa"/>
          <w:bottom w:w="28" w:type="dxa"/>
          <w:right w:w="28" w:type="dxa"/>
        </w:tblCellMar>
      </w:tblPr>
      <w:tblGrid>
        <w:gridCol w:w="3360"/>
        <w:gridCol w:w="146"/>
        <w:gridCol w:w="355"/>
        <w:gridCol w:w="2271"/>
        <w:gridCol w:w="166"/>
        <w:gridCol w:w="146"/>
        <w:gridCol w:w="230"/>
        <w:gridCol w:w="626"/>
        <w:gridCol w:w="146"/>
        <w:gridCol w:w="146"/>
        <w:gridCol w:w="299"/>
        <w:gridCol w:w="742"/>
        <w:gridCol w:w="146"/>
        <w:gridCol w:w="146"/>
        <w:gridCol w:w="211"/>
        <w:gridCol w:w="676"/>
        <w:gridCol w:w="393"/>
      </w:tblGrid>
      <w:tr>
        <w:trPr/>
        <w:tc>
          <w:tcPr>
            <w:tcW w:w="33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Underlying Outstanding Options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4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6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5,585</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forfeited and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1,534,361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51,805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exercisable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15,809</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1,534,361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51,805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the stock option activity for the options that were assumed from AVROBIO upon the Merger closing during the year ended December 31, 2024 (in thousands except share, contractual term and per share amounts):</w:t>
      </w:r>
    </w:p>
    <w:tbl>
      <w:tblPr>
        <w:tblW w:w="10205" w:type="dxa"/>
        <w:jc w:val="left"/>
        <w:tblInd w:w="0" w:type="dxa"/>
        <w:tblLayout w:type="fixed"/>
        <w:tblCellMar>
          <w:top w:w="28" w:type="dxa"/>
          <w:left w:w="28" w:type="dxa"/>
          <w:bottom w:w="28" w:type="dxa"/>
          <w:right w:w="28" w:type="dxa"/>
        </w:tblCellMar>
      </w:tblPr>
      <w:tblGrid>
        <w:gridCol w:w="3381"/>
        <w:gridCol w:w="146"/>
        <w:gridCol w:w="380"/>
        <w:gridCol w:w="2210"/>
        <w:gridCol w:w="166"/>
        <w:gridCol w:w="146"/>
        <w:gridCol w:w="211"/>
        <w:gridCol w:w="676"/>
        <w:gridCol w:w="146"/>
        <w:gridCol w:w="146"/>
        <w:gridCol w:w="299"/>
        <w:gridCol w:w="741"/>
        <w:gridCol w:w="146"/>
        <w:gridCol w:w="146"/>
        <w:gridCol w:w="235"/>
        <w:gridCol w:w="636"/>
        <w:gridCol w:w="394"/>
      </w:tblGrid>
      <w:tr>
        <w:trPr/>
        <w:tc>
          <w:tcPr>
            <w:tcW w:w="3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Underlying Outstanding Options</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4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7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4"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assumed from AVROBIO upon Merger closing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forfeited and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exercisable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During the years ended December 31, 2024 and 2023, the Company granted options with a weighted-average grant-date fair value of $14.90 and $4.04 per share, respectively. The fair value of options that vested during the years ended December 31, 2024 and 2023 was $1.6 million and $1.1 million, respectively. As of December 31, 2024, the total unrecognized stock-based compensation expense for stock options was $13.3 million, which is expected to be recognized over a weighted-average period of 3.3 years.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table below discloses assumptions for the fair value of options granted:</w:t>
      </w:r>
    </w:p>
    <w:tbl>
      <w:tblPr>
        <w:tblW w:w="8203" w:type="dxa"/>
        <w:jc w:val="left"/>
        <w:tblInd w:w="0" w:type="dxa"/>
        <w:tblLayout w:type="fixed"/>
        <w:tblCellMar>
          <w:top w:w="28" w:type="dxa"/>
          <w:left w:w="28" w:type="dxa"/>
          <w:bottom w:w="28" w:type="dxa"/>
          <w:right w:w="28" w:type="dxa"/>
        </w:tblCellMar>
      </w:tblPr>
      <w:tblGrid>
        <w:gridCol w:w="4081"/>
        <w:gridCol w:w="146"/>
        <w:gridCol w:w="828"/>
        <w:gridCol w:w="687"/>
        <w:gridCol w:w="478"/>
        <w:gridCol w:w="257"/>
        <w:gridCol w:w="770"/>
        <w:gridCol w:w="640"/>
        <w:gridCol w:w="316"/>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per share of underlying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$16.09 - $51.28</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$2.50 - $4.21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6.00 - 6.25</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5.81 - 6.04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 - 104.0%</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 - 111.2%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 - 4.26%</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 - 4.90%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Restricted stock units (RSUs) are granted to certain employees. The value of an RSU award is based on the Company's stock price on the date of the grant. The shares underlying the RSUs are not issued until the RSUs vest. Activity with respect to the Company's restricted stock units during the year ended December 31, 2024 was as follows (in thousands, except share, contractual term, and per share data):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900"/>
        <w:gridCol w:w="146"/>
        <w:gridCol w:w="411"/>
        <w:gridCol w:w="1913"/>
        <w:gridCol w:w="166"/>
        <w:gridCol w:w="146"/>
        <w:gridCol w:w="440"/>
        <w:gridCol w:w="1199"/>
        <w:gridCol w:w="146"/>
        <w:gridCol w:w="146"/>
        <w:gridCol w:w="297"/>
        <w:gridCol w:w="738"/>
        <w:gridCol w:w="146"/>
        <w:gridCol w:w="146"/>
        <w:gridCol w:w="235"/>
        <w:gridCol w:w="636"/>
        <w:gridCol w:w="394"/>
      </w:tblGrid>
      <w:tr>
        <w:trPr/>
        <w:tc>
          <w:tcPr>
            <w:tcW w:w="2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9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RSUs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Underlying Outstanding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Unit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stock units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stock units 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and expected to vest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As of December 31, 2024, the total unrecognized stock-based compensation expense for RSUs was $1.1 million, which is expected to be recognized over a weighted average period of 3.2 years. </w:t>
      </w:r>
    </w:p>
    <w:p>
      <w:pPr>
        <w:pStyle w:val="TextBody"/>
        <w:bidi w:val="0"/>
        <w:spacing w:before="120" w:after="120"/>
        <w:jc w:val="both"/>
        <w:rPr>
          <w:rFonts w:ascii="Times New Roman" w:hAnsi="Times New Roman"/>
          <w:sz w:val="20"/>
        </w:rPr>
      </w:pPr>
      <w:r>
        <w:rPr>
          <w:rFonts w:ascii="Times New Roman" w:hAnsi="Times New Roman"/>
          <w:b/>
          <w:i/>
          <w:color w:val="000000"/>
          <w:sz w:val="20"/>
        </w:rPr>
        <w:t>Restricted Common Stock</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Legacy Tectonic granted restricted common stock to founders, employees and consultants. The purchase price of the restricted common stock is the estimated fair value on the grant date and the restricted stock is subject to various vesting schedules. Unvested restricted common stock is subject to repurchase rights held by the Company at the original issuance price in the event the restricted common stockholders’ service to the Company is terminated either voluntarily or involuntarily.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summarizes restricted common stock activity during the year ended December 31, 2024: </w:t>
      </w:r>
    </w:p>
    <w:tbl>
      <w:tblPr>
        <w:tblW w:w="6748" w:type="dxa"/>
        <w:jc w:val="left"/>
        <w:tblInd w:w="0" w:type="dxa"/>
        <w:tblLayout w:type="fixed"/>
        <w:tblCellMar>
          <w:top w:w="28" w:type="dxa"/>
          <w:left w:w="28" w:type="dxa"/>
          <w:bottom w:w="28" w:type="dxa"/>
          <w:right w:w="28" w:type="dxa"/>
        </w:tblCellMar>
      </w:tblPr>
      <w:tblGrid>
        <w:gridCol w:w="4801"/>
        <w:gridCol w:w="146"/>
        <w:gridCol w:w="233"/>
        <w:gridCol w:w="1177"/>
        <w:gridCol w:w="391"/>
      </w:tblGrid>
      <w:tr>
        <w:trPr/>
        <w:tc>
          <w:tcPr>
            <w:tcW w:w="4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awards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Early exercise of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awards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weighted-average grant date fair value and the weighted average value of the vested restricted common stock for the years ended December 31, 2024 and 2023 were immaterial. </w:t>
      </w:r>
    </w:p>
    <w:p>
      <w:pPr>
        <w:pStyle w:val="TextBody"/>
        <w:bidi w:val="0"/>
        <w:spacing w:before="120" w:after="120"/>
        <w:jc w:val="both"/>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is a summary of stock-based compensation expense by function recognized (in thousands):</w:t>
      </w:r>
    </w:p>
    <w:tbl>
      <w:tblPr>
        <w:tblW w:w="5197" w:type="dxa"/>
        <w:jc w:val="left"/>
        <w:tblInd w:w="0" w:type="dxa"/>
        <w:tblLayout w:type="fixed"/>
        <w:tblCellMar>
          <w:top w:w="28" w:type="dxa"/>
          <w:left w:w="28" w:type="dxa"/>
          <w:bottom w:w="28" w:type="dxa"/>
          <w:right w:w="28" w:type="dxa"/>
        </w:tblCellMar>
      </w:tblPr>
      <w:tblGrid>
        <w:gridCol w:w="2866"/>
        <w:gridCol w:w="146"/>
        <w:gridCol w:w="226"/>
        <w:gridCol w:w="614"/>
        <w:gridCol w:w="157"/>
        <w:gridCol w:w="157"/>
        <w:gridCol w:w="226"/>
        <w:gridCol w:w="614"/>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Modification of Certain Stock Options</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In July 2024, the Company entered into a separation agreement with the Company’s Chief Operating Officer (the “Former Executive”). As part of the termination of employment, the Former Executive will serve as an advisor to the Company through March 31, 2025 (“Consulting Period”) on an as needed basis. Pursuant to the separation agreement, certain modifications to the Former Executive’s vested and non-vested stock option awards were executed including continued vesting of options during the Consulting Period and the extension of the post-termination exercise period of certain stock option awards. The services performed during the Consulting Period do not qualify as substantive services under ASC 718, </w:t>
      </w:r>
      <w:r>
        <w:rPr>
          <w:rFonts w:ascii="Times New Roman" w:hAnsi="Times New Roman"/>
          <w:i/>
          <w:color w:val="000000"/>
          <w:sz w:val="20"/>
        </w:rPr>
        <w:t>Compensation—Stock Compensation</w:t>
      </w:r>
      <w:r>
        <w:rPr>
          <w:rFonts w:ascii="Times New Roman" w:hAnsi="Times New Roman"/>
          <w:color w:val="000000"/>
          <w:sz w:val="20"/>
        </w:rPr>
        <w:t xml:space="preserve">; therefore, the continued vesting of these awards represents a modification to the original award. During the year ended December 31, 2024, the Company recorded stock compensation expense of $0.4 million for the modification of the stock options of the Former Executive. This amount is included in general and administrative expenses on the consolidated statement of operations and comprehensive loss. </w:t>
      </w:r>
    </w:p>
    <w:p>
      <w:pPr>
        <w:pStyle w:val="TextBody"/>
        <w:bidi w:val="0"/>
        <w:spacing w:before="120" w:after="283"/>
        <w:jc w:val="left"/>
        <w:rPr>
          <w:rFonts w:ascii="Times New Roman" w:hAnsi="Times New Roman"/>
          <w:b/>
          <w:caps/>
          <w:color w:val="000000"/>
          <w:sz w:val="20"/>
        </w:rPr>
      </w:pPr>
      <w:r>
        <w:rPr>
          <w:rFonts w:ascii="Times New Roman" w:hAnsi="Times New Roman"/>
          <w:b/>
          <w:caps/>
          <w:color w:val="000000"/>
          <w:sz w:val="20"/>
        </w:rPr>
        <w:t>9.</w:t>
      </w:r>
    </w:p>
    <w:p>
      <w:pPr>
        <w:pStyle w:val="TextBody"/>
        <w:bidi w:val="0"/>
        <w:spacing w:before="120" w:after="283"/>
        <w:jc w:val="left"/>
        <w:rPr/>
      </w:pPr>
      <w:r>
        <w:rPr>
          <w:rFonts w:ascii="Times New Roman" w:hAnsi="Times New Roman"/>
          <w:b/>
          <w:caps/>
          <w:color w:val="000000"/>
          <w:sz w:val="20"/>
        </w:rPr>
        <w:t>Net loss per share</w:t>
      </w:r>
      <w:r>
        <w:rPr>
          <w:color w:val="00000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(in thousands, except share and per share data):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tbl>
      <w:tblPr>
        <w:tblW w:w="8734" w:type="dxa"/>
        <w:jc w:val="left"/>
        <w:tblInd w:w="0" w:type="dxa"/>
        <w:tblLayout w:type="fixed"/>
        <w:tblCellMar>
          <w:top w:w="28" w:type="dxa"/>
          <w:left w:w="28" w:type="dxa"/>
          <w:bottom w:w="28" w:type="dxa"/>
          <w:right w:w="28" w:type="dxa"/>
        </w:tblCellMar>
      </w:tblPr>
      <w:tblGrid>
        <w:gridCol w:w="5601"/>
        <w:gridCol w:w="146"/>
        <w:gridCol w:w="211"/>
        <w:gridCol w:w="931"/>
        <w:gridCol w:w="166"/>
        <w:gridCol w:w="146"/>
        <w:gridCol w:w="211"/>
        <w:gridCol w:w="931"/>
        <w:gridCol w:w="391"/>
      </w:tblGrid>
      <w:tr>
        <w:trPr/>
        <w:tc>
          <w:tcPr>
            <w:tcW w:w="5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(42,823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8,490,171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1,268,512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outstanding shares of potentially dilutive securities were excluded from the computation of diluted net loss per share for the periods presented because including them would have been antidilutive:</w:t>
      </w:r>
    </w:p>
    <w:tbl>
      <w:tblPr>
        <w:tblW w:w="7749" w:type="dxa"/>
        <w:jc w:val="left"/>
        <w:tblInd w:w="0" w:type="dxa"/>
        <w:tblLayout w:type="fixed"/>
        <w:tblCellMar>
          <w:top w:w="28" w:type="dxa"/>
          <w:left w:w="28" w:type="dxa"/>
          <w:bottom w:w="28" w:type="dxa"/>
          <w:right w:w="28" w:type="dxa"/>
        </w:tblCellMar>
      </w:tblPr>
      <w:tblGrid>
        <w:gridCol w:w="4966"/>
        <w:gridCol w:w="146"/>
        <w:gridCol w:w="146"/>
        <w:gridCol w:w="931"/>
        <w:gridCol w:w="146"/>
        <w:gridCol w:w="146"/>
        <w:gridCol w:w="146"/>
        <w:gridCol w:w="931"/>
        <w:gridCol w:w="19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preferred stock (as converted 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3,647,674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1,002,535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and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SAFEs (as converted 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1,519,331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1,652,453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6,188,508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aps/>
          <w:color w:val="000000"/>
          <w:sz w:val="20"/>
        </w:rPr>
      </w:pPr>
      <w:r>
        <w:rPr>
          <w:rFonts w:ascii="Times New Roman" w:hAnsi="Times New Roman"/>
          <w:b/>
          <w:caps/>
          <w:color w:val="000000"/>
          <w:sz w:val="20"/>
        </w:rPr>
        <w:t>10.</w:t>
      </w:r>
    </w:p>
    <w:p>
      <w:pPr>
        <w:pStyle w:val="TextBody"/>
        <w:bidi w:val="0"/>
        <w:spacing w:before="120" w:after="283"/>
        <w:jc w:val="left"/>
        <w:rPr/>
      </w:pPr>
      <w:r>
        <w:rPr>
          <w:rFonts w:ascii="Times New Roman" w:hAnsi="Times New Roman"/>
          <w:b/>
          <w:caps/>
          <w:color w:val="000000"/>
          <w:sz w:val="20"/>
        </w:rPr>
        <w:t>Leases</w:t>
      </w:r>
      <w:r>
        <w:rPr>
          <w:color w:val="00000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November 2020, Legacy Tectonic executed a facilities lease agreement to occupy 18,768 square feet of office and laboratory space, that was subsequently amended on April 21, 2022. The lease requires the Company to pay fixed base rent, which is included in the measurement of the lease, as well as its proportionate share of the facilities operating expenses which are treated as variable lease costs based on the Company’s election to combine lease and associated non-lease components and are excluded from the measurement of the lease. The lease expires on January 31, 2026, and contains a five-year renewal option exercisable by the Company which is not included in the measurement of the lease.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Legacy Tectonic has also entered into various financing leases for laboratory equipment used in research and development activities.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components of lease expense and other information are as follows (dollars in thousands): </w:t>
      </w:r>
    </w:p>
    <w:p>
      <w:pPr>
        <w:pStyle w:val="TextBody"/>
        <w:bidi w:val="0"/>
        <w:spacing w:before="120" w:after="120"/>
        <w:jc w:val="both"/>
        <w:rPr/>
      </w:pPr>
      <w:r>
        <w:rPr/>
        <w:t> </w:t>
      </w:r>
    </w:p>
    <w:tbl>
      <w:tblPr>
        <w:tblW w:w="6537" w:type="dxa"/>
        <w:jc w:val="left"/>
        <w:tblInd w:w="0" w:type="dxa"/>
        <w:tblLayout w:type="fixed"/>
        <w:tblCellMar>
          <w:top w:w="28" w:type="dxa"/>
          <w:left w:w="28" w:type="dxa"/>
          <w:bottom w:w="28" w:type="dxa"/>
          <w:right w:w="28" w:type="dxa"/>
        </w:tblCellMar>
      </w:tblPr>
      <w:tblGrid>
        <w:gridCol w:w="4006"/>
        <w:gridCol w:w="146"/>
        <w:gridCol w:w="226"/>
        <w:gridCol w:w="614"/>
        <w:gridCol w:w="157"/>
        <w:gridCol w:w="157"/>
        <w:gridCol w:w="226"/>
        <w:gridCol w:w="614"/>
        <w:gridCol w:w="39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amortization of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of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3,619</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both"/>
        <w:rPr/>
      </w:pPr>
      <w:r>
        <w:rPr/>
        <w:t> </w:t>
      </w:r>
    </w:p>
    <w:tbl>
      <w:tblPr>
        <w:tblW w:w="6855" w:type="dxa"/>
        <w:jc w:val="left"/>
        <w:tblInd w:w="0" w:type="dxa"/>
        <w:tblLayout w:type="fixed"/>
        <w:tblCellMar>
          <w:top w:w="28" w:type="dxa"/>
          <w:left w:w="28" w:type="dxa"/>
          <w:bottom w:w="28" w:type="dxa"/>
          <w:right w:w="28" w:type="dxa"/>
        </w:tblCellMar>
      </w:tblPr>
      <w:tblGrid>
        <w:gridCol w:w="4201"/>
        <w:gridCol w:w="146"/>
        <w:gridCol w:w="177"/>
        <w:gridCol w:w="566"/>
        <w:gridCol w:w="329"/>
        <w:gridCol w:w="177"/>
        <w:gridCol w:w="177"/>
        <w:gridCol w:w="566"/>
        <w:gridCol w:w="516"/>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terms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Future commitments due under these lease agreements as of December 31, 2024 are as follows (in thousands):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tbl>
      <w:tblPr>
        <w:tblW w:w="5891" w:type="dxa"/>
        <w:jc w:val="left"/>
        <w:tblInd w:w="0" w:type="dxa"/>
        <w:tblLayout w:type="fixed"/>
        <w:tblCellMar>
          <w:top w:w="28" w:type="dxa"/>
          <w:left w:w="28" w:type="dxa"/>
          <w:bottom w:w="28" w:type="dxa"/>
          <w:right w:w="28" w:type="dxa"/>
        </w:tblCellMar>
      </w:tblPr>
      <w:tblGrid>
        <w:gridCol w:w="2596"/>
        <w:gridCol w:w="146"/>
        <w:gridCol w:w="230"/>
        <w:gridCol w:w="626"/>
        <w:gridCol w:w="166"/>
        <w:gridCol w:w="146"/>
        <w:gridCol w:w="225"/>
        <w:gridCol w:w="451"/>
        <w:gridCol w:w="166"/>
        <w:gridCol w:w="146"/>
        <w:gridCol w:w="211"/>
        <w:gridCol w:w="571"/>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b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w:t>
              <w:b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aps/>
          <w:color w:val="000000"/>
          <w:sz w:val="20"/>
        </w:rPr>
      </w:pPr>
      <w:r>
        <w:rPr>
          <w:rFonts w:ascii="Times New Roman" w:hAnsi="Times New Roman"/>
          <w:b/>
          <w:caps/>
          <w:color w:val="000000"/>
          <w:sz w:val="20"/>
        </w:rPr>
        <w:t>11.</w:t>
      </w:r>
    </w:p>
    <w:p>
      <w:pPr>
        <w:pStyle w:val="TextBody"/>
        <w:bidi w:val="0"/>
        <w:spacing w:before="120" w:after="283"/>
        <w:jc w:val="left"/>
        <w:rPr>
          <w:rFonts w:ascii="Times New Roman" w:hAnsi="Times New Roman"/>
          <w:b/>
          <w:caps/>
          <w:color w:val="000000"/>
          <w:sz w:val="20"/>
        </w:rPr>
      </w:pPr>
      <w:r>
        <w:rPr>
          <w:rFonts w:ascii="Times New Roman" w:hAnsi="Times New Roman"/>
          <w:b/>
          <w:caps/>
          <w:color w:val="000000"/>
          <w:sz w:val="20"/>
        </w:rPr>
        <w:t>License agreements</w:t>
      </w:r>
    </w:p>
    <w:p>
      <w:pPr>
        <w:pStyle w:val="TextBody"/>
        <w:bidi w:val="0"/>
        <w:spacing w:before="240" w:after="240"/>
        <w:jc w:val="left"/>
        <w:rPr>
          <w:rFonts w:ascii="Times New Roman" w:hAnsi="Times New Roman"/>
          <w:sz w:val="20"/>
        </w:rPr>
      </w:pPr>
      <w:r>
        <w:rPr>
          <w:rFonts w:ascii="Times New Roman" w:hAnsi="Times New Roman"/>
          <w:b/>
          <w:i/>
          <w:color w:val="000000"/>
          <w:sz w:val="20"/>
        </w:rPr>
        <w:t>Harvard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2020, Legacy Tectonic entered into an agreement with the President and Fellows of Harvard College (“Harvard”), for an option fee in the low five digits, whereby Harvard granted Legacy Tectonic an exclusive option to negotiate a worldwide, exclusive, royalty-bearing license under Harvard’s interest in the patent rights covering certain technology that was developed by Harvard. In October 2021, Legacy Tectonic exercised the option and on February 10, 2022, entered into a license agreement (“License Agreement”) with Harvard to conduct research and development activities using certain materials, technology and patent rights owned by Harvard, with the intent to develop, obtain regulatory approval for, and commercialize products. The License Agreement will remain in effect until the expiration of the last valid claim within the patent rights covering a product developed under the License Agreement or the termination of the License Agreement. As consideration for the License Agreement, the Company paid Harvard a one-time license fee of $170,000 and issued 227,486 shares of common stock with a fair market value of $0.4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responsible for payment of (1) annual maintenance fees ranging from the low five digits to the low six digits during the term of the License Agreement (through the first commercial sale of a royalty-bearing product); (2) royalty payments as a percentage in the low single digits of the annual net sales that the Company generates from products that utilize the license technology (“Licensed Products”) and royalty payments as a percentage in the low single digits of the annual net sales that the Company generates from know-how enabled product licenses (“Know-How Enabled Products”) and (3) a percentage between 10-20% of all non-royalty income received by the Company under sublicenses, strategic partnerships and know-how enabled product licenses that utilize the license technology. Subsequent to the first commercial sale of a royalty-bearing product, annual maintenance fees will increase to a low six digits for the remainder of the term of the License Agreement. The royalty term from sales of Licensed Products will terminate on a country-by-country and product-by-product basis on the earlier of (i) the expiration of the patent rights covering the product, expected to be no earlier than May 2041, and (ii) the termination of the License Agreement. The royalty term from sales of Know-How Enabled Products will terminate on the earlier of (i) ten years after the first commercial sale of the first Know-How Enabled Product and (ii) twelve years after the first commercial sale of the first Licensed Product. The Company incurred expense of $0.4 million and $0.2 million related to the License Agreement during the years ended December 31, 2024 and 2023, respectively. No amounts were due to Harvard related to the License Agreement as of December 31, 2024 and 2023, respectively.</w:t>
      </w:r>
    </w:p>
    <w:p>
      <w:pPr>
        <w:pStyle w:val="TextBody"/>
        <w:bidi w:val="0"/>
        <w:spacing w:before="120" w:after="283"/>
        <w:jc w:val="left"/>
        <w:rPr/>
      </w:pPr>
      <w:r>
        <w:rPr/>
        <w:t> </w:t>
      </w:r>
    </w:p>
    <w:p>
      <w:pPr>
        <w:pStyle w:val="TextBody"/>
        <w:bidi w:val="0"/>
        <w:spacing w:before="120" w:after="283"/>
        <w:jc w:val="left"/>
        <w:rPr>
          <w:rFonts w:ascii="Times New Roman" w:hAnsi="Times New Roman"/>
          <w:b/>
          <w:caps/>
          <w:color w:val="000000"/>
          <w:sz w:val="20"/>
        </w:rPr>
      </w:pPr>
      <w:r>
        <w:rPr>
          <w:rFonts w:ascii="Times New Roman" w:hAnsi="Times New Roman"/>
          <w:b/>
          <w:caps/>
          <w:color w:val="000000"/>
          <w:sz w:val="20"/>
        </w:rPr>
        <w:t>12.</w:t>
      </w:r>
    </w:p>
    <w:p>
      <w:pPr>
        <w:pStyle w:val="TextBody"/>
        <w:bidi w:val="0"/>
        <w:spacing w:before="120" w:after="283"/>
        <w:jc w:val="left"/>
        <w:rPr/>
      </w:pPr>
      <w:r>
        <w:rPr>
          <w:rFonts w:ascii="Times New Roman" w:hAnsi="Times New Roman"/>
          <w:b/>
          <w:caps/>
          <w:color w:val="000000"/>
          <w:sz w:val="20"/>
        </w:rPr>
        <w:t>COMMITMENTS AND CONTINGENCIES</w:t>
      </w:r>
      <w:r>
        <w:rPr>
          <w:color w:val="000000"/>
        </w:rPr>
        <w:t xml:space="preserve"> </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Commitments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enters into contractual agreements with various suppliers in the normal course of its business. All contracts are terminable, with varying provisions regarding termination. If a contract with a specific vendor were to be terminated, the Company would only be obligated for the products or services that the Company had received through the time of termination. </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The Company is also party to commitments, which are described elsewhere in these consolidated financial statements: Lease commitments, as described in Note 10, </w:t>
      </w:r>
      <w:r>
        <w:rPr>
          <w:rFonts w:ascii="Times New Roman" w:hAnsi="Times New Roman"/>
          <w:i/>
          <w:color w:val="000000"/>
          <w:sz w:val="20"/>
        </w:rPr>
        <w:t xml:space="preserve">Leases, </w:t>
      </w:r>
      <w:r>
        <w:rPr>
          <w:rFonts w:ascii="Times New Roman" w:hAnsi="Times New Roman"/>
          <w:color w:val="000000"/>
          <w:sz w:val="20"/>
        </w:rPr>
        <w:t xml:space="preserve">and royalty and maintenance based commitments, as described in Note 11, </w:t>
      </w:r>
      <w:r>
        <w:rPr>
          <w:rFonts w:ascii="Times New Roman" w:hAnsi="Times New Roman"/>
          <w:i/>
          <w:color w:val="000000"/>
          <w:sz w:val="20"/>
        </w:rPr>
        <w:t>License Agreements.</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Contingencies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connection with the Merger, the Company and its designated rights agent entered into a contingent value rights agreement (the “CVR Agreement”). Pursuant to the CVR Agreement, each holder of AVROBIO common stock immediately prior to the closing received a contractual contingent value right (“CVR”) subject to and in accordance with the terms and conditions of the CVR Agreement, representing the contractual right to receive a pro rata portion of any net proceeds, if any, resulting from a disposition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of certain AVROBIO intellectual property (including a license of AVROBIO’s pre-closing assets as defined in the CVR Agreement) after the closing and prior to the 18-month anniversary of the closing, received within a 10-year period following the closing; provided that no contingent payment will be payable to any holder of the CVRs until such time as the then-outstanding and undistributed proceeds exceeds $0.4 million in the aggregate. The Company believes that any receipt of payments resulting from the disposition of AVROBIO’s pre-closing assets described in the CVR Agreement are highly susceptible to factors outside the Company’s influence that are not expected to be resolved within the timeline outlined in the CVR Agreement, if at all. In particular, these amounts are primarily influenced by the actions and judgments of third parties and the buyers of such assets and are based on the buyers of such assets progressing the specific platform and intellectual property and early stage of research and development programs. If the Company were to record a receivable for such contingent payments, it would also record a corresponding liability. As of December 31, 2024, no receivables or liabilities were recorded on the Consolidated Balance Sheet relating to such contingent payments.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 There are no matters pending that the Company currently believes are reasonably possible or probable of having a material impact to the Company's financial position, results of operations, or statements of cash flows.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the normal course of operations, the Company may become involved in various legal proceedings. As of December 31, 2024 and 2023, the Company has not recorded accruals for probable losses related to any existing or pending litigation as the Company’s management has determined that there are no matters where a potential loss is probable and reasonably estimable. The Company does not believe that any existing or pending claims would have a material impact on the Company’s consolidated financial statements. </w:t>
      </w:r>
    </w:p>
    <w:p>
      <w:pPr>
        <w:pStyle w:val="TextBody"/>
        <w:bidi w:val="0"/>
        <w:spacing w:before="120" w:after="283"/>
        <w:jc w:val="left"/>
        <w:rPr>
          <w:rFonts w:ascii="Times New Roman" w:hAnsi="Times New Roman"/>
          <w:b/>
          <w:caps/>
          <w:color w:val="000000"/>
          <w:sz w:val="20"/>
        </w:rPr>
      </w:pPr>
      <w:r>
        <w:rPr>
          <w:rFonts w:ascii="Times New Roman" w:hAnsi="Times New Roman"/>
          <w:b/>
          <w:caps/>
          <w:color w:val="000000"/>
          <w:sz w:val="20"/>
        </w:rPr>
        <w:t>13.</w:t>
      </w:r>
    </w:p>
    <w:p>
      <w:pPr>
        <w:pStyle w:val="TextBody"/>
        <w:bidi w:val="0"/>
        <w:spacing w:before="120" w:after="283"/>
        <w:jc w:val="left"/>
        <w:rPr/>
      </w:pPr>
      <w:r>
        <w:rPr>
          <w:rFonts w:ascii="Times New Roman" w:hAnsi="Times New Roman"/>
          <w:b/>
          <w:caps/>
          <w:color w:val="000000"/>
          <w:sz w:val="20"/>
        </w:rPr>
        <w:t>INCOME TAXES</w:t>
      </w:r>
      <w:r>
        <w:rPr>
          <w:color w:val="00000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did not record a federal or state income tax provision or benefit for the years ended December 31, 2024 and 2023, as it has been incurring net losses since inception. In addition, the net deferred tax assets generated from net operating losses are fully offset by a valuation allowance as the Company believes it is not more likely than not that the benefit will be realized.</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Income tax expense consists of the following (in thousands):</w:t>
      </w:r>
    </w:p>
    <w:p>
      <w:pPr>
        <w:pStyle w:val="TextBody"/>
        <w:bidi w:val="0"/>
        <w:spacing w:before="120" w:after="283"/>
        <w:jc w:val="left"/>
        <w:rPr/>
      </w:pPr>
      <w:r>
        <w:rPr/>
        <w:t> </w:t>
      </w:r>
    </w:p>
    <w:tbl>
      <w:tblPr>
        <w:tblW w:w="5579" w:type="dxa"/>
        <w:jc w:val="left"/>
        <w:tblInd w:w="0" w:type="dxa"/>
        <w:tblLayout w:type="fixed"/>
        <w:tblCellMar>
          <w:top w:w="28" w:type="dxa"/>
          <w:left w:w="28" w:type="dxa"/>
          <w:bottom w:w="28" w:type="dxa"/>
          <w:right w:w="28" w:type="dxa"/>
        </w:tblCellMar>
      </w:tblPr>
      <w:tblGrid>
        <w:gridCol w:w="3016"/>
        <w:gridCol w:w="146"/>
        <w:gridCol w:w="211"/>
        <w:gridCol w:w="736"/>
        <w:gridCol w:w="166"/>
        <w:gridCol w:w="146"/>
        <w:gridCol w:w="211"/>
        <w:gridCol w:w="736"/>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current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Deferred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had an effective tax rate of 0% for the years ended December 31, 2024 and 2023. The provision for income taxes differs from the amount expected by applying the federal statutory rate to the loss before taxes as follows:</w:t>
      </w:r>
    </w:p>
    <w:p>
      <w:pPr>
        <w:pStyle w:val="TextBody"/>
        <w:bidi w:val="0"/>
        <w:spacing w:before="120" w:after="12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tbl>
      <w:tblPr>
        <w:tblW w:w="6497" w:type="dxa"/>
        <w:jc w:val="left"/>
        <w:tblInd w:w="0" w:type="dxa"/>
        <w:tblLayout w:type="fixed"/>
        <w:tblCellMar>
          <w:top w:w="28" w:type="dxa"/>
          <w:left w:w="28" w:type="dxa"/>
          <w:bottom w:w="28" w:type="dxa"/>
          <w:right w:w="28" w:type="dxa"/>
        </w:tblCellMar>
      </w:tblPr>
      <w:tblGrid>
        <w:gridCol w:w="3881"/>
        <w:gridCol w:w="146"/>
        <w:gridCol w:w="160"/>
        <w:gridCol w:w="576"/>
        <w:gridCol w:w="362"/>
        <w:gridCol w:w="160"/>
        <w:gridCol w:w="160"/>
        <w:gridCol w:w="576"/>
        <w:gridCol w:w="476"/>
      </w:tblGrid>
      <w:tr>
        <w:trPr/>
        <w:tc>
          <w:tcPr>
            <w:tcW w:w="3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881" w:type="dxa"/>
            <w:tcBorders/>
            <w:shd w:fill="CCEE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Federal statutory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State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81" w:type="dxa"/>
            <w:tcBorders/>
            <w:shd w:fill="CCEE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 rate differential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Permanent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81" w:type="dxa"/>
            <w:tcBorders/>
            <w:shd w:fill="CCEE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Preferred stock liability fair value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81" w:type="dxa"/>
            <w:tcBorders/>
            <w:shd w:fill="CCEE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81" w:type="dxa"/>
            <w:tcBorders/>
            <w:shd w:fill="CCEE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components of the Company’s net deferred tax assets and liabilities as of December 31, 2024 and 2023, were as follows (in thousands):</w:t>
      </w:r>
    </w:p>
    <w:tbl>
      <w:tblPr>
        <w:tblW w:w="6914" w:type="dxa"/>
        <w:jc w:val="left"/>
        <w:tblInd w:w="0" w:type="dxa"/>
        <w:tblLayout w:type="fixed"/>
        <w:tblCellMar>
          <w:top w:w="28" w:type="dxa"/>
          <w:left w:w="28" w:type="dxa"/>
          <w:bottom w:w="28" w:type="dxa"/>
          <w:right w:w="28" w:type="dxa"/>
        </w:tblCellMar>
      </w:tblPr>
      <w:tblGrid>
        <w:gridCol w:w="4246"/>
        <w:gridCol w:w="146"/>
        <w:gridCol w:w="211"/>
        <w:gridCol w:w="841"/>
        <w:gridCol w:w="166"/>
        <w:gridCol w:w="146"/>
        <w:gridCol w:w="211"/>
        <w:gridCol w:w="736"/>
        <w:gridCol w:w="21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operating loss carryforward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Research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Capitalized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Accruals &amp;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32,167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Right of 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deferred tax assets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Deferred Tax Assets and Valuation Allowance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Future realization of the tax benefits of existing temporary differences and net operating loss carryforwards ultimately depends on the existence of sufficient taxable income within the carryforward period. As of December 31, 2024 and 2023, the Company performed an evaluation to determine whether a valuation allowance was needed. The Company considered all available evidence, both positive and negative, which included the results of operations for the current and preceding years. The Company determined that it was not possible to reasonably quantify future taxable income and determined that it is more likely than not that all of the deferred tax assets will not be realized. Accordingly, the Company maintained a full valuation allowance as of December 31, 2024 and 2023. The Company’s valuation allowance increased during the year by $140.0 million for the year ended December 31, 2024 due primarily to the generation of net operating losses.</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NOL Carryforwards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Net operating loss carryforwards are subject to review and possible adjustment by the Internal Revenue Service and may become subject to an annual limitation in the event of certain cumulative changes in the ownership interest of significant shareholders over a three-year period in excess of 50% as defined under Sections 382 and 383 in the Code, which could limit the amount of tax attributes that can be utilized annually to offset future taxable income or tax liabilities. The amount of the annual limitation is determined based on AVROBIO’s value immediately prior to the ownership change multiplied by the long-term tax exempt rate which is published monthly. Subsequent ownership changes may further affect the limitation in future years. The Company has not yet conducted a Section 382 study to assess whether the Reverse Merger resulted in an ownership change under Section 382 that could limit the ability to use the net operating loss carryforwards of AVROBIO and Tectonic. Nor has the Company completed a Section 382 study to assess whether an ownership change or changes has/have occurred related to Tectonic Therapeutic’s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pre-merger activity. However, the Reverse Merger is expected to result in an ownership change for AVROBIO. Therefore, the Company does not expect to be able to utilize a material portion, if any, of the historic net operating losses and tax credit carryforwards from AVROBIO. The impact of this would not materially impact the financial statements, given the full valuation allowance.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As of December 31, 2024, the Company has net operating loss carryforwards for federal and state tax reporting purposes of $399.3 million and $71.9 million, respectively. Net operating loss carryforwards generated after December 31, 2017 for federal tax reporting purposes of $399.3 million have an indefinite life. Net operating loss carryforwards for state purposes of $71.9 million, which begin to expire in 2040. As of December 31, 2024, the Company also has federal and state research and development tax credits of $10.5 million and $4.4 million, which being to expire in 2040 and 2035, respectively.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Tax Cuts and Jobs Act (TCJA) resulted in significant changes to the treatment of research and development expenditures under Section 174. For tax years beginning after December 31, 2021, taxpayers are required to capitalize and amortize all research and development expenditures that are paid or incurred in connection with their trade or business. Specifically, costs for U.S.-based R&amp;D activities must be amortized over five years and costs for foreign research and development activities must be amortized over 15 years—both using a midyear convention. During the year ended December 31, 2024, the Company capitalized $40.3 million of research and development expenses.</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Uncertain Tax Position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evaluates its uncertain tax positions under ASC 740 which requires that realization of an uncertain income tax position be recognized. The benefit to be recorded is the amount most likely to be realized assuming a review by tax authorities having all relevant information and applying current conventions. The Company concluded that there are no uncertain tax positions in any of the periods presented.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files tax returns as prescribed by the tax laws of the jurisdictions in which it operates. In the normal course of business, the Company is subject to examination by federal and state jurisdictions, where applicable. The earliest tax years that remain subject to examination by jurisdiction is 2020 for both federal and state. However, to the extent the Company utilizes net operating losses from years prior to 2020, the statute remains open to the extent of the net operating losses or other credits are utilized.</w:t>
      </w:r>
    </w:p>
    <w:p>
      <w:pPr>
        <w:pStyle w:val="TextBody"/>
        <w:bidi w:val="0"/>
        <w:spacing w:before="120" w:after="283"/>
        <w:jc w:val="left"/>
        <w:rPr>
          <w:rFonts w:ascii="Times New Roman" w:hAnsi="Times New Roman"/>
          <w:b/>
          <w:caps/>
          <w:color w:val="000000"/>
          <w:sz w:val="20"/>
        </w:rPr>
      </w:pPr>
      <w:r>
        <w:rPr>
          <w:rFonts w:ascii="Times New Roman" w:hAnsi="Times New Roman"/>
          <w:b/>
          <w:caps/>
          <w:color w:val="000000"/>
          <w:sz w:val="20"/>
        </w:rPr>
        <w:t>14.</w:t>
      </w:r>
    </w:p>
    <w:p>
      <w:pPr>
        <w:pStyle w:val="TextBody"/>
        <w:bidi w:val="0"/>
        <w:spacing w:before="120" w:after="283"/>
        <w:jc w:val="left"/>
        <w:rPr>
          <w:rFonts w:ascii="Times New Roman" w:hAnsi="Times New Roman"/>
          <w:sz w:val="20"/>
        </w:rPr>
      </w:pPr>
      <w:r>
        <w:rPr>
          <w:rFonts w:ascii="Times New Roman" w:hAnsi="Times New Roman"/>
          <w:b/>
          <w:caps/>
          <w:color w:val="000000"/>
          <w:sz w:val="20"/>
        </w:rPr>
        <w:t>RELATED PARTY TRANSACTIONS</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b/>
          <w:i/>
          <w:color w:val="000000"/>
          <w:sz w:val="20"/>
        </w:rPr>
        <w:t>Scientific Advisory Board Member</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One of the Company’s co-founders and former director is a member of the Company’s Scientific Advisory Board (“SAB”) and meets the criteria of a related party. For each of the years ended December 31, 2024 and 2023, the Company incurred expense of $0.1 million for advisory services provided. There were no amounts due to this related party as of December 31, 2024 or 2023.</w:t>
      </w:r>
    </w:p>
    <w:p>
      <w:pPr>
        <w:pStyle w:val="TextBody"/>
        <w:bidi w:val="0"/>
        <w:spacing w:before="120" w:after="120"/>
        <w:jc w:val="both"/>
        <w:rPr>
          <w:rFonts w:ascii="Times New Roman" w:hAnsi="Times New Roman"/>
          <w:sz w:val="20"/>
        </w:rPr>
      </w:pPr>
      <w:r>
        <w:rPr>
          <w:rFonts w:ascii="Times New Roman" w:hAnsi="Times New Roman"/>
          <w:b/>
          <w:i/>
          <w:color w:val="000000"/>
          <w:sz w:val="20"/>
        </w:rPr>
        <w:t>License Agreement</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Harvard meets the criteria of a related party resulting from the Company’s co-founders’ employment as professors in the Harvard Department of Molecular Pharmacology. Core intellectual property utilized by the Company is licensed from Harvard under the License Agreement described in Note 11, </w:t>
      </w:r>
      <w:r>
        <w:rPr>
          <w:rFonts w:ascii="Times New Roman" w:hAnsi="Times New Roman"/>
          <w:i/>
          <w:color w:val="000000"/>
          <w:sz w:val="20"/>
        </w:rPr>
        <w:t>License Agreements</w:t>
      </w:r>
      <w:r>
        <w:rPr>
          <w:rFonts w:ascii="Times New Roman" w:hAnsi="Times New Roman"/>
          <w:color w:val="000000"/>
          <w:sz w:val="2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incurred expense of $0.4 million and $0.2 million related to the License Agreement during the years ended December 31, 2024 and 2023, respectively. No amounts were due to Harvard related to the License Agreement as of December 31, 2024 and 2023.</w:t>
      </w:r>
    </w:p>
    <w:p>
      <w:pPr>
        <w:pStyle w:val="TextBody"/>
        <w:bidi w:val="0"/>
        <w:spacing w:before="120" w:after="120"/>
        <w:jc w:val="both"/>
        <w:rPr>
          <w:rFonts w:ascii="Times New Roman" w:hAnsi="Times New Roman"/>
          <w:sz w:val="20"/>
        </w:rPr>
      </w:pPr>
      <w:r>
        <w:rPr>
          <w:rFonts w:ascii="Times New Roman" w:hAnsi="Times New Roman"/>
          <w:b/>
          <w:i/>
          <w:color w:val="000000"/>
          <w:sz w:val="20"/>
        </w:rPr>
        <w:t>Adimab Agreement</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One member of the Company’s Board of Directors also services on the board of Adimab, LLC (“Adimab”), an antibody discovery company. In May 2023, Legacy Tectonic entered into a discovery agreement with Adimab whereby Legacy Tectonic and Adimab collaborated on human antibody discovery in accordance with an agreed upon research program. The Company incurred expense of $0.2 million during each of the years ended December 31, 2024 and 2023. The Company terminated the agreement with Adimab in July 2024.</w:t>
      </w:r>
    </w:p>
    <w:p>
      <w:pPr>
        <w:pStyle w:val="TextBody"/>
        <w:bidi w:val="0"/>
        <w:spacing w:before="120" w:after="120"/>
        <w:jc w:val="both"/>
        <w:rPr>
          <w:rFonts w:ascii="Times New Roman" w:hAnsi="Times New Roman"/>
          <w:sz w:val="20"/>
        </w:rPr>
      </w:pPr>
      <w:r>
        <w:rPr>
          <w:rFonts w:ascii="Times New Roman" w:hAnsi="Times New Roman"/>
          <w:b/>
          <w:i/>
          <w:color w:val="000000"/>
          <w:sz w:val="20"/>
        </w:rPr>
        <w:t>SAFE Agreements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From October through December 2023, Legacy Tectonic entered into multiple SAFE agreements with certain existing investors and received proceeds of $34.1 million. All investors were considered related parties of the Company. The SAFE agreements had no maturity date, bore no interest, and were redeemable by Legacy Tectonic upon the occurrence of a triggering event, including the Merger which qualified as a public listing transaction under the SAFE agreements. The SAFEs were redeemed for shares of Legacy Tectonic common stock in connection with the closing of the Merger.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EMPLOYEE BENEFIT PLAN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has a 401(k) retirement plan (the “Plan”) that covers eligible U.S. employees. Eligible employees may elect to contribute up to the maximum limits, as set by the Internal Revenue Service, of their eligible compensation. The Company’s funding policy is to contribute 3% (“Nonelective Contribution”) of employees’ eligible pay to the Plan. As defined by the Plan, highly compensated employees are not eligible to receive the Nonelective Contribution. The Company contributed $0.2 million to the Plan in each of the years ended December 31, 2024 and 2023.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operate in one operating segment, and therefore one reportable segment, focused on the discovery and development of therapeutic proteins and antibodies that modulate the activity of GPCRs. The accounting policies of the segment are the same as those described in the summary of significant accounting policies.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determination of a single segment is consistent with the consolidated financial information regularly reviewed by the Chief Executive Officer as chief operating decision maker (“CODM”) in evaluating financial performance and deciding how to allocate resources on a consolidated basis. The significant expense categories outlined below align with the segment-level information that is regularly provided to the CODM. When evaluating the Company’s financial performance, the CODM reviews one measure of profitability, net loss, and makes decisions using this information.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No segment asset information is provided below as the CODM is focused on how expenses impact ending cash by period and overall cash runway. Any review of segment assets, which would focus on cash and cash equivalents, would be at the same level as the consolidated balance sheet.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presents the segment net loss and significant segment expenses for the years ended December 31, 2024, and 2023 (in thousands):</w:t>
      </w:r>
    </w:p>
    <w:p>
      <w:pPr>
        <w:pStyle w:val="TextBody"/>
        <w:bidi w:val="0"/>
        <w:jc w:val="left"/>
        <w:rPr/>
      </w:pPr>
      <w:r>
        <w:rPr/>
        <w:t> </w:t>
      </w:r>
    </w:p>
    <w:tbl>
      <w:tblPr>
        <w:tblW w:w="7509" w:type="dxa"/>
        <w:jc w:val="left"/>
        <w:tblInd w:w="0" w:type="dxa"/>
        <w:tblLayout w:type="fixed"/>
        <w:tblCellMar>
          <w:top w:w="28" w:type="dxa"/>
          <w:left w:w="28" w:type="dxa"/>
          <w:bottom w:w="28" w:type="dxa"/>
          <w:right w:w="28" w:type="dxa"/>
        </w:tblCellMar>
      </w:tblPr>
      <w:tblGrid>
        <w:gridCol w:w="4906"/>
        <w:gridCol w:w="146"/>
        <w:gridCol w:w="211"/>
        <w:gridCol w:w="676"/>
        <w:gridCol w:w="146"/>
        <w:gridCol w:w="146"/>
        <w:gridCol w:w="211"/>
        <w:gridCol w:w="676"/>
        <w:gridCol w:w="391"/>
      </w:tblGrid>
      <w:tr>
        <w:trPr/>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 employee-related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 employee-related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pre-clinical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Clinical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Chemistry, manufacturing, and control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 employee-related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42,823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both"/>
        <w:rPr>
          <w:rFonts w:ascii="Times New Roman" w:hAnsi="Times New Roman"/>
          <w:sz w:val="20"/>
        </w:rPr>
      </w:pPr>
      <w:r>
        <w:rPr>
          <w:rFonts w:ascii="Times New Roman" w:hAnsi="Times New Roman"/>
          <w:color w:val="000000"/>
          <w:sz w:val="15"/>
        </w:rPr>
        <w:t>1</w:t>
      </w:r>
      <w:r>
        <w:rPr>
          <w:rFonts w:ascii="Times New Roman" w:hAnsi="Times New Roman"/>
          <w:color w:val="000000"/>
          <w:sz w:val="20"/>
        </w:rPr>
        <w:t xml:space="preserve"> Other segment expenses include stock-based compensation, depreciation and amortization, changes in the fair value of the SAFE liabilities, loss on the issuance of SAFEs, interest income, and interest expense.</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February 2025, the Company entered into a securities purchase agreement pursuant to which the Company issued an aggregate of 3,689,465 shares of common stock, at a price of $50.00 per share to fund investors and $54.14 per share to individual investors that are either an officer or director of the Company, in exchange for aggregate consideration of approximately $185.0 million.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35" w:name="tecx-ex4_1.htm"/>
      <w:bookmarkStart w:id="36" w:name="kstecxex4_1"/>
      <w:bookmarkEnd w:id="35"/>
      <w:bookmarkEnd w:id="36"/>
      <w:r>
        <w:rPr>
          <w:rFonts w:ascii="Times New Roman" w:hAnsi="Times New Roman"/>
          <w:b/>
          <w:color w:val="000000"/>
          <w:sz w:val="22"/>
        </w:rPr>
        <w:t>Exhibit 4.1</w:t>
      </w:r>
      <w:r>
        <w:br w:type="page"/>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DESCRIPTION OF CAPITAL STOCK</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The following description of our capital stock and provisions of our charter and bylaws are summaries and are qualified by reference to such charter and bylaws and applicable provisions of Delaware corporate law. You should read our certificate of incorporation and our bylaws, in each case, as amended and supplemented, each of which is filed as an exhibit to our Annual Report on Form 10-K, and are incorporated by reference herein. We encourage you to read our certificate of incorporation, our bylaws and the applicable provisions of the Delaware General Corporation Law for a complete description of the rights and preferences of our securities.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Authorized Capital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authorized capital stock consists of 150,000,000 shares of common stock, par value $0.0001 per share, and 10,000,000 shares of preferred stock, par value $0.0001 per share.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Common Stock</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Dividends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Holders of our common stock are entitled to receive dividends ratably, if any, as may be declared by our Board out of legally available funds, subject to any preferential dividend rights of any our preferred stock then outstanding</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Voting</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Holders of our common stock are entitled to one vote for each share of our common stock held of record for the election of directors of the Company and on all matters submitted to a vote of the stockholders. The holders </w:t>
      </w:r>
      <w:r>
        <w:rPr>
          <w:rFonts w:ascii="Times New Roman" w:hAnsi="Times New Roman"/>
          <w:color w:val="231F20"/>
          <w:sz w:val="20"/>
        </w:rPr>
        <w:t>of our common stock do not have any cumulative voting rights.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Distributions on Liquidation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the event of the Company’s dissolution, liquidation or winding up, holders of our common stock are entitled to share ratably in all assets remaining after payment of all debts and other liabilities and any liquidation preference of any outstanding preferred stock. All outstanding shares are fully paid and non-assessable.</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Other Rights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Holders of our common stock are not entitled to preemptive, subscription, redemption or conversion rights, and no sinking fund provisions are applicable to our common stock.</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Our charter provides for 10,000,000 authorized shares of preferred stock. The existence of authorized but unissued shares of preferred stock may enable the Board to discourage an attempt to obtain control of the Company by means of a merger, tender offer, proxy contest or otherwise. For example, if in the due exercise of its fiduciary obligations, the Board were to determine that a takeover proposal is not in the best interests of the Company stockholders, the Board could cause shares of preferred stock to be issued without stockholder approval in one or more private offerings or other transactions that might dilute the voting or other rights of the proposed acquirer or insurgent stockholder or stockholder group. In this regard, our charter grants the Board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w:t>
      </w:r>
      <w:r>
        <w:rPr>
          <w:rFonts w:ascii="Times New Roman" w:hAnsi="Times New Roman"/>
          <w:color w:val="231F20"/>
          <w:sz w:val="20"/>
        </w:rPr>
        <w:t>voting rights, of these holders and may have the effect of delaying, deterring or preventing a change in control of the Company.</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Anti-Takeover Effects of Delaware Law and Provisions of the Company’s Charter and Bylaws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Certain provisions of the DGCL and of the Company’s charter and bylaws could have the effect of delaying, deferring or discouraging another party from acquiring control of the Company.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the Company to first negotiate with the Board. These provisions might also have the effect of preventing changes in our management. It is possible that these provisions could make it more difficult to accomplish transactions that stockholders might otherwise deem to be in their best interests. However, the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Company holds that the advantages gained by protecting its </w:t>
      </w:r>
      <w:r>
        <w:rPr>
          <w:rFonts w:ascii="Times New Roman" w:hAnsi="Times New Roman"/>
          <w:color w:val="231F20"/>
          <w:sz w:val="20"/>
        </w:rPr>
        <w:t>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Choice of Forum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bylaws provide that, unless we consent in writing to the selection of an alternative forum, the Court of Chancery of the State of Delaware shall be the sole and exclusive forum for any state law claims for (i) any derivative action or proceeding brought on behalf of the Company, (ii) any action asserting a claim of breach of or based on a fiduciary duty owed by any current or former director, officer or other employee of the Company to the Company or the Company’s stockholders, (iii) any action asserting a claim against the Company or any current or former director, officer, or other employee or stockholder of the Company arising pursuant to any provision of the DGCL or the Company’s charter or bylaws, or (iv) any action asserting a claim against the Company governed by the internal affairs doctrine. In addition, our bylaws provide that, unless we consent in writing to the selection of an alternative forum, the United States District Court for the District of Massachusetts shall be the sole and exclusive forum for resolving any complaint asserting a cause or causes of action arising under the Securities Act, including all causes of action asserted against any defendants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Any person or entity purchasing or otherwise acquiring any interest in our securities shall be deemed to have notice of and consented to these forum provisions. These forum provisions may impose additional costs on stockholders, may limit our stockholders’ ability to bring a claim in a forum they find favorable, and the designated courts may reach different judgments or results than other courts.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Delaware Anti-Takeover Statute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subject to the provisions of Section 203 of the DGCL. In general, Section 203 prohibits a publicly held Delaware corporation from engaging in a “business combination” with an “interested stockholder” for a three-year period following the date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before the stockholder became interested, the board of directors approved either the business combination or the transaction which resulted in the stockholder becoming an interested stockholder;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Section 203 defines a business combination to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merger or consolidation involving the corporation or any direct or indirect majority-owned subsidiary of the corporation and the interested stockholder;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sale, transfer, lease, pledge or other disposition (in one or more transactions) involving the interested stockholder of 10% or more of either the aggregate market value of all (i) the assets of the corporation or (ii) the outstanding capital stock of the corporation, involving the interested stockholder;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 to exceptions, any transaction that results in the issuance or transfer by the corporation or by any direct or indirect majority-owned subsidiary of the corporation of any stock of the corporation or any subsidiary to the interested stockholder;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 to exceptions, any transaction involving the corporation or any direct or indirect majority- owned subsidiary of the corporation that has the effect of increasing the proportionate share of the stock of any class or series of the corporation or of any subsidiary beneficially owned by the interested stockholder;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receipt by the interested stockholder of the benefit of any loans, advances, guarantees, pledges or other financial benefits provided by or through the corporation or any direct or indirect majority-owned subsidiary.</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general, Section 203 defines an “interested stockholder” as any entity or person beneficially owning 15% or more of the outstanding voting stock of the corporation and any entity or person that is an affiliate or associate of the corporation and who beneficially owned 15% or more of the outstanding voting stock of the corporation at any time within the three year period immediately prior to the date of determining whether such entity or person is an interested stockholder, and any affiliate or associate of that entity or person.</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Board Composition and Filling Vacancies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Our charter provides for the division of the Board into three classes serving staggered three-year terms, with one class being elected each year. Our charter also provides that directors may be removed only for cause and then only by the affirmative vote of the holders of two-thirds or more of the shares then entitled to vote at an election of directors. Furthermore, any vacancy on the Board, however occurring, including a vacancy resulting from an increase in the size of the Board, may only be filled by the affirmative vote of a majority of directors </w:t>
      </w:r>
      <w:r>
        <w:rPr>
          <w:rFonts w:ascii="Times New Roman" w:hAnsi="Times New Roman"/>
          <w:color w:val="231F20"/>
          <w:sz w:val="20"/>
        </w:rPr>
        <w:t>then in office even if less than a quorum. The classification of directors, together with the limitations on removal of directors and treatment of vacancies, has the effect of making it more difficult for stockholders to change the composition of the Board.</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No Written Consent of Stockholders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charter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the Company’s bylaws or removal of directors by stockholders without holding a meeting of stockholders.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Meetings of Stockholder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charter and bylaws provide that only a majority of the members of the Board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Advance Notice Requirements</w:t>
      </w:r>
    </w:p>
    <w:p>
      <w:pPr>
        <w:pStyle w:val="TextBody"/>
        <w:bidi w:val="0"/>
        <w:jc w:val="left"/>
        <w:rPr>
          <w:rFonts w:ascii="Times New Roman" w:hAnsi="Times New Roman"/>
          <w:color w:val="000000"/>
          <w:sz w:val="20"/>
        </w:rPr>
      </w:pPr>
      <w:r>
        <w:rPr>
          <w:rFonts w:ascii="Times New Roman" w:hAnsi="Times New Roman"/>
          <w:color w:val="000000"/>
          <w:sz w:val="20"/>
        </w:rPr>
        <w:t>Our bylaws establish advance notice procedures with regard to stockholder proposals relating to the nomination of candidates for election as directors or new business to be brought before meetings of Company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Listing on The Nasdaq Global Select Market</w:t>
      </w:r>
    </w:p>
    <w:p>
      <w:pPr>
        <w:pStyle w:val="TextBody"/>
        <w:bidi w:val="0"/>
        <w:jc w:val="left"/>
        <w:rPr>
          <w:rFonts w:ascii="Times New Roman" w:hAnsi="Times New Roman"/>
          <w:color w:val="000000"/>
          <w:sz w:val="20"/>
        </w:rPr>
      </w:pPr>
      <w:r>
        <w:rPr>
          <w:rFonts w:ascii="Times New Roman" w:hAnsi="Times New Roman"/>
          <w:color w:val="000000"/>
          <w:sz w:val="20"/>
        </w:rPr>
        <w:t>Our common stock is listed on The Nasdaq Global Market under the symbol “TECX.”</w:t>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Transfer Agent and Registrar</w:t>
      </w:r>
    </w:p>
    <w:p>
      <w:pPr>
        <w:pStyle w:val="TextBody"/>
        <w:bidi w:val="0"/>
        <w:jc w:val="left"/>
        <w:rPr>
          <w:rFonts w:ascii="Times New Roman" w:hAnsi="Times New Roman"/>
          <w:color w:val="000000"/>
          <w:sz w:val="20"/>
        </w:rPr>
      </w:pPr>
      <w:r>
        <w:rPr>
          <w:rFonts w:ascii="Times New Roman" w:hAnsi="Times New Roman"/>
          <w:color w:val="000000"/>
          <w:sz w:val="20"/>
        </w:rPr>
        <w:t>The transfer agent and registrar for our common stock is Computershare Trust Company, N.A. The transfer agent and registrar’s address is 150 Royall Street, Canton, MA 02021, and its telephone number is (800) 962-4284.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7" w:name="tecx-ex10_17.htm"/>
      <w:bookmarkStart w:id="38" w:name="kstecxex10_17"/>
      <w:bookmarkEnd w:id="37"/>
      <w:bookmarkEnd w:id="38"/>
      <w:r>
        <w:rPr>
          <w:rFonts w:ascii="Times New Roman" w:hAnsi="Times New Roman"/>
          <w:b/>
          <w:color w:val="000000"/>
          <w:sz w:val="20"/>
        </w:rPr>
        <w:t>Exhibit 10.17</w:t>
      </w:r>
      <w:r>
        <w:br w:type="page"/>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Date: May 28, 2024 </w:t>
      </w:r>
    </w:p>
    <w:p>
      <w:pPr>
        <w:pStyle w:val="TextBody"/>
        <w:bidi w:val="0"/>
        <w:jc w:val="left"/>
        <w:rPr>
          <w:rFonts w:ascii="Times New Roman" w:hAnsi="Times New Roman"/>
          <w:color w:val="000000"/>
          <w:sz w:val="20"/>
        </w:rPr>
      </w:pPr>
      <w:r>
        <w:rPr>
          <w:rFonts w:ascii="Times New Roman" w:hAnsi="Times New Roman"/>
          <w:color w:val="000000"/>
          <w:sz w:val="20"/>
        </w:rPr>
        <w:t xml:space="preserve">Name: Daniel (Dan) Lochner </w:t>
      </w:r>
    </w:p>
    <w:p>
      <w:pPr>
        <w:pStyle w:val="TextBody"/>
        <w:bidi w:val="0"/>
        <w:jc w:val="left"/>
        <w:rPr>
          <w:rFonts w:ascii="Times New Roman" w:hAnsi="Times New Roman"/>
          <w:color w:val="000000"/>
          <w:sz w:val="20"/>
        </w:rPr>
      </w:pPr>
      <w:r>
        <w:rPr>
          <w:rFonts w:ascii="Times New Roman" w:hAnsi="Times New Roman"/>
          <w:color w:val="000000"/>
          <w:sz w:val="20"/>
        </w:rPr>
        <w:t>Via Electronic Delivery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Dear Dan,</w:t>
      </w:r>
    </w:p>
    <w:p>
      <w:pPr>
        <w:pStyle w:val="TextBody"/>
        <w:bidi w:val="0"/>
        <w:spacing w:before="240" w:after="283"/>
        <w:jc w:val="both"/>
        <w:rPr>
          <w:rFonts w:ascii="Times New Roman" w:hAnsi="Times New Roman"/>
          <w:sz w:val="20"/>
        </w:rPr>
      </w:pPr>
      <w:r>
        <w:rPr>
          <w:rFonts w:ascii="Times New Roman" w:hAnsi="Times New Roman"/>
          <w:color w:val="000000"/>
          <w:sz w:val="20"/>
        </w:rPr>
        <w:t>It is with great pleasure that I am inviting you to join our team at Tectonic Therapeutic, Inc. (the “</w:t>
      </w:r>
      <w:r>
        <w:rPr>
          <w:rFonts w:ascii="Times New Roman" w:hAnsi="Times New Roman"/>
          <w:color w:val="000000"/>
          <w:sz w:val="20"/>
          <w:u w:val="single"/>
        </w:rPr>
        <w:t>Company</w:t>
      </w:r>
      <w:r>
        <w:rPr>
          <w:rFonts w:ascii="Times New Roman" w:hAnsi="Times New Roman"/>
          <w:color w:val="000000"/>
          <w:sz w:val="20"/>
        </w:rPr>
        <w:t>”). Your position will be that of Chief Financial Officer (“</w:t>
      </w:r>
      <w:r>
        <w:rPr>
          <w:rFonts w:ascii="Times New Roman" w:hAnsi="Times New Roman"/>
          <w:color w:val="000000"/>
          <w:sz w:val="20"/>
          <w:u w:val="single"/>
        </w:rPr>
        <w:t>Role</w:t>
      </w:r>
      <w:r>
        <w:rPr>
          <w:rFonts w:ascii="Times New Roman" w:hAnsi="Times New Roman"/>
          <w:color w:val="000000"/>
          <w:sz w:val="20"/>
        </w:rPr>
        <w:t>”). Your employment with the Company in the Role will commence as of June 3, 2024, or on such other date as determined by you and the Company (the “</w:t>
      </w:r>
      <w:r>
        <w:rPr>
          <w:rFonts w:ascii="Times New Roman" w:hAnsi="Times New Roman"/>
          <w:color w:val="000000"/>
          <w:sz w:val="20"/>
          <w:u w:val="single"/>
        </w:rPr>
        <w:t>Effective Date</w:t>
      </w:r>
      <w:r>
        <w:rPr>
          <w:rFonts w:ascii="Times New Roman" w:hAnsi="Times New Roman"/>
          <w:color w:val="000000"/>
          <w:sz w:val="20"/>
        </w:rPr>
        <w:t>”). As an exempt salaried employee, you will be expected to work the Company’s normal business hours as well as additional hours as required by the nature of your work assignments, and you will not be eligible for overtime compensation.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both"/>
        <w:rPr/>
      </w:pPr>
      <w:r>
        <w:rPr>
          <w:rFonts w:ascii="Times New Roman" w:hAnsi="Times New Roman"/>
          <w:b/>
          <w:color w:val="000000"/>
          <w:sz w:val="20"/>
        </w:rPr>
        <w:t>Position</w:t>
      </w:r>
      <w:r>
        <w:rPr>
          <w:rFonts w:ascii="Times New Roman" w:hAnsi="Times New Roman"/>
          <w:color w:val="000000"/>
          <w:sz w:val="20"/>
        </w:rPr>
        <w:t xml:space="preserve">: While serving in the Role, you shall report to the Company’s Chief Executive Officer. You will have such duties, authorities, and responsibilities as are customarily associated with the Role.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both"/>
        <w:rPr/>
      </w:pPr>
      <w:r>
        <w:rPr>
          <w:rFonts w:ascii="Times New Roman" w:hAnsi="Times New Roman"/>
          <w:b/>
          <w:color w:val="000000"/>
          <w:sz w:val="20"/>
        </w:rPr>
        <w:t>Base Salary</w:t>
      </w:r>
      <w:r>
        <w:rPr>
          <w:rFonts w:ascii="Times New Roman" w:hAnsi="Times New Roman"/>
          <w:color w:val="000000"/>
          <w:sz w:val="20"/>
        </w:rPr>
        <w:t>: Upon and following the Effective Date, your initial base salary will be four hundred and seventy-five thousand dollars ($475,000) per year, paid bi-monthly at a rate of $19,791.66 per pay period, less payroll deductions and withholdings, and paid in accordance with the Company’s standard payroll practices. Your base salary will be subject to periodic review, at least annually, and potential adjustment for increase (but not decrease unless such decrease is a result of an across-the-board salary reduction for similarly situated executives) in the Company’s discretion. Your base salary in effect at any time is referred to herein as the “</w:t>
      </w:r>
      <w:r>
        <w:rPr>
          <w:rFonts w:ascii="Times New Roman" w:hAnsi="Times New Roman"/>
          <w:color w:val="000000"/>
          <w:sz w:val="20"/>
          <w:u w:val="single"/>
        </w:rPr>
        <w:t>Base Salary</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both"/>
        <w:rPr/>
      </w:pPr>
      <w:r>
        <w:rPr>
          <w:rFonts w:ascii="Times New Roman" w:hAnsi="Times New Roman"/>
          <w:b/>
          <w:color w:val="000000"/>
          <w:sz w:val="20"/>
        </w:rPr>
        <w:t>Annual Bonus Compensation</w:t>
      </w:r>
      <w:r>
        <w:rPr>
          <w:rFonts w:ascii="Times New Roman" w:hAnsi="Times New Roman"/>
          <w:color w:val="000000"/>
          <w:sz w:val="20"/>
        </w:rPr>
        <w:t>: You will be eligible to earn an annual discretionary bonus with a target amount equal to 40% of the Base Salary (the “</w:t>
      </w:r>
      <w:r>
        <w:rPr>
          <w:rFonts w:ascii="Times New Roman" w:hAnsi="Times New Roman"/>
          <w:color w:val="000000"/>
          <w:sz w:val="20"/>
          <w:u w:val="single"/>
        </w:rPr>
        <w:t>Target Bonus</w:t>
      </w:r>
      <w:r>
        <w:rPr>
          <w:color w:val="000000"/>
        </w:rPr>
        <w:t>”</w:t>
      </w:r>
      <w:r>
        <w:rPr>
          <w:rFonts w:ascii="Times New Roman" w:hAnsi="Times New Roman"/>
          <w:color w:val="000000"/>
          <w:sz w:val="20"/>
        </w:rPr>
        <w:t>). Your actual annual bonus (the “</w:t>
      </w:r>
      <w:r>
        <w:rPr>
          <w:rFonts w:ascii="Times New Roman" w:hAnsi="Times New Roman"/>
          <w:color w:val="000000"/>
          <w:sz w:val="20"/>
          <w:u w:val="single"/>
        </w:rPr>
        <w:t>Annual Bonus</w:t>
      </w:r>
      <w:r>
        <w:rPr>
          <w:color w:val="000000"/>
        </w:rPr>
        <w:t>”</w:t>
      </w:r>
      <w:r>
        <w:rPr>
          <w:rFonts w:ascii="Times New Roman" w:hAnsi="Times New Roman"/>
          <w:color w:val="000000"/>
          <w:sz w:val="20"/>
        </w:rPr>
        <w:t>) may be greater or less than the Target Bonus. The Annual Bonus will be based on achievement of one or more Company and/or individual performance goals established by the Company’s Board of Directors (the “</w:t>
      </w:r>
      <w:r>
        <w:rPr>
          <w:rFonts w:ascii="Times New Roman" w:hAnsi="Times New Roman"/>
          <w:color w:val="000000"/>
          <w:sz w:val="20"/>
          <w:u w:val="single"/>
        </w:rPr>
        <w:t>Board</w:t>
      </w:r>
      <w:r>
        <w:rPr>
          <w:color w:val="000000"/>
        </w:rPr>
        <w:t>”</w:t>
      </w:r>
      <w:r>
        <w:rPr>
          <w:rFonts w:ascii="Times New Roman" w:hAnsi="Times New Roman"/>
          <w:color w:val="000000"/>
          <w:sz w:val="20"/>
        </w:rPr>
        <w:t>) or the Compensation Committee thereof, in its discretion, and actual payout of the Annual Bonus will be determined by the Board in its discretion based on achievement of the applicable performance goals for the relevant year. For those hired within the plan year, your Annual Bonus payment will be pro-rated based on your hire date. The Company will pay you the Annual Bonus, if any, less applicable deductions and withholdings, by no later than April 15</w:t>
      </w:r>
      <w:r>
        <w:rPr>
          <w:rFonts w:ascii="Times New Roman" w:hAnsi="Times New Roman"/>
          <w:color w:val="000000"/>
          <w:sz w:val="13"/>
        </w:rPr>
        <w:t>th</w:t>
      </w:r>
      <w:r>
        <w:rPr>
          <w:color w:val="000000"/>
        </w:rPr>
        <w:t xml:space="preserve"> </w:t>
      </w:r>
      <w:r>
        <w:rPr>
          <w:rFonts w:ascii="Times New Roman" w:hAnsi="Times New Roman"/>
          <w:color w:val="000000"/>
          <w:sz w:val="20"/>
        </w:rPr>
        <w:t xml:space="preserve">of the following calendar year. The Annual Bonus is not earned until paid and no pro-rated amount will be paid if your employment terminates for any reason prior to the payment date.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both"/>
        <w:rPr/>
      </w:pPr>
      <w:r>
        <w:rPr>
          <w:rFonts w:ascii="Times New Roman" w:hAnsi="Times New Roman"/>
          <w:b/>
          <w:color w:val="000000"/>
          <w:sz w:val="20"/>
        </w:rPr>
        <w:t>Equity Grant</w:t>
      </w:r>
      <w:r>
        <w:rPr>
          <w:rFonts w:ascii="Times New Roman" w:hAnsi="Times New Roman"/>
          <w:color w:val="000000"/>
          <w:sz w:val="20"/>
        </w:rPr>
        <w:t>: Subject to approval by the combined Company’s Board, as soon as practicable following the Effective Date (and no event earlier than the closing of the merger), the Company will grant you stock options to purchase a number of shares of common stock equal to 0.80% of the combined Company’s post-merger outstanding shares of common stock, at a price equal to the fair market value of such shares as determined by the Board on the date of grant (the “</w:t>
      </w:r>
      <w:r>
        <w:rPr>
          <w:rFonts w:ascii="Times New Roman" w:hAnsi="Times New Roman"/>
          <w:color w:val="000000"/>
          <w:sz w:val="20"/>
          <w:u w:val="single"/>
        </w:rPr>
        <w:t>Option Award</w:t>
      </w:r>
      <w:r>
        <w:rPr>
          <w:color w:val="000000"/>
        </w:rPr>
        <w: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0"/>
        </w:rPr>
        <w:t>Such Option Award will be governed by the terms and conditions of the Company’s forthcoming 2024 Equity Incentive Plan (the “</w:t>
      </w:r>
      <w:r>
        <w:rPr>
          <w:rFonts w:ascii="Times New Roman" w:hAnsi="Times New Roman"/>
          <w:color w:val="000000"/>
          <w:sz w:val="20"/>
          <w:u w:val="single"/>
        </w:rPr>
        <w:t>Plan</w:t>
      </w:r>
      <w:r>
        <w:rPr>
          <w:rFonts w:ascii="Times New Roman" w:hAnsi="Times New Roman"/>
          <w:color w:val="000000"/>
          <w:sz w:val="20"/>
        </w:rPr>
        <w:t>”) and the applicable grant agreement, and will include the following vesting schedule: 25% of the total number of shares subject to the Option Award will vest on the first anniversary of your vesting commencement date and an additional 1/48th of the total number of shares underlying the Option Award will vest on the last day of each month thereafter, in each instance subject to your Continuous Service (as defined in the Plan).</w:t>
      </w:r>
    </w:p>
    <w:p>
      <w:pPr>
        <w:pStyle w:val="TextBody"/>
        <w:bidi w:val="0"/>
        <w:jc w:val="both"/>
        <w:rPr>
          <w:rFonts w:ascii="Times New Roman" w:hAnsi="Times New Roman"/>
          <w:sz w:val="20"/>
        </w:rPr>
      </w:pPr>
      <w:r>
        <w:rPr>
          <w:rFonts w:ascii="Times New Roman" w:hAnsi="Times New Roman"/>
          <w:color w:val="000000"/>
          <w:sz w:val="20"/>
        </w:rPr>
        <w:t>In addition, subject to approval by the combined Company’s Board, as soon as practicable following the Effective Date (and no event earlier than the closing of the merger), the Company will also grant you a performance-based equity award (the “</w:t>
      </w:r>
      <w:r>
        <w:rPr>
          <w:rFonts w:ascii="Times New Roman" w:hAnsi="Times New Roman"/>
          <w:color w:val="000000"/>
          <w:sz w:val="20"/>
          <w:u w:val="single"/>
        </w:rPr>
        <w:t>Performance Award</w:t>
      </w:r>
      <w:r>
        <w:rPr>
          <w:rFonts w:ascii="Times New Roman" w:hAnsi="Times New Roman"/>
          <w:color w:val="000000"/>
          <w:sz w:val="20"/>
        </w:rPr>
        <w:t>”) to purchase a number of shares of common stock equal to 0.10% of the combined Company’s post-merger outstanding shares of common stock, predicated on the following performance-based vesting schedule, in each case, subject to Continuous Service through each vesting 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50% of the 0.10% Performance Award shares (i.e., 0.05%) will vest on 6/1/2026 if the Company raises $100M by 6/1/2026 and has a minimum of a two (2) year cash runway as of 6/1/2026 (i.e. until 6/1/2028),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50% of the remaining 0.10% Performance Award shares (i.e., 0.05%) will vest on 6/1/2028 if the Company has a minimum of a two (2) year cash runway as of 6/1/2028 (i.e. until 6/1/2030), in each case, as determined by the Board (or the Compensation Committee of the Board) in its sole discretion.</w:t>
      </w:r>
    </w:p>
    <w:p>
      <w:pPr>
        <w:pStyle w:val="TextBody"/>
        <w:bidi w:val="0"/>
        <w:spacing w:before="0" w:after="240"/>
        <w:jc w:val="both"/>
        <w:rPr>
          <w:rFonts w:ascii="Times New Roman" w:hAnsi="Times New Roman"/>
          <w:sz w:val="20"/>
        </w:rPr>
      </w:pPr>
      <w:r>
        <w:rPr>
          <w:rFonts w:ascii="Times New Roman" w:hAnsi="Times New Roman"/>
          <w:color w:val="000000"/>
          <w:sz w:val="20"/>
        </w:rPr>
        <w:t>The Performance Award will be in the form of stock options and will have an exercise price equal to the fair market value of such shares as determined by the Board on the date of grant. The Performance Award will be governed by the terms and conditions of the Company’s forthcoming 2024 Equity Incentive Plan (the “</w:t>
      </w:r>
      <w:r>
        <w:rPr>
          <w:rFonts w:ascii="Times New Roman" w:hAnsi="Times New Roman"/>
          <w:color w:val="000000"/>
          <w:sz w:val="20"/>
          <w:u w:val="single"/>
        </w:rPr>
        <w:t>Plan</w:t>
      </w:r>
      <w:r>
        <w:rPr>
          <w:rFonts w:ascii="Times New Roman" w:hAnsi="Times New Roman"/>
          <w:color w:val="000000"/>
          <w:sz w:val="20"/>
        </w:rPr>
        <w:t>”) and the applicable grant agreement.</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vesting of such Option Award and Performance Award shall accelerate under the following circumstances: in the event of 1) a Change in Control (as defined in the Plan) and (2) provided that within 12 months after such Change in Control, either (x) your Continuous Service is involuntarily terminated without Cause (as defined in the attached Agreement to Pay Severance) or (y) you resign for Good Reason (as defined in the attached Agreement to Pay Severance), 100% of the unvested shares shall be deemed fully vested as of the date of termination.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both"/>
        <w:rPr/>
      </w:pPr>
      <w:r>
        <w:rPr>
          <w:rFonts w:ascii="Times New Roman" w:hAnsi="Times New Roman"/>
          <w:b/>
          <w:color w:val="000000"/>
          <w:sz w:val="20"/>
        </w:rPr>
        <w:t>Benefits:</w:t>
      </w:r>
      <w:r>
        <w:rPr>
          <w:color w:val="000000"/>
        </w:rPr>
        <w:t xml:space="preserve"> </w:t>
      </w:r>
      <w:r>
        <w:rPr>
          <w:rFonts w:ascii="Times New Roman" w:hAnsi="Times New Roman"/>
          <w:color w:val="000000"/>
          <w:sz w:val="20"/>
        </w:rPr>
        <w:t>Commencing as of the Effective Date, you will be eligible to participate in the Company's employee benefit programs including medical and dental insurance, disability plans, and other employee benefit programs available on terms no less favorable than those made available to other senior executives of Company. The Company reserves the right to change or revise its compensation, benefits and benefit programs from time to time in its discretion without prior notice.</w:t>
      </w:r>
      <w:r>
        <w:rPr>
          <w:color w:val="000000"/>
        </w:rPr>
        <w:t xml:space="preserv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both"/>
        <w:rPr/>
      </w:pPr>
      <w:r>
        <w:rPr>
          <w:rFonts w:ascii="Times New Roman" w:hAnsi="Times New Roman"/>
          <w:b/>
          <w:color w:val="000000"/>
          <w:sz w:val="20"/>
        </w:rPr>
        <w:t>Time Off</w:t>
      </w:r>
      <w:r>
        <w:rPr>
          <w:rFonts w:ascii="Times New Roman" w:hAnsi="Times New Roman"/>
          <w:color w:val="000000"/>
          <w:sz w:val="20"/>
        </w:rPr>
        <w:t xml:space="preserve">: In addition to 11 Company paid holidays, you will receive a total of 15 days of Earned Time Off (vacation and personal) each year which is earned pro rata on a bi-monthly basis. Additionally, full-time employees are eligible for 8 days of paid sick time.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120" w:after="283"/>
        <w:jc w:val="both"/>
        <w:rPr/>
      </w:pPr>
      <w:r>
        <w:rPr>
          <w:rFonts w:ascii="Times New Roman" w:hAnsi="Times New Roman"/>
          <w:b/>
          <w:color w:val="000000"/>
          <w:sz w:val="20"/>
        </w:rPr>
        <w:t xml:space="preserve">Expense Reimbursement: </w:t>
      </w:r>
      <w:r>
        <w:rPr>
          <w:rFonts w:ascii="Times New Roman" w:hAnsi="Times New Roman"/>
          <w:color w:val="000000"/>
          <w:sz w:val="20"/>
        </w:rPr>
        <w:t xml:space="preserve">The Company will reimburse you for all reasonable and necessary expenses incurred by you in connection with performing your duties as an employee of the Company, provided that you comply with any Company policy or practice on submitting, accounting for and documenting such expenses.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120" w:after="283"/>
        <w:jc w:val="both"/>
        <w:rPr/>
      </w:pPr>
      <w:r>
        <w:rPr>
          <w:rFonts w:ascii="Times New Roman" w:hAnsi="Times New Roman"/>
          <w:b/>
          <w:color w:val="000000"/>
          <w:sz w:val="20"/>
        </w:rPr>
        <w:t>Location:</w:t>
      </w:r>
      <w:r>
        <w:rPr>
          <w:color w:val="000000"/>
        </w:rPr>
        <w:t xml:space="preserve"> </w:t>
      </w:r>
      <w:r>
        <w:rPr>
          <w:rFonts w:ascii="Times New Roman" w:hAnsi="Times New Roman"/>
          <w:color w:val="000000"/>
          <w:sz w:val="20"/>
        </w:rPr>
        <w:t xml:space="preserve">You will primarily work remotely, including from your home, as may be done without interruption to the operations of the Company; </w:t>
      </w:r>
      <w:r>
        <w:rPr>
          <w:rFonts w:ascii="Times New Roman" w:hAnsi="Times New Roman"/>
          <w:i/>
          <w:color w:val="000000"/>
          <w:sz w:val="20"/>
        </w:rPr>
        <w:t>provided, however</w:t>
      </w:r>
      <w:r>
        <w:rPr>
          <w:rFonts w:ascii="Times New Roman" w:hAnsi="Times New Roman"/>
          <w:color w:val="000000"/>
          <w:sz w:val="20"/>
        </w:rPr>
        <w:t xml:space="preserve">, that during your employment, you will be expected to be physically present in the Company’s offices on a reasonably consistent basis in order to properly perform and execute your duties. You may also be required to engage in reasonable travel for business, consistent with the Company’s business needs.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120" w:after="283"/>
        <w:jc w:val="both"/>
        <w:rPr/>
      </w:pPr>
      <w:r>
        <w:rPr>
          <w:rFonts w:ascii="Times New Roman" w:hAnsi="Times New Roman"/>
          <w:b/>
          <w:color w:val="000000"/>
          <w:sz w:val="20"/>
        </w:rPr>
        <w:t>Employment At-Will; Termination</w:t>
      </w:r>
      <w:r>
        <w:rPr>
          <w:rFonts w:ascii="Times New Roman" w:hAnsi="Times New Roman"/>
          <w:color w:val="000000"/>
          <w:sz w:val="20"/>
        </w:rPr>
        <w:t>: Your employment will be at-will, meaning that you are not being offered employment for a definite period and that either you or the Company may terminate the employment relationship at any time for any reason. Your employment at-will status can only be modified in a written agreement signed by you and by an officer of the Company.</w:t>
      </w:r>
      <w:r>
        <w:rPr>
          <w:color w:val="000000"/>
        </w:rPr>
        <w:t xml:space="preserv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9.1.</w:t>
      </w:r>
    </w:p>
    <w:p>
      <w:pPr>
        <w:pStyle w:val="TextBody"/>
        <w:bidi w:val="0"/>
        <w:spacing w:before="120" w:after="283"/>
        <w:jc w:val="both"/>
        <w:rPr/>
      </w:pPr>
      <w:r>
        <w:rPr>
          <w:rFonts w:ascii="Times New Roman" w:hAnsi="Times New Roman"/>
          <w:b/>
          <w:color w:val="000000"/>
          <w:sz w:val="20"/>
        </w:rPr>
        <w:t xml:space="preserve">Involuntary Termination for Cause; Resignation without Good Reason. </w:t>
      </w:r>
      <w:r>
        <w:rPr>
          <w:rFonts w:ascii="Times New Roman" w:hAnsi="Times New Roman"/>
          <w:color w:val="000000"/>
          <w:sz w:val="20"/>
        </w:rPr>
        <w:t>The Company may terminate your employment at any time for Cause or you may resign from your employment with the Company at any time without Good Reason, as those terms are defined in the Tectonic Therapeutic, Inc. Severance Plan (the “</w:t>
      </w:r>
      <w:r>
        <w:rPr>
          <w:rFonts w:ascii="Times New Roman" w:hAnsi="Times New Roman"/>
          <w:color w:val="000000"/>
          <w:sz w:val="20"/>
          <w:u w:val="single"/>
        </w:rPr>
        <w:t>Severance Plan</w:t>
      </w:r>
      <w:r>
        <w:rPr>
          <w:color w:val="000000"/>
        </w:rPr>
        <w:t>”</w:t>
      </w:r>
      <w:r>
        <w:rPr>
          <w:rFonts w:ascii="Times New Roman" w:hAnsi="Times New Roman"/>
          <w:color w:val="000000"/>
          <w:sz w:val="20"/>
        </w:rPr>
        <w:t>). Termination for Cause, or your resignation without Good Reason, shall be effective on the date either you or the Company gives notice to the other party of such termination in accordance with this Agreement and the Severance Plan, unless otherwise agreed to by you and the Company. In the case of the Company’s termination of your employment for Cause, or your resignation without Good Reason, you shall be entitled to receive: (i) Base Salary through the effective date of the termination or resignation, as applicable; and (ii) reimbursement of all expenses for which you are entitled to be reimbursed. In the event of such a termination, your rights to retain vested equity awards shall be governed by the applicable award agreements.</w:t>
      </w:r>
      <w:r>
        <w:rPr>
          <w:color w:val="000000"/>
        </w:rPr>
        <w:t xml:space="preserv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9.2.</w:t>
      </w:r>
    </w:p>
    <w:p>
      <w:pPr>
        <w:pStyle w:val="TextBody"/>
        <w:bidi w:val="0"/>
        <w:spacing w:before="120" w:after="283"/>
        <w:jc w:val="both"/>
        <w:rPr/>
      </w:pPr>
      <w:r>
        <w:rPr>
          <w:rFonts w:ascii="Times New Roman" w:hAnsi="Times New Roman"/>
          <w:b/>
          <w:color w:val="000000"/>
          <w:sz w:val="20"/>
        </w:rPr>
        <w:t>Involuntary Termination without Cause; Resignation for Good Reason</w:t>
      </w:r>
      <w:r>
        <w:rPr>
          <w:rFonts w:ascii="Times New Roman" w:hAnsi="Times New Roman"/>
          <w:color w:val="000000"/>
          <w:sz w:val="20"/>
        </w:rPr>
        <w:t>. Your entitlement to any and all severance benefits in the event of a termination without Cause, a resignation for Good Reason, or in the event of a Change in Control, as also defined in the Severance Plan, shall be governed by the Severance Plan in accordance with its terms, including all eligibility and release requirements.</w:t>
      </w:r>
      <w:r>
        <w:rPr>
          <w:color w:val="000000"/>
        </w:rPr>
        <w:t xml:space="preserv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120" w:after="283"/>
        <w:jc w:val="both"/>
        <w:rPr/>
      </w:pPr>
      <w:r>
        <w:rPr>
          <w:rFonts w:ascii="Times New Roman" w:hAnsi="Times New Roman"/>
          <w:b/>
          <w:color w:val="000000"/>
          <w:sz w:val="20"/>
        </w:rPr>
        <w:t xml:space="preserve">D&amp;O Insurance; Indemnification: </w:t>
      </w:r>
      <w:r>
        <w:rPr>
          <w:rFonts w:ascii="Times New Roman" w:hAnsi="Times New Roman"/>
          <w:color w:val="000000"/>
          <w:sz w:val="20"/>
        </w:rPr>
        <w:t>The Company shall cause you to be covered by directors’ and officers’ liability insurance to the same extent that such coverage is then maintained for officers or directors of the Company in active service. The Company will also indemnify you and hold you harmless to the fullest extentpermitted by applicable law, in accordance with the Bylaws and the Certificate of Incorporation of the Company and pursuant to the terms of an indemnification agreement in substantially the same form as entered into with other officers or directors of the Company.</w:t>
      </w:r>
      <w:r>
        <w:rPr>
          <w:color w:val="000000"/>
        </w:rPr>
        <w:t xml:space="preserv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120" w:after="283"/>
        <w:jc w:val="both"/>
        <w:rPr/>
      </w:pPr>
      <w:r>
        <w:rPr>
          <w:rFonts w:ascii="Times New Roman" w:hAnsi="Times New Roman"/>
          <w:b/>
          <w:color w:val="000000"/>
          <w:sz w:val="20"/>
        </w:rPr>
        <w:t>Proprietary Information, No Conflicts</w:t>
      </w:r>
      <w:r>
        <w:rPr>
          <w:rFonts w:ascii="Times New Roman" w:hAnsi="Times New Roman"/>
          <w:color w:val="000000"/>
          <w:sz w:val="20"/>
        </w:rPr>
        <w:t xml:space="preserve">: As a condition of your at-will employment, you will be required to sign an Employee Confidential Information and Invention Assignment Agreement on or before the Effective Date. In your work for the Company, you will be expected not to use or disclose any confidential information, including trade secrets, of any former employer or other person to whom you have 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agree that you will not bring onto Company premises any unpublished documents or property belonging to any former employer or other person to whom you have an obligation of confidentialityin breach of your confidentiality obligations to such former employer or other person to whom you have an obligation of confidentiality.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understand that you currently are not subject to any agreements which restrict your activities for the Company. By accepting this offer below, you represent that you are subject to no agreements which might restrict your conduct at the Company; and that you understand that if you become aware at any time during your employment with the Company that you are subject to any agreements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which might restrict your conduct at the Company, you are required to immediately inform the Company of the existence of such agreements.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120" w:after="283"/>
        <w:jc w:val="both"/>
        <w:rPr/>
      </w:pPr>
      <w:r>
        <w:rPr>
          <w:rFonts w:ascii="Times New Roman" w:hAnsi="Times New Roman"/>
          <w:b/>
          <w:color w:val="000000"/>
          <w:sz w:val="20"/>
        </w:rPr>
        <w:t>Employment Eligibility Verification</w:t>
      </w:r>
      <w:r>
        <w:rPr>
          <w:rFonts w:ascii="Times New Roman" w:hAnsi="Times New Roman"/>
          <w:color w:val="000000"/>
          <w:sz w:val="20"/>
        </w:rPr>
        <w:t>: This offer is contingent upon a reference check and satisfactory proof of your right to work in the United States. You agree to assist as needed and to complete any documentation at the Company’s request to meet these conditions. On your first day of employment, you must provide us with appropriate documents to establish your eligibility to work in the United States (e.g., Social Security Card, Drivers’ License, U.S. Passport). We will not be able to employ you if you fail to comply with this requirement.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maintains a smoke-free, drug-free workplace policy and supports equal employment opportunities for all of its employees.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letter, together with your Employee Confidential Information and Invention Assignment Agreement, forms the complete and exclusive statement of your employment agreement with the Company. It supersedes any other agreements or promises made to you by anyone, whether oral or written. Changes in your employment terms, other than those changes expressly reserved to the Company’s discretion in this letter, require a written modification signed by an officer of the Company. If any provision of this offer letter agreement is determined to be invalid or unenforceable, in whole or in part, this determination shall not affect any other provision of this offer letter agreement and the provision in question shall be modified so as to be rendered enforceable in a manner consistent with the intent of the parties insofar as possible under applicable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Please indicate your acceptance of this offer by signing and returning to me this offer letter and the attached Employee Confidential Information and Invention Assignment Agreement if you wish to accept employment at the Company under the terms herein.</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[Remainder of the page left intentionally blank.]</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Please let me know if you have any questions regarding this offer. We look forward to having you officially join the Company team.</w:t>
      </w:r>
    </w:p>
    <w:p>
      <w:pPr>
        <w:pStyle w:val="TextBody"/>
        <w:bidi w:val="0"/>
        <w:jc w:val="left"/>
        <w:rPr>
          <w:rFonts w:ascii="Times New Roman" w:hAnsi="Times New Roman"/>
          <w:color w:val="000000"/>
          <w:sz w:val="20"/>
        </w:rPr>
      </w:pPr>
      <w:r>
        <w:rPr>
          <w:rFonts w:ascii="Times New Roman" w:hAnsi="Times New Roman"/>
          <w:color w:val="000000"/>
          <w:sz w:val="20"/>
        </w:rPr>
        <w:t>Sincerely,</w:t>
      </w:r>
    </w:p>
    <w:p>
      <w:pPr>
        <w:pStyle w:val="TextBody"/>
        <w:bidi w:val="0"/>
        <w:jc w:val="left"/>
        <w:rPr>
          <w:rFonts w:ascii="Times New Roman" w:hAnsi="Times New Roman"/>
          <w:sz w:val="20"/>
        </w:rPr>
      </w:pPr>
      <w:r>
        <w:rPr>
          <w:rFonts w:ascii="Times New Roman" w:hAnsi="Times New Roman"/>
          <w:color w:val="000000"/>
          <w:sz w:val="20"/>
        </w:rPr>
        <w:t>_</w:t>
      </w:r>
      <w:r>
        <w:rPr>
          <w:rFonts w:ascii="Times New Roman" w:hAnsi="Times New Roman"/>
          <w:color w:val="000000"/>
          <w:sz w:val="20"/>
          <w:u w:val="single"/>
        </w:rPr>
        <w:t>/s/ Alise Reicin</w:t>
      </w:r>
      <w:r>
        <w:rPr>
          <w:rFonts w:ascii="Times New Roman" w:hAnsi="Times New Roman"/>
          <w:color w:val="000000"/>
          <w:sz w:val="20"/>
        </w:rPr>
        <w:t>__________</w:t>
      </w:r>
    </w:p>
    <w:p>
      <w:pPr>
        <w:pStyle w:val="TextBody"/>
        <w:bidi w:val="0"/>
        <w:jc w:val="left"/>
        <w:rPr>
          <w:rFonts w:ascii="Times New Roman" w:hAnsi="Times New Roman"/>
          <w:color w:val="000000"/>
          <w:sz w:val="20"/>
        </w:rPr>
      </w:pPr>
      <w:r>
        <w:rPr>
          <w:rFonts w:ascii="Times New Roman" w:hAnsi="Times New Roman"/>
          <w:color w:val="000000"/>
          <w:sz w:val="20"/>
        </w:rPr>
        <w:t>By: Alise Reicin</w:t>
      </w:r>
    </w:p>
    <w:p>
      <w:pPr>
        <w:pStyle w:val="TextBody"/>
        <w:bidi w:val="0"/>
        <w:jc w:val="left"/>
        <w:rPr>
          <w:rFonts w:ascii="Times New Roman" w:hAnsi="Times New Roman"/>
          <w:color w:val="000000"/>
          <w:sz w:val="20"/>
        </w:rPr>
      </w:pPr>
      <w:r>
        <w:rPr>
          <w:rFonts w:ascii="Times New Roman" w:hAnsi="Times New Roman"/>
          <w:color w:val="000000"/>
          <w:sz w:val="20"/>
        </w:rPr>
        <w:t>Accepted by: Daniel Lochner</w:t>
      </w:r>
    </w:p>
    <w:p>
      <w:pPr>
        <w:pStyle w:val="TextBody"/>
        <w:bidi w:val="0"/>
        <w:jc w:val="left"/>
        <w:rPr>
          <w:rFonts w:ascii="Times New Roman" w:hAnsi="Times New Roman"/>
          <w:sz w:val="20"/>
        </w:rPr>
      </w:pPr>
      <w:r>
        <w:rPr>
          <w:rFonts w:ascii="Times New Roman" w:hAnsi="Times New Roman"/>
          <w:color w:val="000000"/>
          <w:sz w:val="20"/>
        </w:rPr>
        <w:t>_</w:t>
      </w:r>
      <w:r>
        <w:rPr>
          <w:rFonts w:ascii="Times New Roman" w:hAnsi="Times New Roman"/>
          <w:color w:val="000000"/>
          <w:sz w:val="20"/>
          <w:u w:val="single"/>
        </w:rPr>
        <w:t>/s/ Daniel Lochner</w:t>
      </w:r>
      <w:r>
        <w:rPr>
          <w:rFonts w:ascii="Times New Roman" w:hAnsi="Times New Roman"/>
          <w:color w:val="000000"/>
          <w:sz w:val="20"/>
        </w:rPr>
        <w:t>________</w:t>
      </w:r>
    </w:p>
    <w:p>
      <w:pPr>
        <w:pStyle w:val="TextBody"/>
        <w:bidi w:val="0"/>
        <w:jc w:val="left"/>
        <w:rPr>
          <w:rFonts w:ascii="Times New Roman" w:hAnsi="Times New Roman"/>
          <w:color w:val="000000"/>
          <w:sz w:val="20"/>
        </w:rPr>
      </w:pPr>
      <w:r>
        <w:rPr>
          <w:rFonts w:ascii="Times New Roman" w:hAnsi="Times New Roman"/>
          <w:color w:val="000000"/>
          <w:sz w:val="20"/>
        </w:rPr>
        <w:t>Date: May 28, 2024</w:t>
      </w:r>
    </w:p>
    <w:p>
      <w:pPr>
        <w:pStyle w:val="TextBody"/>
        <w:bidi w:val="0"/>
        <w:jc w:val="left"/>
        <w:rPr>
          <w:rFonts w:ascii="Times New Roman" w:hAnsi="Times New Roman"/>
          <w:color w:val="000000"/>
          <w:sz w:val="20"/>
        </w:rPr>
      </w:pPr>
      <w:r>
        <w:rPr>
          <w:rFonts w:ascii="Times New Roman" w:hAnsi="Times New Roman"/>
          <w:color w:val="000000"/>
          <w:sz w:val="20"/>
        </w:rPr>
        <w:t xml:space="preserve">Date: May 28, 2024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9" w:name="tecx-ex19_1.htm"/>
      <w:bookmarkStart w:id="40" w:name="kstecxex19_1"/>
      <w:bookmarkEnd w:id="39"/>
      <w:bookmarkEnd w:id="40"/>
      <w:r>
        <w:rPr>
          <w:rFonts w:ascii="Times New Roman" w:hAnsi="Times New Roman"/>
          <w:b/>
          <w:color w:val="000000"/>
          <w:sz w:val="20"/>
        </w:rPr>
        <w:t>Exhibit 19.1</w:t>
      </w:r>
      <w:r>
        <w:br w:type="page"/>
      </w:r>
    </w:p>
    <w:p>
      <w:pPr>
        <w:pStyle w:val="TextBody"/>
        <w:bidi w:val="0"/>
        <w:jc w:val="center"/>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TECTONIC THERAPEUTIC, INC.</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Insider Trading Policy</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(adopted June 18, 2024)</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Introduction</w:t>
      </w:r>
    </w:p>
    <w:p>
      <w:pPr>
        <w:pStyle w:val="TextBody"/>
        <w:bidi w:val="0"/>
        <w:spacing w:before="0" w:after="240"/>
        <w:jc w:val="both"/>
        <w:rPr>
          <w:rFonts w:ascii="Times New Roman" w:hAnsi="Times New Roman"/>
          <w:sz w:val="20"/>
        </w:rPr>
      </w:pPr>
      <w:r>
        <w:rPr>
          <w:rFonts w:ascii="Times New Roman" w:hAnsi="Times New Roman"/>
          <w:color w:val="000000"/>
          <w:sz w:val="20"/>
        </w:rPr>
        <w:t>During the course of your relationship with Tectonic Therapeutic, Inc. (“</w:t>
      </w:r>
      <w:r>
        <w:rPr>
          <w:rFonts w:ascii="Times New Roman" w:hAnsi="Times New Roman"/>
          <w:b/>
          <w:i/>
          <w:color w:val="000000"/>
          <w:sz w:val="20"/>
        </w:rPr>
        <w:t>Tectonic</w:t>
      </w:r>
      <w:r>
        <w:rPr>
          <w:rFonts w:ascii="Times New Roman" w:hAnsi="Times New Roman"/>
          <w:color w:val="000000"/>
          <w:sz w:val="20"/>
        </w:rPr>
        <w:t>”), you may receive material information that is not yet publicly available (“</w:t>
      </w:r>
      <w:r>
        <w:rPr>
          <w:rFonts w:ascii="Times New Roman" w:hAnsi="Times New Roman"/>
          <w:b/>
          <w:i/>
          <w:color w:val="000000"/>
          <w:sz w:val="20"/>
        </w:rPr>
        <w:t>material nonpublic information</w:t>
      </w:r>
      <w:r>
        <w:rPr>
          <w:rFonts w:ascii="Times New Roman" w:hAnsi="Times New Roman"/>
          <w:color w:val="000000"/>
          <w:sz w:val="20"/>
        </w:rPr>
        <w:t>”) about Tectonic or other publicly traded companies. Material nonpublic information may give you, or someone you pass that information on to, a leg up over others when deciding whether to buy, sell or otherwise transact in Tectonic’s securities or the securities of another publicly traded company. This policy sets forth guidelines with respect to transactions in Tectonic securities and in the securities of other applicable publicly traded companies, in each case by our employees, directors and consultants who are advised that they are subject to this policy and who may become aware of material non-public information (“</w:t>
      </w:r>
      <w:r>
        <w:rPr>
          <w:rFonts w:ascii="Times New Roman" w:hAnsi="Times New Roman"/>
          <w:b/>
          <w:i/>
          <w:color w:val="000000"/>
          <w:sz w:val="20"/>
        </w:rPr>
        <w:t>designated consultants</w:t>
      </w:r>
      <w:r>
        <w:rPr>
          <w:rFonts w:ascii="Times New Roman" w:hAnsi="Times New Roman"/>
          <w:color w:val="000000"/>
          <w:sz w:val="20"/>
        </w:rPr>
        <w:t>”) and the other persons or entities subject to this policy as described below.</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Statement of Policy</w:t>
      </w:r>
    </w:p>
    <w:p>
      <w:pPr>
        <w:pStyle w:val="TextBody"/>
        <w:bidi w:val="0"/>
        <w:spacing w:before="0" w:after="240"/>
        <w:jc w:val="both"/>
        <w:rPr>
          <w:rFonts w:ascii="Times New Roman" w:hAnsi="Times New Roman"/>
          <w:sz w:val="20"/>
        </w:rPr>
      </w:pPr>
      <w:r>
        <w:rPr>
          <w:rFonts w:ascii="Times New Roman" w:hAnsi="Times New Roman"/>
          <w:color w:val="000000"/>
          <w:sz w:val="20"/>
        </w:rPr>
        <w:t>It is the policy of Tectonic that an employee, director or designated consultant of Tectonic (or any other person or entity subject to this policy) who is aware of material nonpublic information relating to Tectonic</w:t>
      </w:r>
      <w:r>
        <w:rPr>
          <w:rFonts w:ascii="Times New Roman" w:hAnsi="Times New Roman"/>
          <w:b/>
          <w:color w:val="000000"/>
          <w:sz w:val="20"/>
        </w:rPr>
        <w:t>may not</w:t>
      </w:r>
      <w:r>
        <w:rPr>
          <w:rFonts w:ascii="Times New Roman" w:hAnsi="Times New Roman"/>
          <w:color w:val="000000"/>
          <w:sz w:val="20"/>
        </w:rPr>
        <w:t xml:space="preserve">, directly or indirectly: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engage in any transactions in Tectonic’s securities, except as otherwise specified under the heading “Exceptions to this Policy”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recommend the purchase or sale of any Tectonic’s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 material nonpublic information to persons within Tectonic whose jobs do not require them to have that information, or outside of Tectonic to other persons, such as family, friends, business associates and investors, unless the disclosure is made in accordance with Tectonic’s policies regarding the protection or authorized external disclosure of information regarding Tectonic;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assist anyone engaged in the above activities.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prohibition against insider trading is absolute. It applies </w:t>
      </w:r>
      <w:r>
        <w:rPr>
          <w:rFonts w:ascii="Times New Roman" w:hAnsi="Times New Roman"/>
          <w:b/>
          <w:i/>
          <w:color w:val="000000"/>
          <w:sz w:val="20"/>
        </w:rPr>
        <w:t>even if</w:t>
      </w:r>
      <w:r>
        <w:rPr>
          <w:rFonts w:ascii="Times New Roman" w:hAnsi="Times New Roman"/>
          <w:color w:val="000000"/>
          <w:sz w:val="20"/>
        </w:rPr>
        <w:t xml:space="preserve">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w:t>
      </w:r>
      <w:r>
        <w:rPr>
          <w:rFonts w:ascii="Times New Roman" w:hAnsi="Times New Roman"/>
          <w:b/>
          <w:color w:val="000000"/>
          <w:sz w:val="20"/>
        </w:rPr>
        <w:t>any</w:t>
      </w:r>
      <w:r>
        <w:rPr>
          <w:rFonts w:ascii="Times New Roman" w:hAnsi="Times New Roman"/>
          <w:color w:val="000000"/>
          <w:sz w:val="20"/>
        </w:rPr>
        <w:t xml:space="preserve"> material nonpublic information relating to Tectonic at the time of the transaction.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U.S. federal securities laws do not recognize any mitigating circumstances to insider trading. In addition, even the appearance of an improper transaction must be avoided to preserve Tectonic’s reputation for adhering to the highest standards of conduct. In some circumstances, you may need to forgo a planned transaction even if you planned it before becoming aware of the material nonpublic information. So, even if you believe you may suffer an economic loss or sacrifice an anticipated profit by waiting to trade, you must wait.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It is also important to note that the laws prohibiting insider trading are not limited to trading by the insider alone; advising others to trade on the basis of material nonpublic information is illegal and squarely prohibited by this policy. Liability in such cases can extend both to the “tippee”—the person to whom the insider disclosed material nonpublic information—and to the “tipper,” the insider himself or herself. In such cases, you can be held liable for your own transactions, as well as the transactions by a tippee and even the transactions of a tippee’s tippee. For these and other reasons, it is the policy of Tectonic that no employee, director or designated consultant of Tectonic (or any other person or entity subject to this policy) may either (a) recommend to another person or entity that they buy, hold or sell Tectonic’s securities </w:t>
      </w:r>
      <w:r>
        <w:rPr>
          <w:rFonts w:ascii="Times New Roman" w:hAnsi="Times New Roman"/>
          <w:b/>
          <w:color w:val="000000"/>
          <w:sz w:val="20"/>
        </w:rPr>
        <w:t>at any time</w:t>
      </w:r>
      <w:r>
        <w:rPr>
          <w:rFonts w:ascii="Times New Roman" w:hAnsi="Times New Roman"/>
          <w:color w:val="000000"/>
          <w:sz w:val="20"/>
        </w:rPr>
        <w:t xml:space="preserve">or (b) disclose material nonpublic information to persons within Tectonic whose jobs do not require them to have that information, or outside of Tectonic to other persons (unless the disclosure is made in accordance with Tectonic’s policies regarding the protection or authorized external disclosure of information regarding Tectonic).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it is the policy of Tectonic that no person subject to this policy who, in the course of his or her relationship with Tectonic, learns of any confidential information that is material to another publicly traded company with which Tectonic does business, may trade in that other company’s securities until the information becomes public or is no longer material to that other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There are no exceptions to this policy, except as specifically noted above or below. </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Transactions Subject to this Policy</w:t>
      </w:r>
    </w:p>
    <w:p>
      <w:pPr>
        <w:pStyle w:val="TextBody"/>
        <w:bidi w:val="0"/>
        <w:spacing w:before="0" w:after="240"/>
        <w:jc w:val="both"/>
        <w:rPr>
          <w:rFonts w:ascii="Times New Roman" w:hAnsi="Times New Roman"/>
          <w:sz w:val="20"/>
        </w:rPr>
      </w:pPr>
      <w:r>
        <w:rPr>
          <w:rFonts w:ascii="Times New Roman" w:hAnsi="Times New Roman"/>
          <w:color w:val="000000"/>
          <w:sz w:val="20"/>
        </w:rPr>
        <w:t>This policy applies to all transactions in securities issued by Tectonic, as well as derivative securities that are not issued by Tectonic, such as exchange-traded put or call options or swaps relating to Tectonic’s securities. Accordingly, for purposes of this policy, the terms “</w:t>
      </w:r>
      <w:r>
        <w:rPr>
          <w:rFonts w:ascii="Times New Roman" w:hAnsi="Times New Roman"/>
          <w:b/>
          <w:i/>
          <w:color w:val="000000"/>
          <w:sz w:val="20"/>
        </w:rPr>
        <w:t>trade</w:t>
      </w:r>
      <w:r>
        <w:rPr>
          <w:rFonts w:ascii="Times New Roman" w:hAnsi="Times New Roman"/>
          <w:color w:val="000000"/>
          <w:sz w:val="20"/>
        </w:rPr>
        <w:t>,” “</w:t>
      </w:r>
      <w:r>
        <w:rPr>
          <w:rFonts w:ascii="Times New Roman" w:hAnsi="Times New Roman"/>
          <w:b/>
          <w:i/>
          <w:color w:val="000000"/>
          <w:sz w:val="20"/>
        </w:rPr>
        <w:t>trading</w:t>
      </w:r>
      <w:r>
        <w:rPr>
          <w:rFonts w:ascii="Times New Roman" w:hAnsi="Times New Roman"/>
          <w:color w:val="000000"/>
          <w:sz w:val="20"/>
        </w:rPr>
        <w:t>” and “</w:t>
      </w:r>
      <w:r>
        <w:rPr>
          <w:rFonts w:ascii="Times New Roman" w:hAnsi="Times New Roman"/>
          <w:b/>
          <w:i/>
          <w:color w:val="000000"/>
          <w:sz w:val="20"/>
        </w:rPr>
        <w:t>transactions</w:t>
      </w:r>
      <w:r>
        <w:rPr>
          <w:rFonts w:ascii="Times New Roman" w:hAnsi="Times New Roman"/>
          <w:color w:val="000000"/>
          <w:sz w:val="20"/>
        </w:rPr>
        <w:t xml:space="preserve">” include not only purchases and sales of Tectonic’s common stockin the public market but also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other purchases, sales, transfers, gifts or other acquisitions and dispositions of common or preferred equity, options, warrants and other securities (including debt securities) and other arrangements or transactions that affect economic exposure to changes in the prices of these securities. </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Persons Subject to this Policy</w:t>
      </w:r>
    </w:p>
    <w:p>
      <w:pPr>
        <w:pStyle w:val="TextBody"/>
        <w:bidi w:val="0"/>
        <w:jc w:val="both"/>
        <w:rPr>
          <w:rFonts w:ascii="Times New Roman" w:hAnsi="Times New Roman"/>
          <w:sz w:val="20"/>
        </w:rPr>
      </w:pPr>
      <w:r>
        <w:rPr>
          <w:rFonts w:ascii="Times New Roman" w:hAnsi="Times New Roman"/>
          <w:color w:val="000000"/>
          <w:sz w:val="20"/>
        </w:rPr>
        <w:t xml:space="preserve">This policy applies to you and all other employees, directors and designated consultants of Tectonic and its subsidiaries. This policy also applies to members of your family who reside with you, any other persons with whom you share a household, any family members who do not live in your household but whose transactions in Tectonic’s securities are directed by you or are subject to your influence or control and any other individuals or entities whose transactions in securities you influence, direct or control (including, e.g., a venture or other investment fund, </w:t>
      </w:r>
      <w:r>
        <w:rPr>
          <w:rFonts w:ascii="Times New Roman" w:hAnsi="Times New Roman"/>
          <w:color w:val="000000"/>
          <w:sz w:val="20"/>
          <w:u w:val="single"/>
        </w:rPr>
        <w:t>if</w:t>
      </w:r>
      <w:r>
        <w:rPr>
          <w:rFonts w:ascii="Times New Roman" w:hAnsi="Times New Roman"/>
          <w:color w:val="000000"/>
          <w:sz w:val="20"/>
        </w:rPr>
        <w:t xml:space="preserve"> you influence, direct or control transactions by the fund). However, this policy does not apply to any entity that invests in securities in the ordinary course of its business (e.g., a venture or other investment fund) if (and only if) such entity has established its own insider trading controls and procedures in compliance with applicable securities laws with respect to trading in Tectonic’s securities.</w:t>
      </w:r>
    </w:p>
    <w:p>
      <w:pPr>
        <w:pStyle w:val="TextBody"/>
        <w:bidi w:val="0"/>
        <w:spacing w:before="0" w:after="240"/>
        <w:jc w:val="both"/>
        <w:rPr>
          <w:rFonts w:ascii="Times New Roman" w:hAnsi="Times New Roman"/>
          <w:sz w:val="20"/>
        </w:rPr>
      </w:pPr>
      <w:r>
        <w:rPr>
          <w:rFonts w:ascii="Times New Roman" w:hAnsi="Times New Roman"/>
          <w:color w:val="000000"/>
          <w:sz w:val="20"/>
        </w:rPr>
        <w:t>The foregoing persons who are deemed subject to this policy are referred to in this policy as “</w:t>
      </w:r>
      <w:r>
        <w:rPr>
          <w:rFonts w:ascii="Times New Roman" w:hAnsi="Times New Roman"/>
          <w:b/>
          <w:i/>
          <w:color w:val="000000"/>
          <w:sz w:val="20"/>
        </w:rPr>
        <w:t>Related Persons</w:t>
      </w:r>
      <w:r>
        <w:rPr>
          <w:rFonts w:ascii="Times New Roman" w:hAnsi="Times New Roman"/>
          <w:color w:val="000000"/>
          <w:sz w:val="20"/>
        </w:rPr>
        <w:t xml:space="preserve">.” You are responsible for making sure that your Related Persons comply with this policy. </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Material Nonpublic Information</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Material information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It is not always easy to figure out whether you are aware of material nonpublic information. But there is one important factor to determine whether nonpublic information you know about a public company is material: whether the information could be expected to affect the market price of that company’s securities or to be considered important by investors who are considering trading that company’s securities. If the information makes you want to trade, it would probably have the same effect on others. Keep in mind that both positive and negative information can be material.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There may be other types of information that would qualify as material information as well; use this list merely as a non-exhaustive guide: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results or forecasts;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status of product or product candidate development or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data relating to products 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timelines for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acquisitions or dispositions of assets, divisions or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 or private sales of debt or equity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splits, dividends or changes in dividend policy;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establishment of a repurchase program for Tectonic’s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gain or loss of a significant licensor, licensee or supplier;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or new corporate partner relationships or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notice of issuance or denial of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or control changes;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 layoffs;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disruption in Tectonic’s operations or breach or unauthorized access of its property or assets, including its facilities and information technology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tender offers or proxy fights;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accounting restatements;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or settlements; and</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impending bankruptcy.</w:t>
      </w:r>
    </w:p>
    <w:p>
      <w:pPr>
        <w:pStyle w:val="TextBody"/>
        <w:bidi w:val="0"/>
        <w:jc w:val="left"/>
        <w:rPr/>
      </w:pPr>
      <w:r>
        <w:rPr/>
        <w:t>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When information is considered public</w:t>
      </w:r>
    </w:p>
    <w:p>
      <w:pPr>
        <w:pStyle w:val="TextBody"/>
        <w:bidi w:val="0"/>
        <w:spacing w:before="0" w:after="240"/>
        <w:jc w:val="both"/>
        <w:rPr>
          <w:rFonts w:ascii="Times New Roman" w:hAnsi="Times New Roman"/>
          <w:sz w:val="20"/>
        </w:rPr>
      </w:pPr>
      <w:r>
        <w:rPr>
          <w:rFonts w:ascii="Times New Roman" w:hAnsi="Times New Roman"/>
          <w:color w:val="000000"/>
          <w:sz w:val="20"/>
        </w:rPr>
        <w:t>The prohibition on trading when you have material nonpublic information lifts once that information becomes publicly disseminated. But for information to be considered publicly disseminated, it must be widely disseminated through a press release, a filing with the Securities and Exchange Commission (the “</w:t>
      </w:r>
      <w:r>
        <w:rPr>
          <w:rFonts w:ascii="Times New Roman" w:hAnsi="Times New Roman"/>
          <w:b/>
          <w:i/>
          <w:color w:val="000000"/>
          <w:sz w:val="20"/>
        </w:rPr>
        <w:t>SEC</w:t>
      </w:r>
      <w:r>
        <w:rPr>
          <w:rFonts w:ascii="Times New Roman" w:hAnsi="Times New Roman"/>
          <w:color w:val="000000"/>
          <w:sz w:val="20"/>
        </w:rPr>
        <w:t xml:space="preserve">”),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two full trading days have elapsed since the information was publicly disclosed. For example, if we announce material nonpublic information before trading begins on Wednesday, then you may execute a transaction in our securities on Friday; if we announce material nonpublic information after trading ends on Wednesday, then you may execute a transaction in our securities on Monday. Depending on the particular circumstances, Tectonic may determine that a longer or shorter waiting period should apply to the release of specific material nonpublic information. </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Event-Specific Trading Blackouts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From time to time, an event may occur that is material to Tectonic and is known by only a few directors, officers and/or employees. So long as the event remains material and nonpublic, the persons designated by the Compliance Officer (which individual shall be the Chief Financial Officer, or his/her designee, or such other designee as determined by Tectonic’s Board of Directors), as applicable, may not trade in Tectonic’s securities. In that situation, Tectonic will notify the designated individuals that neither they nor their Related Persons may trade in the Tectonic’s securities. The existence of an event-specific trading blackout should also be considered material nonpublic information and should not be communicated to any other person. Even if you have not been designated as a person who should not trade due to an event-specific trading blackout, you should not trade while aware of material nonpublic information. Exceptions will not be granted during an event-specific trading blackout.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event-driven trading blackouts do not apply to those transactions to which this policy does not apply, as described under the heading “Exceptions to this Policy” below. </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Exceptions to this Policy</w:t>
      </w:r>
    </w:p>
    <w:p>
      <w:pPr>
        <w:pStyle w:val="TextBody"/>
        <w:bidi w:val="0"/>
        <w:jc w:val="both"/>
        <w:rPr>
          <w:rFonts w:ascii="Times New Roman" w:hAnsi="Times New Roman"/>
          <w:color w:val="000000"/>
          <w:sz w:val="20"/>
        </w:rPr>
      </w:pPr>
      <w:r>
        <w:rPr>
          <w:rFonts w:ascii="Times New Roman" w:hAnsi="Times New Roman"/>
          <w:color w:val="000000"/>
          <w:sz w:val="20"/>
        </w:rPr>
        <w:t>This policy does not apply in the case of the following transactions, except as specifically noted: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1.</w:t>
      </w:r>
    </w:p>
    <w:p>
      <w:pPr>
        <w:pStyle w:val="TextBody"/>
        <w:bidi w:val="0"/>
        <w:spacing w:before="120" w:after="283"/>
        <w:jc w:val="left"/>
        <w:rPr/>
      </w:pPr>
      <w:r>
        <w:rPr>
          <w:rFonts w:ascii="Times New Roman" w:hAnsi="Times New Roman"/>
          <w:b/>
          <w:i/>
          <w:color w:val="000000"/>
          <w:sz w:val="20"/>
        </w:rPr>
        <w:t>Option Exercises</w:t>
      </w:r>
      <w:r>
        <w:rPr>
          <w:rFonts w:ascii="Times New Roman" w:hAnsi="Times New Roman"/>
          <w:color w:val="000000"/>
          <w:sz w:val="20"/>
        </w:rPr>
        <w:t xml:space="preserve">. This policy does not apply to the exercise of options granted under Tectonic’s equity compensation plans for cash or, where permitted under the option, by a net exercise transaction with the Company or by delivery to Tectonic of already-owned Tectonic stock. This policy does, however, apply to any sale of stock as part of a broker-assisted cashless exercise or any other market sale, whether or not for the purpose of generating the cash needed to pay the exercise price or pay taxes.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w:t>
      </w:r>
    </w:p>
    <w:p>
      <w:pPr>
        <w:pStyle w:val="TextBody"/>
        <w:bidi w:val="0"/>
        <w:spacing w:before="120" w:after="283"/>
        <w:jc w:val="left"/>
        <w:rPr/>
      </w:pPr>
      <w:r>
        <w:rPr>
          <w:rFonts w:ascii="Times New Roman" w:hAnsi="Times New Roman"/>
          <w:b/>
          <w:i/>
          <w:color w:val="000000"/>
          <w:sz w:val="20"/>
        </w:rPr>
        <w:t>Tax Withholding Transactions</w:t>
      </w:r>
      <w:r>
        <w:rPr>
          <w:rFonts w:ascii="Times New Roman" w:hAnsi="Times New Roman"/>
          <w:color w:val="000000"/>
          <w:sz w:val="20"/>
        </w:rPr>
        <w:t xml:space="preserve">. This policy does not apply to the surrender of shares directly to Tectonic to satisfy tax withholding obligations as a result of the issuance of shares upon vesting or exercise of restricted stock units, options or other equity awards granted under Tectonic’s equity compensation plans. Of course, any market sale of the stock received upon exercise or vesting of any such equity awards remains subject to all provisions of this policy whether or not for the purpose of generating the cash needed to pay the exercise price or pay taxes.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3.</w:t>
      </w:r>
    </w:p>
    <w:p>
      <w:pPr>
        <w:pStyle w:val="TextBody"/>
        <w:bidi w:val="0"/>
        <w:spacing w:before="120" w:after="283"/>
        <w:jc w:val="left"/>
        <w:rPr/>
      </w:pPr>
      <w:r>
        <w:rPr>
          <w:rFonts w:ascii="Times New Roman" w:hAnsi="Times New Roman"/>
          <w:b/>
          <w:i/>
          <w:color w:val="000000"/>
          <w:sz w:val="20"/>
        </w:rPr>
        <w:t>ESPP</w:t>
      </w:r>
      <w:r>
        <w:rPr>
          <w:rFonts w:ascii="Times New Roman" w:hAnsi="Times New Roman"/>
          <w:i/>
          <w:color w:val="000000"/>
          <w:sz w:val="20"/>
        </w:rPr>
        <w:t>.</w:t>
      </w:r>
      <w:r>
        <w:rPr>
          <w:color w:val="000000"/>
        </w:rPr>
        <w:t xml:space="preserve"> </w:t>
      </w:r>
      <w:r>
        <w:rPr>
          <w:rFonts w:ascii="Times New Roman" w:hAnsi="Times New Roman"/>
          <w:color w:val="000000"/>
          <w:sz w:val="20"/>
        </w:rPr>
        <w:t>This policy does not apply to the purchase of stock by employees under Tectonic’s Employee Stock Purchase Plan (“</w:t>
      </w:r>
      <w:r>
        <w:rPr>
          <w:rFonts w:ascii="Times New Roman" w:hAnsi="Times New Roman"/>
          <w:b/>
          <w:i/>
          <w:color w:val="000000"/>
          <w:sz w:val="20"/>
        </w:rPr>
        <w:t>ESPP</w:t>
      </w:r>
      <w:r>
        <w:rPr>
          <w:color w:val="000000"/>
        </w:rPr>
        <w:t>”</w:t>
      </w:r>
      <w:r>
        <w:rPr>
          <w:rFonts w:ascii="Times New Roman" w:hAnsi="Times New Roman"/>
          <w:color w:val="000000"/>
          <w:sz w:val="20"/>
        </w:rPr>
        <w:t>) on periodic designated dates in accordance with the ESPP. This policy does, however, apply to any sale of stock acquired pursuant to the ESPP.</w:t>
      </w:r>
      <w:r>
        <w:rPr>
          <w:color w:val="00000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4.</w:t>
      </w:r>
    </w:p>
    <w:p>
      <w:pPr>
        <w:pStyle w:val="TextBody"/>
        <w:bidi w:val="0"/>
        <w:spacing w:before="120" w:after="283"/>
        <w:jc w:val="left"/>
        <w:rPr/>
      </w:pPr>
      <w:r>
        <w:rPr>
          <w:rFonts w:ascii="Times New Roman" w:hAnsi="Times New Roman"/>
          <w:b/>
          <w:i/>
          <w:color w:val="000000"/>
          <w:sz w:val="20"/>
        </w:rPr>
        <w:t>10b5-1 Automatic Trading Programs</w:t>
      </w:r>
      <w:r>
        <w:rPr>
          <w:rFonts w:ascii="Times New Roman" w:hAnsi="Times New Roman"/>
          <w:i/>
          <w:color w:val="000000"/>
          <w:sz w:val="20"/>
        </w:rPr>
        <w:t xml:space="preserve">. </w:t>
      </w:r>
      <w:r>
        <w:rPr>
          <w:rFonts w:ascii="Times New Roman" w:hAnsi="Times New Roman"/>
          <w:color w:val="000000"/>
          <w:sz w:val="20"/>
        </w:rPr>
        <w:t>Under Rule 10b5-1 of the Securities Exchange Act of 1934, as amended (“</w:t>
      </w:r>
      <w:r>
        <w:rPr>
          <w:rFonts w:ascii="Times New Roman" w:hAnsi="Times New Roman"/>
          <w:b/>
          <w:i/>
          <w:color w:val="000000"/>
          <w:sz w:val="20"/>
        </w:rPr>
        <w:t>Exchange Act</w:t>
      </w:r>
      <w:r>
        <w:rPr>
          <w:color w:val="000000"/>
        </w:rPr>
        <w:t>”</w:t>
      </w:r>
      <w:r>
        <w:rPr>
          <w:rFonts w:ascii="Times New Roman" w:hAnsi="Times New Roman"/>
          <w:color w:val="000000"/>
          <w:sz w:val="20"/>
        </w:rPr>
        <w:t>), employees, directors and consultants may establish a trading plan under which a broker is instructed to buy and sell Tectonic securities based on pre-determined criteria (a “</w:t>
      </w:r>
      <w:r>
        <w:rPr>
          <w:rFonts w:ascii="Times New Roman" w:hAnsi="Times New Roman"/>
          <w:b/>
          <w:i/>
          <w:color w:val="000000"/>
          <w:sz w:val="20"/>
        </w:rPr>
        <w:t>10b5-1 Trading Plan</w:t>
      </w:r>
      <w:r>
        <w:rPr>
          <w:color w:val="000000"/>
        </w:rPr>
        <w:t>”</w:t>
      </w:r>
      <w:r>
        <w:rPr>
          <w:rFonts w:ascii="Times New Roman" w:hAnsi="Times New Roman"/>
          <w:color w:val="000000"/>
          <w:sz w:val="20"/>
        </w:rPr>
        <w:t xml:space="preserve">). So long as a 10b5-1 Trading Plan is properly established, purchases and sales of Tectonic securities pursuant to that Trading Plan are not subject to this policy. To be properly established, Trading Plans must be established in compliance with the requirements of Rule 10b5-1 of the Exchange Act and any applicable 10b5-1 trading plan guidelines of Tectonic at a time when Tectonic was not in a trading blackout period and they were not otherwise aware of any material nonpublic information relating to Tectonic or the securities subject to the Trading Plan. Moreover, all 10b5-1 Trading Plans must be reviewed and approved by Tectonic before being established to confirm that the 10b5-1 Trading Plan complies with all pertinent company policies and applicable securities laws.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5.</w:t>
      </w:r>
    </w:p>
    <w:p>
      <w:pPr>
        <w:pStyle w:val="TextBody"/>
        <w:bidi w:val="0"/>
        <w:spacing w:before="120" w:after="283"/>
        <w:jc w:val="left"/>
        <w:rPr/>
      </w:pPr>
      <w:r>
        <w:rPr>
          <w:rFonts w:ascii="Times New Roman" w:hAnsi="Times New Roman"/>
          <w:b/>
          <w:i/>
          <w:color w:val="000000"/>
          <w:sz w:val="20"/>
        </w:rPr>
        <w:t>401(k) Plan</w:t>
      </w:r>
      <w:r>
        <w:rPr>
          <w:rFonts w:ascii="Times New Roman" w:hAnsi="Times New Roman"/>
          <w:color w:val="000000"/>
          <w:sz w:val="20"/>
        </w:rPr>
        <w:t>. If Tectonic’s 401K plan allows for purchases of Tectonic’s securities, then this policy does not apply to purchases of Tectonic’s securities in Tectonic’s 401(k) plan resulting from 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Tectonic stock fund; (b) an election to make an intra-plan transfer of an existing account balance into or out of the Tectonic stock fund; (c) an election to borrow money against your 401(k) plan account if the loan will result in a liquidation of some or all of your Tectonic stock fund balance; and (d) an election to pre-pay a plan loan if the pre-payment will result in allocation of loan proceeds to the Tectonic stock fund.</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Special and Prohibited Transactions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1.</w:t>
      </w:r>
    </w:p>
    <w:p>
      <w:pPr>
        <w:pStyle w:val="TextBody"/>
        <w:bidi w:val="0"/>
        <w:spacing w:before="120" w:after="283"/>
        <w:jc w:val="left"/>
        <w:rPr/>
      </w:pPr>
      <w:r>
        <w:rPr>
          <w:rFonts w:ascii="Times New Roman" w:hAnsi="Times New Roman"/>
          <w:b/>
          <w:i/>
          <w:color w:val="000000"/>
          <w:sz w:val="20"/>
        </w:rPr>
        <w:t>Inherently Speculative Transactions</w:t>
      </w:r>
      <w:r>
        <w:rPr>
          <w:rFonts w:ascii="Times New Roman" w:hAnsi="Times New Roman"/>
          <w:b/>
          <w:color w:val="000000"/>
          <w:sz w:val="20"/>
        </w:rPr>
        <w:t xml:space="preserve">. </w:t>
      </w:r>
      <w:r>
        <w:rPr>
          <w:rFonts w:ascii="Times New Roman" w:hAnsi="Times New Roman"/>
          <w:color w:val="000000"/>
          <w:sz w:val="20"/>
        </w:rPr>
        <w:t>No Tectonic employee, director or designated consultant may engage in short sales, transactions in put options, call options or other derivative securities on an exchange or in any other organized market, or in any other inherently speculative transactions with respect to Tectonic’s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w:t>
      </w:r>
    </w:p>
    <w:p>
      <w:pPr>
        <w:pStyle w:val="TextBody"/>
        <w:bidi w:val="0"/>
        <w:spacing w:before="120" w:after="283"/>
        <w:jc w:val="left"/>
        <w:rPr/>
      </w:pPr>
      <w:r>
        <w:rPr>
          <w:rFonts w:ascii="Times New Roman" w:hAnsi="Times New Roman"/>
          <w:b/>
          <w:i/>
          <w:color w:val="000000"/>
          <w:sz w:val="20"/>
        </w:rPr>
        <w:t>Hedging Transactions.</w:t>
      </w:r>
      <w:r>
        <w:rPr>
          <w:color w:val="000000"/>
        </w:rPr>
        <w:t xml:space="preserve"> </w:t>
      </w:r>
      <w:r>
        <w:rPr>
          <w:rFonts w:ascii="Times New Roman" w:hAnsi="Times New Roman"/>
          <w:color w:val="000000"/>
          <w:sz w:val="20"/>
        </w:rPr>
        <w:t xml:space="preserve">Hedging or monetization transactions can be accomplished through a number of possible mechanisms, including through the use of financial instruments such as prepaid variable forwards, equity swaps, collars and exchange funds. Such hedging transactions may permit a Tectonic employee, director or designated consultant to continue to own Tectonic’s securities obtained through employee benefit plans or otherwise, but without the full risks and rewards of ownership. When that occurs, the Tectonic employee, director or designated consultant may no longer have the same objectives as Tectonic’s other stockholders. Therefore, Tectonic employees, directors and designated consultants are prohibited from engaging in any such transactions.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3.</w:t>
      </w:r>
    </w:p>
    <w:p>
      <w:pPr>
        <w:pStyle w:val="TextBody"/>
        <w:bidi w:val="0"/>
        <w:spacing w:before="120" w:after="283"/>
        <w:jc w:val="left"/>
        <w:rPr/>
      </w:pPr>
      <w:r>
        <w:rPr>
          <w:rFonts w:ascii="Times New Roman" w:hAnsi="Times New Roman"/>
          <w:b/>
          <w:i/>
          <w:color w:val="000000"/>
          <w:sz w:val="20"/>
        </w:rPr>
        <w:t>Margin Accounts and Pledged Securities</w:t>
      </w:r>
      <w:r>
        <w:rPr>
          <w:rFonts w:ascii="Times New Roman" w:hAnsi="Times New Roman"/>
          <w:color w:val="000000"/>
          <w:sz w:val="20"/>
        </w:rPr>
        <w:t xml:space="preserve">.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Tectonic’s securities, Tectonic employee, director and designated consultants are prohibited from holding Tectonic’s securities in a margin account or otherwise pledging Tectonic’s securities as collateral for a loan.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4.</w:t>
      </w:r>
    </w:p>
    <w:p>
      <w:pPr>
        <w:pStyle w:val="TextBody"/>
        <w:bidi w:val="0"/>
        <w:spacing w:before="120" w:after="283"/>
        <w:jc w:val="left"/>
        <w:rPr/>
      </w:pPr>
      <w:r>
        <w:rPr>
          <w:rFonts w:ascii="Times New Roman" w:hAnsi="Times New Roman"/>
          <w:b/>
          <w:i/>
          <w:color w:val="000000"/>
          <w:sz w:val="20"/>
        </w:rPr>
        <w:t>Standing and Limit Orders</w:t>
      </w:r>
      <w:r>
        <w:rPr>
          <w:rFonts w:ascii="Times New Roman" w:hAnsi="Times New Roman"/>
          <w:color w:val="000000"/>
          <w:sz w:val="20"/>
        </w:rPr>
        <w:t xml:space="preserve">. Standing and limit orders (except standing and limit orders under approved Trading Plans, as discussed above) create heightened risks for insider trading violations similar to the use of margin accounts. There is no control over the timing of purchases or sales that result from standing instructions to a broker, and as a result the broker could execute a transaction when a Tectonic employee, director or designated consultant is in possession of material nonpublic information. Tectonic therefore discourages placing standing or limit orders on Tectonic’s securities. If a person subject to this policy determines that they must use a standing order or limit order (other than under an approved Trading Plan as discussed above), the order should be limited to short duration and the person using such standing order or limit order is required to cancel such instructions immediately in the event restrictions are imposed on their ability to trade pursuant to the “Event-Specific Trading Blackouts” provision above. </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Pre-Clearance and Advance Notice of Transactions</w:t>
      </w:r>
    </w:p>
    <w:p>
      <w:pPr>
        <w:pStyle w:val="TextBody"/>
        <w:bidi w:val="0"/>
        <w:spacing w:before="240" w:after="240"/>
        <w:jc w:val="both"/>
        <w:rPr>
          <w:rFonts w:ascii="Times New Roman" w:hAnsi="Times New Roman"/>
          <w:sz w:val="20"/>
        </w:rPr>
      </w:pPr>
      <w:r>
        <w:rPr>
          <w:rFonts w:ascii="Times New Roman" w:hAnsi="Times New Roman"/>
          <w:color w:val="000000"/>
          <w:sz w:val="20"/>
        </w:rPr>
        <w:t>In addition to the requirements above, even during an open trading window, employees, directors and designated consultants of Tectonic (or any other person or entity subject to this policy) are subject to preclearance requirements and may not engage in any transaction in, or enter into, modify or terminate any contract, instruction or written plan or arrangement in, Tectonic’s securities without first obtaining written (including by email) pre-clearance from Tectonic’s Compliance Officer at least two business days in advance. A request for pre-clearance may be oral or in writing (including by e-mail), should be made at least two business days in advance of the proposed transaction and should include the identity of the individual and/or entity requesting the pre-clearance (the “</w:t>
      </w:r>
      <w:r>
        <w:rPr>
          <w:rFonts w:ascii="Times New Roman" w:hAnsi="Times New Roman"/>
          <w:b/>
          <w:i/>
          <w:color w:val="000000"/>
          <w:sz w:val="20"/>
        </w:rPr>
        <w:t>Pre-Clearance Person</w:t>
      </w:r>
      <w:r>
        <w:rPr>
          <w:rFonts w:ascii="Times New Roman" w:hAnsi="Times New Roman"/>
          <w:color w:val="000000"/>
          <w:sz w:val="20"/>
        </w:rPr>
        <w:t xml:space="preserve">”), the type of proposed transaction (for example, an open market purchase, a privately negotiated sale, an option exercise, etc.), the proposed date of the transaction and the number of shares or options to be involved. In addition, the Pre-Clearance Person must execute a certification (in the form approved by the Compliance Officer) that he, she or it is not aware of material nonpublic information about the Company, or shall be made in accordance with such other procedures as the Compliance Officer may designate from time to time. The Compliance Officer shall have sole discretion to decide whether to clear any contemplated transaction. All trades that are pre-cleared must be effected within three business days of receipt of the pre-clearance unless a longer or shorter period has been specified by the Compliance Officer. A pre-cleared trade (or any portion of a pre-cleared trade) that has not been effected during the three business day period must be pre-cleared again prior to execution. </w:t>
      </w:r>
      <w:r>
        <w:rPr>
          <w:rFonts w:ascii="Times New Roman" w:hAnsi="Times New Roman"/>
          <w:b/>
          <w:color w:val="000000"/>
          <w:sz w:val="20"/>
        </w:rPr>
        <w:t>Notwithstanding receipt of pre-clearance, if the Pre-Clearance Person becomes aware of material non-public information or becomes subject to a blackout period before the transaction is effected, the transaction may not be completed.</w:t>
      </w:r>
    </w:p>
    <w:p>
      <w:pPr>
        <w:pStyle w:val="TextBody"/>
        <w:bidi w:val="0"/>
        <w:spacing w:before="0" w:after="240"/>
        <w:jc w:val="both"/>
        <w:rPr>
          <w:rFonts w:ascii="Times New Roman" w:hAnsi="Times New Roman"/>
          <w:sz w:val="20"/>
        </w:rPr>
      </w:pPr>
      <w:r>
        <w:rPr>
          <w:rFonts w:ascii="Times New Roman" w:hAnsi="Times New Roman"/>
          <w:b/>
          <w:smallCaps/>
          <w:color w:val="000000"/>
          <w:sz w:val="20"/>
        </w:rPr>
        <w:t>Post-Transaction Notice</w:t>
      </w:r>
      <w:r>
        <w:rPr>
          <w:rFonts w:ascii="Times New Roman" w:hAnsi="Times New Roman"/>
          <w:smallCaps/>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Each individual and entity that is subject to reporting obligations under Section 16 of the Exchange Act shall also notify the Compliance Officer of the occurrence of any purchase, sale or other acquisition or disposition of securities of the Company as soon as </w:t>
      </w:r>
    </w:p>
    <w:p>
      <w:pPr>
        <w:pStyle w:val="HorizontalLine"/>
        <w:pBdr>
          <w:bottom w:val="double" w:sz="2" w:space="0" w:color="808080"/>
        </w:pBdr>
        <w:bidi w:val="0"/>
        <w:spacing w:before="0" w:after="283"/>
        <w:jc w:val="left"/>
        <w:rPr/>
      </w:pPr>
      <w:r>
        <w:rPr/>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possible following the transaction, but in any event within one business day after the transaction. Such notification may be oral or in writing (including by e-mail) and should include the identity of the individual and/or entity, the type of transaction, the date of the transaction, the number of shares involved and the purchase or sale price. A purchase, sale or other acquisition or disposition shall be deemed to occur at the time the person becomes irrevocably committed to it (for example, in the case of an open market purchase or sale, this occurs when the trade is executed, not when it settles).</w:t>
      </w:r>
    </w:p>
    <w:p>
      <w:pPr>
        <w:pStyle w:val="TextBody"/>
        <w:bidi w:val="0"/>
        <w:spacing w:before="0" w:after="240"/>
        <w:jc w:val="both"/>
        <w:rPr>
          <w:rFonts w:ascii="Times New Roman" w:hAnsi="Times New Roman"/>
          <w:sz w:val="20"/>
        </w:rPr>
      </w:pPr>
      <w:r>
        <w:rPr>
          <w:rFonts w:ascii="Times New Roman" w:hAnsi="Times New Roman"/>
          <w:b/>
          <w:smallCaps/>
          <w:color w:val="000000"/>
          <w:sz w:val="20"/>
        </w:rPr>
        <w:t>Short-Swing Trading, Control Stock and Section 16 Reports</w:t>
      </w:r>
      <w:r>
        <w:rPr>
          <w:rFonts w:ascii="Times New Roman" w:hAnsi="Times New Roman"/>
          <w:smallCaps/>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Officers and directors subject to the reporting obligations under Section 16 of the Exchange Act should take care to avoid short-swing transactions (within the meaning of Section 16(b) of the Exchange Act) and the restrictions on sales by control persons (Rule 144 under the Securities Act of 1933, as amended), and should file all appropriate Section 16(a) reports (Forms 3, 4 and 5), which are described in Tectonic’s Section 16 Compliance Program, and any notices of sale required by Rule 144.</w:t>
      </w:r>
    </w:p>
    <w:p>
      <w:pPr>
        <w:pStyle w:val="TextBody"/>
        <w:bidi w:val="0"/>
        <w:spacing w:before="0" w:after="240"/>
        <w:jc w:val="both"/>
        <w:rPr>
          <w:rFonts w:ascii="Times New Roman" w:hAnsi="Times New Roman"/>
          <w:sz w:val="20"/>
        </w:rPr>
      </w:pPr>
      <w:r>
        <w:rPr>
          <w:rFonts w:ascii="Times New Roman" w:hAnsi="Times New Roman"/>
          <w:b/>
          <w:smallCaps/>
          <w:color w:val="000000"/>
          <w:sz w:val="20"/>
        </w:rPr>
        <w:t>Prohibition of Trading During Pension Plan Blackouts</w:t>
      </w:r>
      <w:r>
        <w:rPr>
          <w:rFonts w:ascii="Times New Roman" w:hAnsi="Times New Roman"/>
          <w:smallCaps/>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No director or executive officer of Tectonic may, directly or indirectly, purchase, sell or otherwise transfer any equity security of Tectonic (other than an exempt security) during any “blackout period’’ (as defined in Regulation BTR under the Exchange Act) if a director or executive officer acquires or previously acquired such equity security in connection with his or her service or employment as a director or executive officer. This prohibition does not apply to any transactions that are specifically exempted, including but not limited to, purchases or sales of Tectonic’s securities made pursuant to, and in compliance with, a Trading Plan; compensatory grants or awards of equity securities pursuant to a plan that, by its terms, permits executive officers and directors to receive automatic grants or awards and specifies the terms of the grants and awards; or acquisitions or dispositions of equity securities involving a </w:t>
      </w:r>
      <w:r>
        <w:rPr>
          <w:rFonts w:ascii="Times New Roman" w:hAnsi="Times New Roman"/>
          <w:i/>
          <w:color w:val="000000"/>
          <w:sz w:val="20"/>
        </w:rPr>
        <w:t>bona fide</w:t>
      </w:r>
      <w:r>
        <w:rPr>
          <w:rFonts w:ascii="Times New Roman" w:hAnsi="Times New Roman"/>
          <w:color w:val="000000"/>
          <w:sz w:val="20"/>
        </w:rPr>
        <w:t xml:space="preserve"> gift or by will or the laws of descent or pursuant to a domestic relations order. Tectonic will notify each director and executive officer of any blackout periods in accordance with the provisions of Regulation BTR. Because Regulation BTR is very complex, no director or executive officer of Tectonic should engage in any transactions in Tectonic’s securities, even if believed to be exempt from Regulation BTR, without first consulting with the Compliance Officer.</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Policy’s Duration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This policy continues to apply to your transactions in Tectonic’s securities and the securities of other applicable public companies as more specifically set forth in this policy, even after your relationship with Tectonic has ended. If you are aware of material nonpublic information when your relationship with Tectonic ends, you may not trade Tectonic’s securities or the securities of other applicable publicly traded companies until the material nonpublic information has been publicly disseminated or is no longer material. Further, if you leave Tectonic during a trading blackout period, then you may not trade Tectonic’s securities or the securities of other applicable companies until the trading blackout period has ended. </w:t>
      </w:r>
    </w:p>
    <w:p>
      <w:pPr>
        <w:pStyle w:val="TextBody"/>
        <w:bidi w:val="0"/>
        <w:spacing w:before="0" w:after="240"/>
        <w:jc w:val="both"/>
        <w:rPr>
          <w:rFonts w:ascii="Times New Roman" w:hAnsi="Times New Roman"/>
          <w:sz w:val="20"/>
        </w:rPr>
      </w:pPr>
      <w:r>
        <w:rPr>
          <w:rFonts w:ascii="Times New Roman" w:hAnsi="Times New Roman"/>
          <w:b/>
          <w:smallCaps/>
          <w:color w:val="000000"/>
          <w:sz w:val="20"/>
        </w:rPr>
        <w:t>Individual Responsibility</w:t>
      </w:r>
      <w:r>
        <w:rPr>
          <w:rFonts w:ascii="Times New Roman" w:hAnsi="Times New Roman"/>
          <w:smallCaps/>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Persons subject to this policy have ethical and legal obligations to maintain the confidentiality of information about Tectonic and to not engage in transactions in Tectonic’s securities or the securities of other applicable public companies while aware of material nonpublic information, as more specifically set forth in this policy. Each individual is responsible for making sure that he or she complies with this policy, and that any family member, household member or other person or entity whose transactions are subject to this policy, as discussed under the heading “Persons Subject to this Policy” above, also comply with this policy. In all cases, the responsibility for determining whether an individual is aware of material nonpublic information rests with that individual, and any action on the part of Tectonic or any employee or director of Tectonic pursuant to this policy (or otherwise) does not in any way constitute legal advice or insulate an individual from liability under applicable securities laws. You could be subject to severe legal penalties and disciplinary action by Tectonic for any conduct prohibited by this policy or applicable securities laws. See “Penalties” below. </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Penalties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Anyone who engages in insider trading or otherwise violates this policy may be subject to both civil liability and criminal penalties. Violators also risk disciplinary action by Tectonic, including termination of employment. Anyone who has questions about this policy should contact their own attorney or Tectonic’s Compliance Officer. Please also see Frequently Asked Questions, which are attached as </w:t>
      </w:r>
      <w:r>
        <w:rPr>
          <w:rFonts w:ascii="Times New Roman" w:hAnsi="Times New Roman"/>
          <w:b/>
          <w:smallCaps/>
          <w:color w:val="000000"/>
          <w:sz w:val="20"/>
        </w:rPr>
        <w:t>Exhibit A</w:t>
      </w:r>
      <w:r>
        <w:rPr>
          <w:rFonts w:ascii="Times New Roman" w:hAnsi="Times New Roman"/>
          <w:color w:val="000000"/>
          <w:sz w:val="20"/>
        </w:rPr>
        <w:t xml:space="preserve">. </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Amendments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Tectonic is committed to continuously reviewing and updating its policies and procedures. Tectonic therefore reserves the right to amend, alter or terminate this policy at any time and for any reason. A current copy of the Tectonic’s policies regarding insider trading may be obtained by contacting the Compliance Officer.</w:t>
      </w:r>
    </w:p>
    <w:p>
      <w:pPr>
        <w:pStyle w:val="TextBody"/>
        <w:bidi w:val="0"/>
        <w:spacing w:before="0" w:after="240"/>
        <w:jc w:val="both"/>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r>
    </w:p>
    <w:p>
      <w:pPr>
        <w:pStyle w:val="TextBody"/>
        <w:bidi w:val="0"/>
        <w:jc w:val="center"/>
        <w:rPr>
          <w:rFonts w:ascii="Times New Roman" w:hAnsi="Times New Roman"/>
          <w:sz w:val="20"/>
        </w:rPr>
      </w:pPr>
      <w:r>
        <w:rPr>
          <w:rFonts w:ascii="Times New Roman" w:hAnsi="Times New Roman"/>
          <w:b/>
          <w:smallCaps/>
          <w:color w:val="000000"/>
          <w:sz w:val="20"/>
        </w:rPr>
        <w:t>Exhibit A</w:t>
      </w:r>
      <w:r>
        <w:rPr>
          <w:rFonts w:ascii="Times New Roman" w:hAnsi="Times New Roman"/>
          <w:smallCaps/>
          <w:color w:val="000000"/>
          <w:sz w:val="20"/>
        </w:rPr>
        <w:t xml:space="preserve">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Insider Trading Policy</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Frequently Asked Questions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1.</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What is insider trading?</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Generally speaking, insider trading is the buying or selling of stocks, bonds, futures or other securities by someone who possesses or is otherwise aware of material nonpublic information about the securities or the issuer of the securities. Insider trading also includes trading in derivatives (such as put or call options) where the price is linked to the underlying price of a company’s stock. It does not matter whether the decision to buy or sell was influenced by the material nonpublic information, how many shares you buy or sell, or whether it has an effect on the stock price. Bottom line: If, during the course of your relationship with Tectonic, you become aware of material nonpublic information about Tectonic and you trade in Tectonic’s securities, you have broken the law and violated our insider trading policy. In addition, our insider trading policy provides that if in the course of your relationship with Tectonic, you learn of any confidential information that is material to another publicly traded company with which Tectonic does business you may not trade in that other company’s securities until the information becomes public or is no longer material to that other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Why is insider trading illegal?</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If company insiders are able to use their confidential knowledge to their financial advantage, other investors would not have confidence in the fairness and integrity of the market. This ensures that there is an even playing field by requiring those who are aware of material nonpublic information to refrain from trading.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3.</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What is material nonpublic information?</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Information is material if it would influence a reasonable investor to buy or sell a stock, bond future or other security. This could mean many things: financial results, clinical or regulatory results, potential acquisitions or major contracts to name just a few. Information is nonpublic if it has not yet been publicly disseminated within the meaning of our insider trading policy.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Who can be guilty of insider trading?</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Anyone who buys or sells a security while aware of material nonpublic information, or provides material nonpublic information that someone else uses to buy or sell a security, may be guilty of insider trading. This applies to all individuals, including officers, directors and others who don’t even work at Tectonic. Regardless of who you are, if you know something material about the value of a security that not everyone knows and you trade (or convince someone else to trade) in that security, you may be found guilty of insider trading.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What if I work in a foreign office?</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The same rules apply to U.S. and foreign employees and consultants. The Securities and Exchange Commission (the U.S. government agency in charge of investor protection) and the Financial Industry Regulatory Authority (a private regulator that oversees U.S. securities exchanges) routinely investigate trading in a company’s securities conducted by individuals and firms based abroad. In addition, as a Tectonic director, employee or consultant, our policies apply to you no matter where you work.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What if I don’t buy or sell anything, but I tell someone else material nonpublic information and they buy or sell?</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That is called “tipping.” You are the “tipper” and the other person is called the “tippee.” If the tippee buys or sells based on that material nonpublic information, both you and the “tippee” could be found guilty of insider trading. In fact, if you tell family members who tell others and those people then trade on the information, those family members and the “tippee” might be found guilty of insider trading too. To prevent this, you may not discuss material nonpublic information about the company with anyone outside Tectonic, including spouses, family members, friends or business associates (unless the disclosure is made in accordance with Tectonic’s policies regarding the protection or authorized external disclosure of information regarding Tectonic. This includes anonymous discussions on the internet about Tectonic or companies with which Tectonic does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7.</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What if I don’t tell them the information itself; I just tell them whether they should buy or sell?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That is still tipping, and you can still be responsible for insider trading. You may never recommend to another person that they buy, hold or sell Tectonic’s common stock or any derivative security related to Tectonic’s common stock, since that could be a form of tipping.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8.</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What are the sanctions if I trade on material nonpublic information or tip off someone else?</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In addition to disciplinary action by Tectonic—which may include termination of employment—you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9.</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What is “loss avoided”?</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If you sell common stock or a related derivative security before negative news is publicly announced, and as a result of the announcement the stock price declines, you have avoided the loss caused by the negative news.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10.</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Am I restricted from trading securities of any companies other than Tectonic, for example a partner or competitor of Tectonic?</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You may be restricted from doing so due to your awareness of material nonpublic information involving that entity. U.S. insider trading laws generally restrict everyone aware of material nonpublic information about a company from trading in that company’s securities, regardless of whether the person is directly connected with that company, except in limited circumstances. You should be particularly conscious of this restriction if, through your position at Tectonic, you sometimes obtain sensitive, material information about other companies and their business dealings with Tectonic. Please also refer to Question 1 above and our insider trading policy with respect to restrictions on trading in the securities of other public companies.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11.</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 if I do not trade Tectonic securities when I have material nonpublic information, and I don’t “tip” other people, I am in the clear, right?</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Not necessarily. Even if you do not violate U.S. law, you may still violate our policies. For example, employees and consultants may violate our policies by breaching their confidentiality obligations or by recommending Tectonic stock as an investment, even if these actions do not violate securities laws. Our policies are stricter than the law requires so that we and our employees and consultants can avoid even the appearance of wrongdoing. Therefore, please review the entire policy carefully.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12.</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 when can I buy or sell my Tectonic securities?</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If you are aware of material nonpublic information, you may not buy or sell our common stock until two full trading days have elapsed since the information was publicly disclosed. At that point, the information is considered publicly disseminated for purposes of our insider trading policy. For example, if we announce material nonpublic information before trading begins on Wednesday, then you may execute a transaction in our securities on Friday; if we announce material nonpublic information after trading ends on Wednesday, then you may execute a transaction in our securities on Monday. </w:t>
      </w:r>
      <w:r>
        <w:rPr>
          <w:rFonts w:ascii="Times New Roman" w:hAnsi="Times New Roman"/>
          <w:b/>
          <w:color w:val="000000"/>
          <w:sz w:val="20"/>
        </w:rPr>
        <w:t>Even if you are not aware of any material nonpublic information, you may not trade our common stock during any trading “blackout” period</w:t>
      </w:r>
      <w:r>
        <w:rPr>
          <w:rFonts w:ascii="Times New Roman" w:hAnsi="Times New Roman"/>
          <w:color w:val="000000"/>
          <w:sz w:val="20"/>
        </w:rPr>
        <w:t xml:space="preserve">. Our insider trading policy describes the event-driven trading blackout periods that may be announced by email.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13.</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I have an open order to buy or sell Tectonic securities on the date a blackout period commences, can I leave it to my broker to cancel the open order and avoid executing the trade?</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No, unless it is in connection with a 10b5-1 trading plan (see Question 25 below). If you have any open orders when a blackout period commences other than in connection with a 10b5-1 trading plan, it is your responsibility to cancel these orders with your broker. If you have an open order and it executes after a blackout period commences not in connection with a 10b5-1 trading plan, you will have violated our insider trading policy and may also have violated insider trading laws.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14.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Am I allowed to trade derivative securities of Tectonic’s common stock?</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No. Under our policies, you may not trade in derivative securities related to our common stock, which include publicly traded call and put options. In addition, under our policies, you may not engage in short selling of our common stock at any time.</w:t>
      </w:r>
    </w:p>
    <w:p>
      <w:pPr>
        <w:pStyle w:val="TextBody"/>
        <w:bidi w:val="0"/>
        <w:spacing w:before="0" w:after="240"/>
        <w:jc w:val="both"/>
        <w:rPr/>
      </w:pPr>
      <w:r>
        <w:rPr>
          <w:color w:val="000000"/>
        </w:rPr>
        <w:t>“</w:t>
      </w:r>
      <w:r>
        <w:rPr>
          <w:rFonts w:ascii="Times New Roman" w:hAnsi="Times New Roman"/>
          <w:color w:val="000000"/>
          <w:sz w:val="20"/>
        </w:rPr>
        <w:t xml:space="preserve">Derivative securities” are securities other than common stock that are speculative in nature because they permit a person to leverage their investment using a relatively small amount of money. Examples of derivative securities include “put options” and “call options.” These are different from employee options and other equity awards granted under our equity compensation plans, which are not derivative securities for purposes of our policy. </w:t>
      </w:r>
    </w:p>
    <w:p>
      <w:pPr>
        <w:pStyle w:val="TextBody"/>
        <w:bidi w:val="0"/>
        <w:spacing w:before="0" w:after="240"/>
        <w:jc w:val="both"/>
        <w:rPr/>
      </w:pPr>
      <w:r>
        <w:rPr>
          <w:color w:val="000000"/>
        </w:rPr>
        <w:t>“</w:t>
      </w:r>
      <w:r>
        <w:rPr>
          <w:rFonts w:ascii="Times New Roman" w:hAnsi="Times New Roman"/>
          <w:color w:val="000000"/>
          <w:sz w:val="20"/>
        </w:rPr>
        <w:t xml:space="preserve">Short selling”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15.</w:t>
      </w:r>
    </w:p>
    <w:p>
      <w:pPr>
        <w:pStyle w:val="TextBody"/>
        <w:bidi w:val="0"/>
        <w:spacing w:before="120" w:after="283"/>
        <w:jc w:val="left"/>
        <w:rPr/>
      </w:pPr>
      <w:r>
        <w:rPr>
          <w:rFonts w:ascii="Times New Roman" w:hAnsi="Times New Roman"/>
          <w:b/>
          <w:i/>
          <w:color w:val="000000"/>
          <w:sz w:val="20"/>
        </w:rPr>
        <w:t>Why does</w:t>
      </w:r>
      <w:r>
        <w:rPr>
          <w:color w:val="000000"/>
        </w:rPr>
        <w:t xml:space="preserve"> </w:t>
      </w:r>
      <w:r>
        <w:rPr>
          <w:rFonts w:ascii="Times New Roman" w:hAnsi="Times New Roman"/>
          <w:b/>
          <w:i/>
          <w:color w:val="000000"/>
          <w:sz w:val="20"/>
        </w:rPr>
        <w:t>Tectonic</w:t>
      </w:r>
      <w:r>
        <w:rPr>
          <w:color w:val="000000"/>
        </w:rPr>
        <w:t xml:space="preserve"> </w:t>
      </w:r>
      <w:r>
        <w:rPr>
          <w:rFonts w:ascii="Times New Roman" w:hAnsi="Times New Roman"/>
          <w:b/>
          <w:i/>
          <w:color w:val="000000"/>
          <w:sz w:val="20"/>
        </w:rPr>
        <w:t>prohibit trading in derivative securities and short selling?</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Many companies with volatile stock prices have adopted similar policies because of the temptation it represents to try to benefit from a relatively low-cost method of trading on short-term swings in stock prices, without actually holding the underlying common stock, and encourages speculative trading. We are dedicated to building stockholder value, short selling our common stock conflicts with our values and would not be well-received by our stockholders.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16.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Can I purchase Tectonicsecurities on margin or hold them in a margin account?</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Under our policies, you may not purchase our common stock on margin or hold it in a margin account at any time.</w:t>
      </w:r>
    </w:p>
    <w:p>
      <w:pPr>
        <w:pStyle w:val="TextBody"/>
        <w:bidi w:val="0"/>
        <w:spacing w:before="0" w:after="240"/>
        <w:jc w:val="both"/>
        <w:rPr>
          <w:color w:val="000000"/>
        </w:rPr>
      </w:pPr>
      <w:r>
        <w:rPr>
          <w:color w:val="000000"/>
        </w:rPr>
        <w:t>“</w:t>
      </w:r>
      <w:r>
        <w:rPr>
          <w:rFonts w:ascii="Times New Roman" w:hAnsi="Times New Roman"/>
          <w:color w:val="000000"/>
          <w:sz w:val="20"/>
        </w:rPr>
        <w:t>Purchasing on margin” is the use of borrowed money from a brokerage firm to purchase our securities. Holding our securities in a margin account includes holding the securities in an account in which the shares can be sold to pay a loan to the brokerage firm.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17.</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Why does Tectonic prohibit me from purchasing Tectonic securities on margin or holding them in a margin account?</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Margin loans are subject to a margin call whether or not you possess material nonpublic information at the time of the call. If a margin call were to be made at a time when you were aware of material nonpublic information and you could not or did not supply other collateral, you may be liable under insider trading laws because of the sale of the securities (through the margin call). The sale would be attributed to you even though the lender made the ultimate determination to sell. The U.S. Securities and Exchange Commission takes the view that you made the determination to not supply the additional collateral and you are therefore responsible for the sale.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18.</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Can I pledge my Tectonicshares as collateral for a personal loan?</w:t>
      </w:r>
    </w:p>
    <w:p>
      <w:pPr>
        <w:pStyle w:val="TextBody"/>
        <w:bidi w:val="0"/>
        <w:jc w:val="both"/>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No. Pledging your shares as collateral for a personal loan could cause the pledgee to transfer your shares during a trading blackout period or when you are otherwise aware of material nonpublic information. As a result, you may not pledge your shares as collateral for a loan.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19.</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Can I hedge my ownership position in Tectonic? </w:t>
      </w:r>
    </w:p>
    <w:p>
      <w:pPr>
        <w:pStyle w:val="TextBody"/>
        <w:bidi w:val="0"/>
        <w:spacing w:before="0" w:after="240"/>
        <w:jc w:val="both"/>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Hedging or monetization transactions, including through the use of financial instruments such as prepaid variable forwards, equity swaps, collars and exchange funds are prohibited by our insider trading policy. Since such hedging transactions allow you to continue to own Tectonic’s securities obtained through employee benefit plans or otherwise, but without the full risks and rewards of ownership, you may no longer have the same objectives as Tectonic’s other shareholders. Therefore, our insider trading policy prohibits you from engaging in any such transactions.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Can I exercise options granted to me under Tectonic’s equity compensation plans during a trading blackout period or when I possess material nonpublic information?</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Yes. You may exercise the options for cash (or via net exercise transaction with the company) and receive shares, but you may not sell the shares (even to pay the exercise price or any taxes due) during a trading blackout period or any time that you are aware of material nonpublic information. To be clear, you may </w:t>
      </w:r>
      <w:r>
        <w:rPr>
          <w:rFonts w:ascii="Times New Roman" w:hAnsi="Times New Roman"/>
          <w:color w:val="000000"/>
          <w:sz w:val="20"/>
          <w:u w:val="single"/>
        </w:rPr>
        <w:t>not</w:t>
      </w:r>
      <w:r>
        <w:rPr>
          <w:rFonts w:ascii="Times New Roman" w:hAnsi="Times New Roman"/>
          <w:color w:val="000000"/>
          <w:sz w:val="20"/>
        </w:rPr>
        <w:t xml:space="preserve"> effect a broker-assisted cashless exercise (these cashless exercise transactions include a market sale) during a trading blackout period or any time that you are aware of material nonpublic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21.</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Am I subject to trading blackout periods if I am no longer an employee or consultant of Tectonic?</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It depends. If your employment with Tectonic ends during a trading blackout period, you will be subject to the remainder of that trading blackout period. If your employment with Tectonic ends on a day that the trading window is open, you will not be subject to the next trading blackout period. However, even if you are not subject to our trading blackout period after you leave Tectonic, you should not trade in Tectonic securities if you are aware of material nonpublic information. That restriction stays with you as long as the information you possess is material and not publicly disseminated within the meaning of our insider trading policy.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22.</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What if I purchased publicly traded options or other derivative securities before I became a Tectonicemployee or consultant?</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The same rules apply as for employee stock options. You may exercise the publicly traded options at any time, but you may not sell the securities during a trading blackout period or at any time that you are aware of material nonpublic information.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23.</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May I own shares of a mutual fund that invests in Tectonic?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Yes.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24.</w:t>
      </w:r>
    </w:p>
    <w:p>
      <w:pPr>
        <w:pStyle w:val="TextBody"/>
        <w:bidi w:val="0"/>
        <w:spacing w:before="120" w:after="283"/>
        <w:jc w:val="left"/>
        <w:rPr/>
      </w:pPr>
      <w:r>
        <w:rPr>
          <w:rFonts w:ascii="Times New Roman" w:hAnsi="Times New Roman"/>
          <w:b/>
          <w:i/>
          <w:color w:val="000000"/>
          <w:sz w:val="20"/>
        </w:rPr>
        <w:t>Are mutual fund shares holding</w:t>
      </w:r>
      <w:r>
        <w:rPr>
          <w:color w:val="000000"/>
        </w:rPr>
        <w:t xml:space="preserve"> </w:t>
      </w:r>
      <w:r>
        <w:rPr>
          <w:rFonts w:ascii="Times New Roman" w:hAnsi="Times New Roman"/>
          <w:b/>
          <w:i/>
          <w:color w:val="000000"/>
          <w:sz w:val="20"/>
        </w:rPr>
        <w:t xml:space="preserve">Tectonic common stock subject to the trading blackout periods?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No. You may trade in mutual funds holding Tectonic common stock at any time.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May I use a “routine trading program” or “10b5-1 plan”?</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Yes, subject to the requirements discussed in our insider trading policy and any 10b5-1 trading plan guidelines. A routine trading program, also known as a 10b5-1 plan, allows you to set up a highly structured program with your stock broker where you specify ahead of time the date, price, and amount of securities to be traded. If you wish to create a 10b5-1 plan, please contact the Compliance Officer for approval at compliance@tectonictx.com.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What happens if I violate our insider trading policy?</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Violating our policies may result in disciplinary action, which may include termination of your employment or other relationship with Tectonic. In addition, you may be subject to criminal and civil sanctions.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27.</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Who should I contact if I have questions about our insider trading policy or specific trades?</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You should contact our Compliance Officer.</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1" w:name="tecx-ex21_1.htm"/>
      <w:bookmarkStart w:id="42" w:name="kstecxex21_1"/>
      <w:bookmarkEnd w:id="41"/>
      <w:bookmarkEnd w:id="42"/>
      <w:r>
        <w:rPr>
          <w:rFonts w:ascii="Times New Roman" w:hAnsi="Times New Roman"/>
          <w:b/>
          <w:color w:val="000000"/>
          <w:sz w:val="20"/>
        </w:rPr>
        <w:t>Exhibit 21.1</w:t>
      </w:r>
      <w:r>
        <w:br w:type="page"/>
      </w:r>
    </w:p>
    <w:p>
      <w:pPr>
        <w:pStyle w:val="TextBody"/>
        <w:bidi w:val="0"/>
        <w:jc w:val="center"/>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List of Subsidiaries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Subsidiary</w:t>
      </w:r>
      <w:r>
        <w:rPr>
          <w:rFonts w:ascii="Times New Roman" w:hAnsi="Times New Roman"/>
          <w:color w:val="000000"/>
          <w:sz w:val="20"/>
        </w:rPr>
        <w:t xml:space="preserve"> </w:t>
      </w:r>
      <w:r>
        <w:rPr>
          <w:rFonts w:ascii="Times New Roman" w:hAnsi="Times New Roman"/>
          <w:b/>
          <w:color w:val="000000"/>
          <w:sz w:val="20"/>
          <w:u w:val="single"/>
        </w:rPr>
        <w:t>Jurisdiction of incorporation or organization</w:t>
      </w:r>
    </w:p>
    <w:p>
      <w:pPr>
        <w:pStyle w:val="TextBody"/>
        <w:bidi w:val="0"/>
        <w:jc w:val="left"/>
        <w:rPr>
          <w:rFonts w:ascii="Times New Roman" w:hAnsi="Times New Roman"/>
          <w:color w:val="000000"/>
          <w:sz w:val="20"/>
        </w:rPr>
      </w:pPr>
      <w:r>
        <w:rPr>
          <w:rFonts w:ascii="Times New Roman" w:hAnsi="Times New Roman"/>
          <w:color w:val="000000"/>
          <w:sz w:val="20"/>
        </w:rPr>
        <w:t>AVROBIO Inc. Ontario, Canada</w:t>
      </w:r>
    </w:p>
    <w:p>
      <w:pPr>
        <w:pStyle w:val="TextBody"/>
        <w:bidi w:val="0"/>
        <w:jc w:val="left"/>
        <w:rPr>
          <w:rFonts w:ascii="Times New Roman" w:hAnsi="Times New Roman"/>
          <w:color w:val="000000"/>
          <w:sz w:val="20"/>
        </w:rPr>
      </w:pPr>
      <w:r>
        <w:rPr>
          <w:rFonts w:ascii="Times New Roman" w:hAnsi="Times New Roman"/>
          <w:color w:val="000000"/>
          <w:sz w:val="20"/>
        </w:rPr>
        <w:t>AVROBIO Australia Pty Ltd Australia</w:t>
      </w:r>
    </w:p>
    <w:p>
      <w:pPr>
        <w:pStyle w:val="TextBody"/>
        <w:bidi w:val="0"/>
        <w:jc w:val="left"/>
        <w:rPr>
          <w:rFonts w:ascii="Times New Roman" w:hAnsi="Times New Roman"/>
          <w:color w:val="000000"/>
          <w:sz w:val="20"/>
        </w:rPr>
      </w:pPr>
      <w:r>
        <w:rPr>
          <w:rFonts w:ascii="Times New Roman" w:hAnsi="Times New Roman"/>
          <w:color w:val="000000"/>
          <w:sz w:val="20"/>
        </w:rPr>
        <w:t>AVROBIO Securities Corporation Massachusetts</w:t>
      </w:r>
    </w:p>
    <w:p>
      <w:pPr>
        <w:pStyle w:val="TextBody"/>
        <w:bidi w:val="0"/>
        <w:jc w:val="left"/>
        <w:rPr>
          <w:rFonts w:ascii="Times New Roman" w:hAnsi="Times New Roman"/>
          <w:color w:val="000000"/>
          <w:sz w:val="20"/>
        </w:rPr>
      </w:pPr>
      <w:r>
        <w:rPr>
          <w:rFonts w:ascii="Times New Roman" w:hAnsi="Times New Roman"/>
          <w:color w:val="000000"/>
          <w:sz w:val="20"/>
        </w:rPr>
        <w:t>Tectonic Therapeutic Pty Ltd. Australia</w:t>
      </w:r>
    </w:p>
    <w:p>
      <w:pPr>
        <w:pStyle w:val="TextBody"/>
        <w:bidi w:val="0"/>
        <w:jc w:val="left"/>
        <w:rPr>
          <w:rFonts w:ascii="Times New Roman" w:hAnsi="Times New Roman"/>
          <w:color w:val="000000"/>
          <w:sz w:val="20"/>
        </w:rPr>
      </w:pPr>
      <w:r>
        <w:rPr>
          <w:rFonts w:ascii="Times New Roman" w:hAnsi="Times New Roman"/>
          <w:color w:val="000000"/>
          <w:sz w:val="20"/>
        </w:rPr>
        <w:t xml:space="preserve">Tectonic Therapeutic Securities Corp. Massachusetts </w:t>
      </w:r>
    </w:p>
    <w:p>
      <w:pPr>
        <w:pStyle w:val="TextBody"/>
        <w:bidi w:val="0"/>
        <w:jc w:val="left"/>
        <w:rPr>
          <w:rFonts w:ascii="Times New Roman" w:hAnsi="Times New Roman"/>
          <w:color w:val="000000"/>
          <w:sz w:val="20"/>
        </w:rPr>
      </w:pPr>
      <w:r>
        <w:rPr>
          <w:rFonts w:ascii="Times New Roman" w:hAnsi="Times New Roman"/>
          <w:color w:val="000000"/>
          <w:sz w:val="20"/>
        </w:rPr>
        <w:t>Tectonic Operating Company, Inc. Delaware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3" w:name="tecx-ex23_1.htm"/>
      <w:bookmarkStart w:id="44" w:name="kstecxex23_1"/>
      <w:bookmarkEnd w:id="43"/>
      <w:bookmarkEnd w:id="44"/>
      <w:r>
        <w:rPr>
          <w:rFonts w:ascii="Times New Roman" w:hAnsi="Times New Roman"/>
          <w:b/>
          <w:color w:val="000000"/>
          <w:sz w:val="20"/>
        </w:rPr>
        <w:t>Exhibit 23.1</w:t>
      </w:r>
      <w:r>
        <w:br w:type="page"/>
      </w:r>
    </w:p>
    <w:p>
      <w:pPr>
        <w:pStyle w:val="TextBody"/>
        <w:bidi w:val="0"/>
        <w:jc w:val="righ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CONSENT OF INDEPENDENT REGISTERED PUBLIC ACCOUNTING FIRM</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Registration Statement No. 333-281690 on Form S-8 of our report dated March 20, 2025, relating to the financial statements of Tectonic Therapeutic, Inc. appearing in this Annual Report on form 10-K for the year-ended December 31, 2024.</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rFonts w:ascii="Times New Roman" w:hAnsi="Times New Roman"/>
          <w:color w:val="000000"/>
          <w:sz w:val="20"/>
        </w:rPr>
      </w:pPr>
      <w:r>
        <w:rPr>
          <w:rFonts w:ascii="Times New Roman" w:hAnsi="Times New Roman"/>
          <w:color w:val="000000"/>
          <w:sz w:val="20"/>
        </w:rPr>
        <w:t>Boston, Massachusetts</w:t>
      </w:r>
    </w:p>
    <w:p>
      <w:pPr>
        <w:pStyle w:val="TextBody"/>
        <w:bidi w:val="0"/>
        <w:jc w:val="left"/>
        <w:rPr>
          <w:rFonts w:ascii="Times New Roman" w:hAnsi="Times New Roman"/>
          <w:color w:val="000000"/>
          <w:sz w:val="20"/>
        </w:rPr>
      </w:pPr>
      <w:r>
        <w:rPr>
          <w:rFonts w:ascii="Times New Roman" w:hAnsi="Times New Roman"/>
          <w:color w:val="000000"/>
          <w:sz w:val="20"/>
        </w:rPr>
        <w:t>March 20,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5" w:name="tecx-ex31_1.htm"/>
      <w:bookmarkStart w:id="46" w:name="kstecxex31_1"/>
      <w:bookmarkEnd w:id="45"/>
      <w:bookmarkEnd w:id="46"/>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Alise Reicin,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Annual Report on Form 10-K of Tectonic Therapeutic,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both"/>
        <w:rPr/>
      </w:pPr>
      <w:r>
        <w:rPr/>
        <w:t> </w:t>
      </w:r>
    </w:p>
    <w:tbl>
      <w:tblPr>
        <w:tblW w:w="5248" w:type="dxa"/>
        <w:jc w:val="left"/>
        <w:tblInd w:w="0" w:type="dxa"/>
        <w:tblLayout w:type="fixed"/>
        <w:tblCellMar>
          <w:top w:w="28" w:type="dxa"/>
          <w:left w:w="28" w:type="dxa"/>
          <w:bottom w:w="28" w:type="dxa"/>
          <w:right w:w="28" w:type="dxa"/>
        </w:tblCellMar>
      </w:tblPr>
      <w:tblGrid>
        <w:gridCol w:w="1891"/>
        <w:gridCol w:w="146"/>
        <w:gridCol w:w="321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Alise Reicin, M.D.</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Alise Reicin, M.D</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7" w:name="tecx-ex31_2.htm"/>
      <w:bookmarkStart w:id="48" w:name="kstecxex31_2"/>
      <w:bookmarkEnd w:id="47"/>
      <w:bookmarkEnd w:id="48"/>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Daniel Lochner,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Annual Report on Form 10-K of Tectonic Therapeutic,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both"/>
        <w:rPr/>
      </w:pPr>
      <w:r>
        <w:rPr/>
        <w:t> </w:t>
      </w:r>
    </w:p>
    <w:tbl>
      <w:tblPr>
        <w:tblW w:w="5683" w:type="dxa"/>
        <w:jc w:val="left"/>
        <w:tblInd w:w="0" w:type="dxa"/>
        <w:tblLayout w:type="fixed"/>
        <w:tblCellMar>
          <w:top w:w="28" w:type="dxa"/>
          <w:left w:w="28" w:type="dxa"/>
          <w:bottom w:w="28" w:type="dxa"/>
          <w:right w:w="28" w:type="dxa"/>
        </w:tblCellMar>
      </w:tblPr>
      <w:tblGrid>
        <w:gridCol w:w="1891"/>
        <w:gridCol w:w="146"/>
        <w:gridCol w:w="364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Lochner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Lochner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jc w:val="center"/>
              <w:rPr>
                <w:rFonts w:ascii="Times New Roman" w:hAnsi="Times New Roman"/>
                <w:i/>
                <w:color w:val="000000"/>
                <w:sz w:val="20"/>
              </w:rPr>
            </w:pPr>
            <w:r>
              <w:rPr>
                <w:rFonts w:ascii="Times New Roman" w:hAnsi="Times New Roman"/>
                <w:i/>
                <w:color w:val="000000"/>
                <w:sz w:val="20"/>
              </w:rPr>
              <w:t>(Principal Financial Officer and Principal</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9" w:name="tecx-ex32_1.htm"/>
      <w:bookmarkStart w:id="50" w:name="kstecxex32_1"/>
      <w:bookmarkEnd w:id="49"/>
      <w:bookmarkEnd w:id="50"/>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CERTIFICATIONS OF PRINCIPAL EXECUTIVE OFFICER AND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In connection with the Annual Report of Tectonic Therapeutic, Inc. (the “Company”) on Form 10-K for the year ended December 31, 2024 as filed with the Securities and Exchange Commission on the date hereof (the “Report”), I, Alise Reicin, hereby certify, pursuant to the requirement set forth in Rule 13a-14(b) of the Securities Exchange Act of 1934, as amended (the “Exchange Act”), and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to which this Certificate is attached as Exhibit 32.1,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The information contained in the Report fairly presents, in all material respects, the financial condition and result of operations of the Company.</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4378"/>
        <w:gridCol w:w="3268"/>
        <w:gridCol w:w="2559"/>
      </w:tblGrid>
      <w:tr>
        <w:trPr/>
        <w:tc>
          <w:tcPr>
            <w:tcW w:w="4378" w:type="dxa"/>
            <w:tcBorders/>
            <w:vAlign w:val="center"/>
          </w:tcPr>
          <w:p>
            <w:pPr>
              <w:pStyle w:val="TableContents"/>
              <w:bidi w:val="0"/>
              <w:spacing w:before="0" w:after="283"/>
              <w:jc w:val="left"/>
              <w:rPr>
                <w:sz w:val="4"/>
                <w:szCs w:val="4"/>
              </w:rPr>
            </w:pPr>
            <w:r>
              <w:rPr>
                <w:sz w:val="4"/>
                <w:szCs w:val="4"/>
              </w:rPr>
            </w:r>
          </w:p>
        </w:tc>
        <w:tc>
          <w:tcPr>
            <w:tcW w:w="3268"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r>
      <w:tr>
        <w:trPr/>
        <w:tc>
          <w:tcPr>
            <w:tcW w:w="4378"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color w:val="000000"/>
                <w:sz w:val="20"/>
              </w:rPr>
            </w:pPr>
            <w:r>
              <w:rPr>
                <w:rFonts w:ascii="Times New Roman" w:hAnsi="Times New Roman"/>
                <w:color w:val="000000"/>
                <w:sz w:val="20"/>
              </w:rPr>
              <w:t>Date: March 20, 2025</w:t>
            </w:r>
          </w:p>
        </w:tc>
        <w:tc>
          <w:tcPr>
            <w:tcW w:w="3268" w:type="dxa"/>
            <w:tcBorders/>
            <w:tcMar>
              <w:top w:w="0" w:type="dxa"/>
              <w:left w:w="0" w:type="dxa"/>
              <w:bottom w:w="0" w:type="dxa"/>
              <w:right w:w="0" w:type="dxa"/>
            </w:tcMar>
            <w:vAlign w:val="center"/>
          </w:tcPr>
          <w:p>
            <w:pPr>
              <w:pStyle w:val="TableContents"/>
              <w:bidi w:val="0"/>
              <w:spacing w:before="0" w:after="283"/>
              <w:ind w:left="0" w:right="0" w:firstLine="2880"/>
              <w:jc w:val="right"/>
              <w:rPr>
                <w:rFonts w:ascii="Times New Roman" w:hAnsi="Times New Roman"/>
                <w:color w:val="000000"/>
                <w:sz w:val="20"/>
              </w:rPr>
            </w:pPr>
            <w:r>
              <w:rPr>
                <w:rFonts w:ascii="Times New Roman" w:hAnsi="Times New Roman"/>
                <w:color w:val="000000"/>
                <w:sz w:val="20"/>
              </w:rPr>
              <w:t>By:</w:t>
            </w:r>
          </w:p>
        </w:tc>
        <w:tc>
          <w:tcPr>
            <w:tcW w:w="255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Alise Reicin, M.D. </w:t>
            </w:r>
          </w:p>
        </w:tc>
      </w:tr>
      <w:tr>
        <w:trPr/>
        <w:tc>
          <w:tcPr>
            <w:tcW w:w="4378" w:type="dxa"/>
            <w:tcBorders/>
            <w:tcMar>
              <w:top w:w="0" w:type="dxa"/>
              <w:left w:w="0" w:type="dxa"/>
              <w:bottom w:w="0" w:type="dxa"/>
              <w:right w:w="0" w:type="dxa"/>
            </w:tcMar>
            <w:vAlign w:val="center"/>
          </w:tcPr>
          <w:p>
            <w:pPr>
              <w:pStyle w:val="TableContents"/>
              <w:bidi w:val="0"/>
              <w:spacing w:before="0" w:after="283"/>
              <w:jc w:val="left"/>
              <w:rPr/>
            </w:pPr>
            <w:r>
              <w:rPr/>
              <w:t> </w:t>
            </w:r>
          </w:p>
        </w:tc>
        <w:tc>
          <w:tcPr>
            <w:tcW w:w="3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5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Alise Reicin, M.D.</w:t>
            </w:r>
          </w:p>
        </w:tc>
      </w:tr>
      <w:tr>
        <w:trPr/>
        <w:tc>
          <w:tcPr>
            <w:tcW w:w="4378" w:type="dxa"/>
            <w:tcBorders/>
            <w:tcMar>
              <w:top w:w="0" w:type="dxa"/>
              <w:left w:w="0" w:type="dxa"/>
              <w:bottom w:w="0" w:type="dxa"/>
              <w:right w:w="0" w:type="dxa"/>
            </w:tcMar>
            <w:vAlign w:val="center"/>
          </w:tcPr>
          <w:p>
            <w:pPr>
              <w:pStyle w:val="TableContents"/>
              <w:bidi w:val="0"/>
              <w:spacing w:before="0" w:after="283"/>
              <w:jc w:val="left"/>
              <w:rPr/>
            </w:pPr>
            <w:r>
              <w:rPr/>
              <w:t> </w:t>
            </w:r>
          </w:p>
        </w:tc>
        <w:tc>
          <w:tcPr>
            <w:tcW w:w="3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5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4378" w:type="dxa"/>
            <w:tcBorders/>
            <w:tcMar>
              <w:top w:w="0" w:type="dxa"/>
              <w:left w:w="0" w:type="dxa"/>
              <w:bottom w:w="0" w:type="dxa"/>
              <w:right w:w="0" w:type="dxa"/>
            </w:tcMar>
            <w:vAlign w:val="center"/>
          </w:tcPr>
          <w:p>
            <w:pPr>
              <w:pStyle w:val="TableContents"/>
              <w:bidi w:val="0"/>
              <w:spacing w:before="0" w:after="283"/>
              <w:jc w:val="left"/>
              <w:rPr/>
            </w:pPr>
            <w:r>
              <w:rPr/>
              <w:t> </w:t>
            </w:r>
          </w:p>
        </w:tc>
        <w:tc>
          <w:tcPr>
            <w:tcW w:w="3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5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4378" w:type="dxa"/>
            <w:tcBorders/>
            <w:tcMar>
              <w:top w:w="0" w:type="dxa"/>
              <w:left w:w="0" w:type="dxa"/>
              <w:bottom w:w="0" w:type="dxa"/>
              <w:right w:w="0" w:type="dxa"/>
            </w:tcMar>
            <w:vAlign w:val="center"/>
          </w:tcPr>
          <w:p>
            <w:pPr>
              <w:pStyle w:val="TableContents"/>
              <w:bidi w:val="0"/>
              <w:spacing w:before="0" w:after="283"/>
              <w:jc w:val="left"/>
              <w:rPr/>
            </w:pPr>
            <w:r>
              <w:rPr/>
              <w:t> </w:t>
            </w:r>
          </w:p>
        </w:tc>
        <w:tc>
          <w:tcPr>
            <w:tcW w:w="3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559"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the Company under the Securities Act of 1933, as amended, or the Exchange Act (whether made before or after the date of the Report),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1" w:name="tecx-ex32_2.htm"/>
      <w:bookmarkStart w:id="52" w:name="kstecxex32_2"/>
      <w:bookmarkEnd w:id="51"/>
      <w:bookmarkEnd w:id="52"/>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CERTIFICATIONS OF PRINCIPAL EXECUTIVE OFFICER AND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In connection with the Annual Report of Tectonic Therapeutic, Inc. (the “Company”) on Form 10-K for the year ended December 31, 2024 as filed with the Securities and Exchange Commission on the date hereof (the “Report”), I, Daniel Lochner, hereby certify, pursuant to the requirement set forth in Rule 13a-14(b) of the Securities Exchange Act of 1934, as amended (the “Exchange Act”), and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to which this Certificate is attached as Exhibit 32.1, fully complies with the requirements of Section 13(a) or 15(d) of the Exchange Act;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The information contained in the Report fairly presents, in all material respects, the financial condition and result of operations of the Company.</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4264"/>
        <w:gridCol w:w="3263"/>
        <w:gridCol w:w="2678"/>
      </w:tblGrid>
      <w:tr>
        <w:trPr/>
        <w:tc>
          <w:tcPr>
            <w:tcW w:w="4264" w:type="dxa"/>
            <w:tcBorders/>
            <w:vAlign w:val="center"/>
          </w:tcPr>
          <w:p>
            <w:pPr>
              <w:pStyle w:val="TableContents"/>
              <w:bidi w:val="0"/>
              <w:spacing w:before="0" w:after="283"/>
              <w:jc w:val="left"/>
              <w:rPr>
                <w:sz w:val="4"/>
                <w:szCs w:val="4"/>
              </w:rPr>
            </w:pPr>
            <w:r>
              <w:rPr>
                <w:sz w:val="4"/>
                <w:szCs w:val="4"/>
              </w:rPr>
            </w:r>
          </w:p>
        </w:tc>
        <w:tc>
          <w:tcPr>
            <w:tcW w:w="3263"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r>
      <w:tr>
        <w:trPr/>
        <w:tc>
          <w:tcPr>
            <w:tcW w:w="4264"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color w:val="000000"/>
                <w:sz w:val="20"/>
              </w:rPr>
            </w:pPr>
            <w:r>
              <w:rPr>
                <w:rFonts w:ascii="Times New Roman" w:hAnsi="Times New Roman"/>
                <w:color w:val="000000"/>
                <w:sz w:val="20"/>
              </w:rPr>
              <w:t>Date: March 20, 2025</w:t>
            </w:r>
          </w:p>
        </w:tc>
        <w:tc>
          <w:tcPr>
            <w:tcW w:w="3263" w:type="dxa"/>
            <w:tcBorders/>
            <w:tcMar>
              <w:top w:w="0" w:type="dxa"/>
              <w:left w:w="0" w:type="dxa"/>
              <w:bottom w:w="0" w:type="dxa"/>
              <w:right w:w="0" w:type="dxa"/>
            </w:tcMar>
            <w:vAlign w:val="center"/>
          </w:tcPr>
          <w:p>
            <w:pPr>
              <w:pStyle w:val="TableContents"/>
              <w:bidi w:val="0"/>
              <w:spacing w:before="0" w:after="283"/>
              <w:ind w:left="0" w:right="0" w:firstLine="2880"/>
              <w:jc w:val="right"/>
              <w:rPr>
                <w:rFonts w:ascii="Times New Roman" w:hAnsi="Times New Roman"/>
                <w:color w:val="000000"/>
                <w:sz w:val="20"/>
              </w:rPr>
            </w:pPr>
            <w:r>
              <w:rPr>
                <w:rFonts w:ascii="Times New Roman" w:hAnsi="Times New Roman"/>
                <w:color w:val="000000"/>
                <w:sz w:val="20"/>
              </w:rPr>
              <w:t>By:</w:t>
            </w:r>
          </w:p>
        </w:tc>
        <w:tc>
          <w:tcPr>
            <w:tcW w:w="267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Lochner</w:t>
            </w:r>
          </w:p>
        </w:tc>
      </w:tr>
      <w:tr>
        <w:trPr/>
        <w:tc>
          <w:tcPr>
            <w:tcW w:w="4264" w:type="dxa"/>
            <w:tcBorders/>
            <w:tcMar>
              <w:top w:w="0" w:type="dxa"/>
              <w:left w:w="0" w:type="dxa"/>
              <w:bottom w:w="0" w:type="dxa"/>
              <w:right w:w="0" w:type="dxa"/>
            </w:tcMar>
            <w:vAlign w:val="center"/>
          </w:tcPr>
          <w:p>
            <w:pPr>
              <w:pStyle w:val="TableContents"/>
              <w:bidi w:val="0"/>
              <w:spacing w:before="0" w:after="283"/>
              <w:jc w:val="left"/>
              <w:rPr/>
            </w:pPr>
            <w:r>
              <w:rPr/>
              <w:t> </w:t>
            </w:r>
          </w:p>
        </w:tc>
        <w:tc>
          <w:tcPr>
            <w:tcW w:w="3263" w:type="dxa"/>
            <w:tcBorders/>
            <w:tcMar>
              <w:top w:w="0" w:type="dxa"/>
              <w:left w:w="0" w:type="dxa"/>
              <w:bottom w:w="0" w:type="dxa"/>
              <w:right w:w="0" w:type="dxa"/>
            </w:tcMar>
            <w:vAlign w:val="center"/>
          </w:tcPr>
          <w:p>
            <w:pPr>
              <w:pStyle w:val="TableContents"/>
              <w:bidi w:val="0"/>
              <w:spacing w:before="0" w:after="283"/>
              <w:jc w:val="left"/>
              <w:rPr/>
            </w:pPr>
            <w:r>
              <w:rPr/>
              <w:t> </w:t>
            </w:r>
          </w:p>
        </w:tc>
        <w:tc>
          <w:tcPr>
            <w:tcW w:w="26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Lochner</w:t>
            </w:r>
          </w:p>
        </w:tc>
      </w:tr>
      <w:tr>
        <w:trPr/>
        <w:tc>
          <w:tcPr>
            <w:tcW w:w="4264" w:type="dxa"/>
            <w:tcBorders/>
            <w:tcMar>
              <w:top w:w="0" w:type="dxa"/>
              <w:left w:w="0" w:type="dxa"/>
              <w:bottom w:w="0" w:type="dxa"/>
              <w:right w:w="0" w:type="dxa"/>
            </w:tcMar>
            <w:vAlign w:val="center"/>
          </w:tcPr>
          <w:p>
            <w:pPr>
              <w:pStyle w:val="TableContents"/>
              <w:bidi w:val="0"/>
              <w:spacing w:before="0" w:after="283"/>
              <w:jc w:val="left"/>
              <w:rPr/>
            </w:pPr>
            <w:r>
              <w:rPr/>
              <w:t> </w:t>
            </w:r>
          </w:p>
        </w:tc>
        <w:tc>
          <w:tcPr>
            <w:tcW w:w="3263" w:type="dxa"/>
            <w:tcBorders/>
            <w:tcMar>
              <w:top w:w="0" w:type="dxa"/>
              <w:left w:w="0" w:type="dxa"/>
              <w:bottom w:w="0" w:type="dxa"/>
              <w:right w:w="0" w:type="dxa"/>
            </w:tcMar>
            <w:vAlign w:val="center"/>
          </w:tcPr>
          <w:p>
            <w:pPr>
              <w:pStyle w:val="TableContents"/>
              <w:bidi w:val="0"/>
              <w:spacing w:before="0" w:after="283"/>
              <w:jc w:val="left"/>
              <w:rPr/>
            </w:pPr>
            <w:r>
              <w:rPr/>
              <w:t> </w:t>
            </w:r>
          </w:p>
        </w:tc>
        <w:tc>
          <w:tcPr>
            <w:tcW w:w="26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4264" w:type="dxa"/>
            <w:tcBorders/>
            <w:tcMar>
              <w:top w:w="0" w:type="dxa"/>
              <w:left w:w="0" w:type="dxa"/>
              <w:bottom w:w="0" w:type="dxa"/>
              <w:right w:w="0" w:type="dxa"/>
            </w:tcMar>
            <w:vAlign w:val="center"/>
          </w:tcPr>
          <w:p>
            <w:pPr>
              <w:pStyle w:val="TableContents"/>
              <w:bidi w:val="0"/>
              <w:spacing w:before="0" w:after="283"/>
              <w:jc w:val="left"/>
              <w:rPr/>
            </w:pPr>
            <w:r>
              <w:rPr/>
              <w:t> </w:t>
            </w:r>
          </w:p>
        </w:tc>
        <w:tc>
          <w:tcPr>
            <w:tcW w:w="3263" w:type="dxa"/>
            <w:tcBorders/>
            <w:tcMar>
              <w:top w:w="0" w:type="dxa"/>
              <w:left w:w="0" w:type="dxa"/>
              <w:bottom w:w="0" w:type="dxa"/>
              <w:right w:w="0" w:type="dxa"/>
            </w:tcMar>
            <w:vAlign w:val="center"/>
          </w:tcPr>
          <w:p>
            <w:pPr>
              <w:pStyle w:val="TableContents"/>
              <w:bidi w:val="0"/>
              <w:spacing w:before="0" w:after="283"/>
              <w:jc w:val="left"/>
              <w:rPr/>
            </w:pPr>
            <w:r>
              <w:rPr/>
              <w:t> </w:t>
            </w:r>
          </w:p>
        </w:tc>
        <w:tc>
          <w:tcPr>
            <w:tcW w:w="2678" w:type="dxa"/>
            <w:tcBorders/>
            <w:tcMar>
              <w:top w:w="0" w:type="dxa"/>
              <w:left w:w="0" w:type="dxa"/>
              <w:bottom w:w="0" w:type="dxa"/>
              <w:right w:w="0" w:type="dxa"/>
            </w:tcMar>
            <w:vAlign w:val="center"/>
          </w:tcPr>
          <w:p>
            <w:pPr>
              <w:pStyle w:val="TableContents"/>
              <w:bidi w:val="0"/>
              <w:jc w:val="center"/>
              <w:rPr>
                <w:rFonts w:ascii="Times New Roman" w:hAnsi="Times New Roman"/>
                <w:i/>
                <w:color w:val="000000"/>
                <w:sz w:val="20"/>
              </w:rPr>
            </w:pPr>
            <w:r>
              <w:rPr>
                <w:rFonts w:ascii="Times New Roman" w:hAnsi="Times New Roman"/>
                <w:i/>
                <w:color w:val="000000"/>
                <w:sz w:val="20"/>
              </w:rPr>
              <w:t>(Principal Financial Officer and Principal</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Accounting Officer)</w:t>
            </w:r>
          </w:p>
        </w:tc>
      </w:tr>
      <w:tr>
        <w:trPr/>
        <w:tc>
          <w:tcPr>
            <w:tcW w:w="4264" w:type="dxa"/>
            <w:tcBorders/>
            <w:tcMar>
              <w:top w:w="0" w:type="dxa"/>
              <w:left w:w="0" w:type="dxa"/>
              <w:bottom w:w="0" w:type="dxa"/>
              <w:right w:w="0" w:type="dxa"/>
            </w:tcMar>
            <w:vAlign w:val="center"/>
          </w:tcPr>
          <w:p>
            <w:pPr>
              <w:pStyle w:val="TableContents"/>
              <w:bidi w:val="0"/>
              <w:spacing w:before="0" w:after="283"/>
              <w:jc w:val="left"/>
              <w:rPr/>
            </w:pPr>
            <w:r>
              <w:rPr/>
              <w:t> </w:t>
            </w:r>
          </w:p>
        </w:tc>
        <w:tc>
          <w:tcPr>
            <w:tcW w:w="3263" w:type="dxa"/>
            <w:tcBorders/>
            <w:tcMar>
              <w:top w:w="0" w:type="dxa"/>
              <w:left w:w="0" w:type="dxa"/>
              <w:bottom w:w="0" w:type="dxa"/>
              <w:right w:w="0" w:type="dxa"/>
            </w:tcMar>
            <w:vAlign w:val="center"/>
          </w:tcPr>
          <w:p>
            <w:pPr>
              <w:pStyle w:val="TableContents"/>
              <w:bidi w:val="0"/>
              <w:spacing w:before="0" w:after="283"/>
              <w:jc w:val="left"/>
              <w:rPr/>
            </w:pPr>
            <w:r>
              <w:rPr/>
              <w:t> </w:t>
            </w:r>
          </w:p>
        </w:tc>
        <w:tc>
          <w:tcPr>
            <w:tcW w:w="2678"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the Company under the Securities Act of 1933, as amended, or the Exchange Act (whether made before or after the date of the Report),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20"/>
        <w:jc w:val="right"/>
        <w:rPr>
          <w:rFonts w:ascii="Times New Roman" w:hAnsi="Times New Roman"/>
          <w:b/>
          <w:color w:val="000000"/>
          <w:sz w:val="20"/>
        </w:rPr>
      </w:pPr>
      <w:bookmarkStart w:id="53" w:name="tecx-ex97_1.htm"/>
      <w:bookmarkStart w:id="54" w:name="kstecxex97_1"/>
      <w:bookmarkEnd w:id="53"/>
      <w:bookmarkEnd w:id="54"/>
      <w:r>
        <w:rPr>
          <w:rFonts w:ascii="Times New Roman" w:hAnsi="Times New Roman"/>
          <w:b/>
          <w:color w:val="000000"/>
          <w:sz w:val="20"/>
        </w:rPr>
        <w:t>Exhibit 97.1</w:t>
      </w:r>
      <w:r>
        <w:br w:type="page"/>
      </w:r>
    </w:p>
    <w:p>
      <w:pPr>
        <w:pStyle w:val="TextBody"/>
        <w:bidi w:val="0"/>
        <w:spacing w:before="0" w:after="220"/>
        <w:jc w:val="center"/>
        <w:rPr>
          <w:rFonts w:ascii="Times New Roman" w:hAnsi="Times New Roman"/>
          <w:b/>
          <w:color w:val="000000"/>
          <w:sz w:val="20"/>
        </w:rPr>
      </w:pPr>
      <w:r>
        <w:rPr>
          <w:rFonts w:ascii="Times New Roman" w:hAnsi="Times New Roman"/>
          <w:b/>
          <w:color w:val="000000"/>
          <w:sz w:val="20"/>
        </w:rPr>
        <w:t>TECTONIC THERAPEUTIC, INC.</w:t>
      </w:r>
    </w:p>
    <w:p>
      <w:pPr>
        <w:pStyle w:val="TextBody"/>
        <w:bidi w:val="0"/>
        <w:spacing w:before="0" w:after="220"/>
        <w:jc w:val="center"/>
        <w:rPr>
          <w:rFonts w:ascii="Times New Roman" w:hAnsi="Times New Roman"/>
          <w:b/>
          <w:smallCaps/>
          <w:color w:val="000000"/>
          <w:sz w:val="20"/>
        </w:rPr>
      </w:pPr>
      <w:r>
        <w:rPr>
          <w:rFonts w:ascii="Times New Roman" w:hAnsi="Times New Roman"/>
          <w:b/>
          <w:smallCaps/>
          <w:color w:val="000000"/>
          <w:sz w:val="20"/>
        </w:rPr>
        <w:t>Incentive Compensation Recoupment Policy</w:t>
      </w:r>
    </w:p>
    <w:p>
      <w:pPr>
        <w:pStyle w:val="TextBody"/>
        <w:bidi w:val="0"/>
        <w:spacing w:before="120" w:after="283"/>
        <w:jc w:val="both"/>
        <w:rPr>
          <w:rFonts w:ascii="Times New Roman" w:hAnsi="Times New Roman"/>
          <w:b/>
          <w:smallCaps/>
          <w:color w:val="000000"/>
          <w:sz w:val="20"/>
        </w:rPr>
      </w:pPr>
      <w:r>
        <w:rPr>
          <w:rFonts w:ascii="Times New Roman" w:hAnsi="Times New Roman"/>
          <w:b/>
          <w:smallCaps/>
          <w:color w:val="000000"/>
          <w:sz w:val="20"/>
        </w:rPr>
        <w:t>1.</w:t>
      </w:r>
    </w:p>
    <w:p>
      <w:pPr>
        <w:pStyle w:val="TextBody"/>
        <w:bidi w:val="0"/>
        <w:spacing w:before="120" w:after="283"/>
        <w:jc w:val="both"/>
        <w:rPr>
          <w:rFonts w:ascii="Times New Roman" w:hAnsi="Times New Roman"/>
          <w:b/>
          <w:smallCaps/>
          <w:color w:val="000000"/>
          <w:sz w:val="20"/>
        </w:rPr>
      </w:pPr>
      <w:r>
        <w:rPr>
          <w:rFonts w:ascii="Times New Roman" w:hAnsi="Times New Roman"/>
          <w:b/>
          <w:smallCaps/>
          <w:color w:val="000000"/>
          <w:sz w:val="20"/>
        </w:rPr>
        <w:t>Introduction</w:t>
      </w:r>
    </w:p>
    <w:p>
      <w:pPr>
        <w:pStyle w:val="TextBody"/>
        <w:bidi w:val="0"/>
        <w:spacing w:before="0" w:after="220"/>
        <w:jc w:val="both"/>
        <w:rPr>
          <w:rFonts w:ascii="Times New Roman" w:hAnsi="Times New Roman"/>
          <w:sz w:val="20"/>
        </w:rPr>
      </w:pPr>
      <w:r>
        <w:rPr>
          <w:rFonts w:ascii="Times New Roman" w:hAnsi="Times New Roman"/>
          <w:color w:val="000000"/>
          <w:sz w:val="20"/>
        </w:rPr>
        <w:t>The Compensation Committee (the “</w:t>
      </w:r>
      <w:r>
        <w:rPr>
          <w:rFonts w:ascii="Times New Roman" w:hAnsi="Times New Roman"/>
          <w:b/>
          <w:i/>
          <w:color w:val="000000"/>
          <w:sz w:val="20"/>
        </w:rPr>
        <w:t>Compensation Committee</w:t>
      </w:r>
      <w:r>
        <w:rPr>
          <w:rFonts w:ascii="Times New Roman" w:hAnsi="Times New Roman"/>
          <w:color w:val="000000"/>
          <w:sz w:val="20"/>
        </w:rPr>
        <w:t>”) of the Board of Directors (the “</w:t>
      </w:r>
      <w:r>
        <w:rPr>
          <w:rFonts w:ascii="Times New Roman" w:hAnsi="Times New Roman"/>
          <w:b/>
          <w:i/>
          <w:color w:val="000000"/>
          <w:sz w:val="20"/>
        </w:rPr>
        <w:t>Board</w:t>
      </w:r>
      <w:r>
        <w:rPr>
          <w:rFonts w:ascii="Times New Roman" w:hAnsi="Times New Roman"/>
          <w:color w:val="000000"/>
          <w:sz w:val="20"/>
        </w:rPr>
        <w:t>”) of TECTONIC THERAPEUTIC, INC., a Delaware corporation (the “</w:t>
      </w:r>
      <w:r>
        <w:rPr>
          <w:rFonts w:ascii="Times New Roman" w:hAnsi="Times New Roman"/>
          <w:b/>
          <w:i/>
          <w:color w:val="000000"/>
          <w:sz w:val="20"/>
        </w:rPr>
        <w:t>Company</w:t>
      </w:r>
      <w:r>
        <w:rPr>
          <w:rFonts w:ascii="Times New Roman" w:hAnsi="Times New Roman"/>
          <w:color w:val="000000"/>
          <w:sz w:val="20"/>
        </w:rPr>
        <w:t>”), has determined that it is in the best interests of the Company and its stockholders to adopt this Incentive Compensation Recoupment Policy (this “</w:t>
      </w:r>
      <w:r>
        <w:rPr>
          <w:rFonts w:ascii="Times New Roman" w:hAnsi="Times New Roman"/>
          <w:b/>
          <w:i/>
          <w:color w:val="000000"/>
          <w:sz w:val="20"/>
        </w:rPr>
        <w:t>Policy</w:t>
      </w:r>
      <w:r>
        <w:rPr>
          <w:rFonts w:ascii="Times New Roman" w:hAnsi="Times New Roman"/>
          <w:color w:val="000000"/>
          <w:sz w:val="20"/>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pStyle w:val="TextBody"/>
        <w:bidi w:val="0"/>
        <w:spacing w:before="0" w:after="220"/>
        <w:jc w:val="both"/>
        <w:rPr>
          <w:rFonts w:ascii="Times New Roman" w:hAnsi="Times New Roman"/>
          <w:sz w:val="20"/>
        </w:rPr>
      </w:pPr>
      <w:r>
        <w:rPr>
          <w:rFonts w:ascii="Times New Roman" w:hAnsi="Times New Roman"/>
          <w:color w:val="000000"/>
          <w:sz w:val="20"/>
        </w:rPr>
        <w:t>This Policy is designed to comply with, and shall be interpreted to be consistent with, Section 10D of the Exchange Act, Rule 10D-1 promulgated thereunder (“</w:t>
      </w:r>
      <w:r>
        <w:rPr>
          <w:rFonts w:ascii="Times New Roman" w:hAnsi="Times New Roman"/>
          <w:b/>
          <w:i/>
          <w:color w:val="000000"/>
          <w:sz w:val="20"/>
        </w:rPr>
        <w:t>Rule 10D-1</w:t>
      </w:r>
      <w:r>
        <w:rPr>
          <w:rFonts w:ascii="Times New Roman" w:hAnsi="Times New Roman"/>
          <w:color w:val="000000"/>
          <w:sz w:val="20"/>
        </w:rPr>
        <w:t>”) and Nasdaq Listing Rule 5608 (the “</w:t>
      </w:r>
      <w:r>
        <w:rPr>
          <w:rFonts w:ascii="Times New Roman" w:hAnsi="Times New Roman"/>
          <w:b/>
          <w:i/>
          <w:color w:val="000000"/>
          <w:sz w:val="20"/>
        </w:rPr>
        <w:t>Listing Standards</w:t>
      </w:r>
      <w:r>
        <w:rPr>
          <w:rFonts w:ascii="Times New Roman" w:hAnsi="Times New Roman"/>
          <w:color w:val="000000"/>
          <w:sz w:val="20"/>
        </w:rPr>
        <w:t>”).</w:t>
      </w:r>
    </w:p>
    <w:p>
      <w:pPr>
        <w:pStyle w:val="TextBody"/>
        <w:bidi w:val="0"/>
        <w:spacing w:before="120" w:after="283"/>
        <w:jc w:val="both"/>
        <w:rPr>
          <w:rFonts w:ascii="Times New Roman" w:hAnsi="Times New Roman"/>
          <w:b/>
          <w:smallCaps/>
          <w:color w:val="000000"/>
          <w:sz w:val="20"/>
        </w:rPr>
      </w:pPr>
      <w:r>
        <w:rPr>
          <w:rFonts w:ascii="Times New Roman" w:hAnsi="Times New Roman"/>
          <w:b/>
          <w:smallCaps/>
          <w:color w:val="000000"/>
          <w:sz w:val="20"/>
        </w:rPr>
        <w:t>2.</w:t>
      </w:r>
    </w:p>
    <w:p>
      <w:pPr>
        <w:pStyle w:val="TextBody"/>
        <w:bidi w:val="0"/>
        <w:spacing w:before="120" w:after="283"/>
        <w:jc w:val="both"/>
        <w:rPr>
          <w:rFonts w:ascii="Times New Roman" w:hAnsi="Times New Roman"/>
          <w:b/>
          <w:smallCaps/>
          <w:color w:val="000000"/>
          <w:sz w:val="20"/>
        </w:rPr>
      </w:pPr>
      <w:r>
        <w:rPr>
          <w:rFonts w:ascii="Times New Roman" w:hAnsi="Times New Roman"/>
          <w:b/>
          <w:smallCaps/>
          <w:color w:val="000000"/>
          <w:sz w:val="20"/>
        </w:rPr>
        <w:t>Effective Date</w:t>
      </w:r>
    </w:p>
    <w:p>
      <w:pPr>
        <w:pStyle w:val="TextBody"/>
        <w:bidi w:val="0"/>
        <w:spacing w:before="0" w:after="220"/>
        <w:jc w:val="both"/>
        <w:rPr>
          <w:rFonts w:ascii="Times New Roman" w:hAnsi="Times New Roman"/>
          <w:sz w:val="20"/>
        </w:rPr>
      </w:pPr>
      <w:r>
        <w:rPr>
          <w:rFonts w:ascii="Times New Roman" w:hAnsi="Times New Roman"/>
          <w:color w:val="000000"/>
          <w:sz w:val="20"/>
        </w:rPr>
        <w:t>This Policy shall apply to all Incentive Compensation that is received by a Covered Officer on or after CLOSIN DATE OF MERGER (the “</w:t>
      </w:r>
      <w:r>
        <w:rPr>
          <w:rFonts w:ascii="Times New Roman" w:hAnsi="Times New Roman"/>
          <w:b/>
          <w:i/>
          <w:color w:val="000000"/>
          <w:sz w:val="20"/>
        </w:rPr>
        <w:t>Effective Date</w:t>
      </w:r>
      <w:r>
        <w:rPr>
          <w:rFonts w:ascii="Times New Roman" w:hAnsi="Times New Roman"/>
          <w:color w:val="000000"/>
          <w:sz w:val="20"/>
        </w:rPr>
        <w:t>”). Incentive Compensation is deemed “</w:t>
      </w:r>
      <w:r>
        <w:rPr>
          <w:rFonts w:ascii="Times New Roman" w:hAnsi="Times New Roman"/>
          <w:b/>
          <w:i/>
          <w:color w:val="000000"/>
          <w:sz w:val="20"/>
        </w:rPr>
        <w:t>received</w:t>
      </w:r>
      <w:r>
        <w:rPr>
          <w:rFonts w:ascii="Times New Roman" w:hAnsi="Times New Roman"/>
          <w:color w:val="000000"/>
          <w:sz w:val="20"/>
        </w:rPr>
        <w:t>” in the Company’s fiscal period in which the Financial Reporting Measure specified in the Incentive Compensation award is attained, even if the payment or grant of such Incentive Compensation occurs after the end of that period.</w:t>
      </w:r>
    </w:p>
    <w:p>
      <w:pPr>
        <w:pStyle w:val="TextBody"/>
        <w:bidi w:val="0"/>
        <w:spacing w:before="120" w:after="283"/>
        <w:jc w:val="both"/>
        <w:rPr>
          <w:rFonts w:ascii="Times New Roman" w:hAnsi="Times New Roman"/>
          <w:b/>
          <w:smallCaps/>
          <w:color w:val="000000"/>
          <w:sz w:val="20"/>
        </w:rPr>
      </w:pPr>
      <w:r>
        <w:rPr>
          <w:rFonts w:ascii="Times New Roman" w:hAnsi="Times New Roman"/>
          <w:b/>
          <w:smallCaps/>
          <w:color w:val="000000"/>
          <w:sz w:val="20"/>
        </w:rPr>
        <w:t>3.</w:t>
      </w:r>
    </w:p>
    <w:p>
      <w:pPr>
        <w:pStyle w:val="TextBody"/>
        <w:bidi w:val="0"/>
        <w:spacing w:before="120" w:after="283"/>
        <w:jc w:val="both"/>
        <w:rPr>
          <w:rFonts w:ascii="Times New Roman" w:hAnsi="Times New Roman"/>
          <w:b/>
          <w:smallCaps/>
          <w:color w:val="000000"/>
          <w:sz w:val="20"/>
        </w:rPr>
      </w:pPr>
      <w:r>
        <w:rPr>
          <w:rFonts w:ascii="Times New Roman" w:hAnsi="Times New Roman"/>
          <w:b/>
          <w:smallCaps/>
          <w:color w:val="000000"/>
          <w:sz w:val="20"/>
        </w:rPr>
        <w:t>Definitions</w:t>
      </w:r>
    </w:p>
    <w:p>
      <w:pPr>
        <w:pStyle w:val="TextBody"/>
        <w:bidi w:val="0"/>
        <w:spacing w:before="0" w:after="220"/>
        <w:jc w:val="both"/>
        <w:rPr/>
      </w:pPr>
      <w:r>
        <w:rPr>
          <w:color w:val="000000"/>
        </w:rPr>
        <w:t>“</w:t>
      </w:r>
      <w:r>
        <w:rPr>
          <w:rFonts w:ascii="Times New Roman" w:hAnsi="Times New Roman"/>
          <w:b/>
          <w:i/>
          <w:color w:val="000000"/>
          <w:sz w:val="20"/>
        </w:rPr>
        <w:t>Accounting Restatement</w:t>
      </w:r>
      <w:r>
        <w:rPr>
          <w:rFonts w:ascii="Times New Roman" w:hAnsi="Times New Roman"/>
          <w:color w:val="000000"/>
          <w:sz w:val="20"/>
        </w:rPr>
        <w:t>” 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220"/>
        <w:jc w:val="both"/>
        <w:rPr/>
      </w:pPr>
      <w:r>
        <w:rPr>
          <w:color w:val="000000"/>
        </w:rPr>
        <w:t>“</w:t>
      </w:r>
      <w:r>
        <w:rPr>
          <w:rFonts w:ascii="Times New Roman" w:hAnsi="Times New Roman"/>
          <w:b/>
          <w:i/>
          <w:color w:val="000000"/>
          <w:sz w:val="20"/>
        </w:rPr>
        <w:t>Accounting Restatement Date</w:t>
      </w:r>
      <w:r>
        <w:rPr>
          <w:rFonts w:ascii="Times New Roman" w:hAnsi="Times New Roman"/>
          <w:color w:val="000000"/>
          <w:sz w:val="20"/>
        </w:rPr>
        <w:t>”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pStyle w:val="TextBody"/>
        <w:bidi w:val="0"/>
        <w:spacing w:before="0" w:after="220"/>
        <w:jc w:val="both"/>
        <w:rPr/>
      </w:pPr>
      <w:r>
        <w:rPr>
          <w:color w:val="000000"/>
        </w:rPr>
        <w:t>“</w:t>
      </w:r>
      <w:r>
        <w:rPr>
          <w:rFonts w:ascii="Times New Roman" w:hAnsi="Times New Roman"/>
          <w:b/>
          <w:i/>
          <w:color w:val="000000"/>
          <w:sz w:val="20"/>
        </w:rPr>
        <w:t>Administrator</w:t>
      </w:r>
      <w:r>
        <w:rPr>
          <w:rFonts w:ascii="Times New Roman" w:hAnsi="Times New Roman"/>
          <w:color w:val="000000"/>
          <w:sz w:val="20"/>
        </w:rPr>
        <w:t>” means the Compensation Committee or, in the absence of such committee, the Board.</w:t>
      </w:r>
    </w:p>
    <w:p>
      <w:pPr>
        <w:pStyle w:val="TextBody"/>
        <w:bidi w:val="0"/>
        <w:spacing w:before="0" w:after="220"/>
        <w:jc w:val="both"/>
        <w:rPr/>
      </w:pPr>
      <w:r>
        <w:rPr>
          <w:color w:val="000000"/>
        </w:rPr>
        <w:t>“</w:t>
      </w:r>
      <w:r>
        <w:rPr>
          <w:rFonts w:ascii="Times New Roman" w:hAnsi="Times New Roman"/>
          <w:b/>
          <w:i/>
          <w:color w:val="000000"/>
          <w:sz w:val="20"/>
        </w:rPr>
        <w:t>Code</w:t>
      </w:r>
      <w:r>
        <w:rPr>
          <w:rFonts w:ascii="Times New Roman" w:hAnsi="Times New Roman"/>
          <w:color w:val="000000"/>
          <w:sz w:val="20"/>
        </w:rPr>
        <w:t>” means the U.S. Internal Revenue Code of 1986, as amended, and the regulations promulgated thereunder.</w:t>
      </w:r>
    </w:p>
    <w:p>
      <w:pPr>
        <w:pStyle w:val="TextBody"/>
        <w:bidi w:val="0"/>
        <w:spacing w:before="0" w:after="220"/>
        <w:jc w:val="both"/>
        <w:rPr/>
      </w:pPr>
      <w:r>
        <w:rPr>
          <w:color w:val="000000"/>
        </w:rPr>
        <w:t>“</w:t>
      </w:r>
      <w:r>
        <w:rPr>
          <w:rFonts w:ascii="Times New Roman" w:hAnsi="Times New Roman"/>
          <w:b/>
          <w:i/>
          <w:color w:val="000000"/>
          <w:sz w:val="20"/>
        </w:rPr>
        <w:t>Compensation Committee</w:t>
      </w:r>
      <w:r>
        <w:rPr>
          <w:rFonts w:ascii="Times New Roman" w:hAnsi="Times New Roman"/>
          <w:color w:val="000000"/>
          <w:sz w:val="20"/>
        </w:rPr>
        <w:t>” means the Compensation Committee of the Board.</w:t>
      </w:r>
    </w:p>
    <w:p>
      <w:pPr>
        <w:pStyle w:val="TextBody"/>
        <w:bidi w:val="0"/>
        <w:spacing w:before="0" w:after="220"/>
        <w:jc w:val="both"/>
        <w:rPr/>
      </w:pPr>
      <w:r>
        <w:rPr>
          <w:color w:val="000000"/>
        </w:rPr>
        <w:t>“</w:t>
      </w:r>
      <w:r>
        <w:rPr>
          <w:rFonts w:ascii="Times New Roman" w:hAnsi="Times New Roman"/>
          <w:b/>
          <w:i/>
          <w:color w:val="000000"/>
          <w:sz w:val="20"/>
        </w:rPr>
        <w:t>Covered Officer</w:t>
      </w:r>
      <w:r>
        <w:rPr>
          <w:rFonts w:ascii="Times New Roman" w:hAnsi="Times New Roman"/>
          <w:color w:val="000000"/>
          <w:sz w:val="20"/>
        </w:rPr>
        <w:t>” means each current and former Executive Officer.</w:t>
      </w:r>
    </w:p>
    <w:p>
      <w:pPr>
        <w:pStyle w:val="TextBody"/>
        <w:bidi w:val="0"/>
        <w:spacing w:before="0" w:after="220"/>
        <w:jc w:val="both"/>
        <w:rPr/>
      </w:pPr>
      <w:r>
        <w:rPr>
          <w:color w:val="000000"/>
        </w:rPr>
        <w:t>“</w:t>
      </w:r>
      <w:r>
        <w:rPr>
          <w:rFonts w:ascii="Times New Roman" w:hAnsi="Times New Roman"/>
          <w:b/>
          <w:i/>
          <w:color w:val="000000"/>
          <w:sz w:val="20"/>
        </w:rPr>
        <w:t>Exchange</w:t>
      </w:r>
      <w:r>
        <w:rPr>
          <w:rFonts w:ascii="Times New Roman" w:hAnsi="Times New Roman"/>
          <w:color w:val="000000"/>
          <w:sz w:val="20"/>
        </w:rPr>
        <w:t>” means the Nasdaq Stock Market.</w:t>
      </w:r>
    </w:p>
    <w:p>
      <w:pPr>
        <w:pStyle w:val="TextBody"/>
        <w:bidi w:val="0"/>
        <w:spacing w:before="0" w:after="220"/>
        <w:jc w:val="both"/>
        <w:rPr/>
      </w:pPr>
      <w:r>
        <w:rPr>
          <w:color w:val="000000"/>
        </w:rPr>
        <w:t>“</w:t>
      </w:r>
      <w:r>
        <w:rPr>
          <w:rFonts w:ascii="Times New Roman" w:hAnsi="Times New Roman"/>
          <w:b/>
          <w:i/>
          <w:color w:val="000000"/>
          <w:sz w:val="20"/>
        </w:rPr>
        <w:t>Exchange Act</w:t>
      </w:r>
      <w:r>
        <w:rPr>
          <w:rFonts w:ascii="Times New Roman" w:hAnsi="Times New Roman"/>
          <w:color w:val="000000"/>
          <w:sz w:val="20"/>
        </w:rPr>
        <w:t>” means the U.S. Securities Exchange Act of 1934, as amended.</w:t>
      </w:r>
    </w:p>
    <w:p>
      <w:pPr>
        <w:pStyle w:val="TextBody"/>
        <w:bidi w:val="0"/>
        <w:spacing w:before="0" w:after="220"/>
        <w:jc w:val="both"/>
        <w:rPr/>
      </w:pPr>
      <w:r>
        <w:rPr>
          <w:color w:val="000000"/>
        </w:rPr>
        <w:t>“</w:t>
      </w:r>
      <w:r>
        <w:rPr>
          <w:rFonts w:ascii="Times New Roman" w:hAnsi="Times New Roman"/>
          <w:b/>
          <w:i/>
          <w:color w:val="000000"/>
          <w:sz w:val="20"/>
        </w:rPr>
        <w:t>Executive Officer</w:t>
      </w:r>
      <w:r>
        <w:rPr>
          <w:rFonts w:ascii="Times New Roman" w:hAnsi="Times New Roman"/>
          <w:color w:val="000000"/>
          <w:sz w:val="20"/>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pStyle w:val="TextBody"/>
        <w:bidi w:val="0"/>
        <w:spacing w:before="0" w:after="220"/>
        <w:jc w:val="both"/>
        <w:rPr/>
      </w:pPr>
      <w:r>
        <w:rPr>
          <w:color w:val="000000"/>
        </w:rPr>
        <w:t>“</w:t>
      </w:r>
      <w:r>
        <w:rPr>
          <w:rFonts w:ascii="Times New Roman" w:hAnsi="Times New Roman"/>
          <w:b/>
          <w:i/>
          <w:color w:val="000000"/>
          <w:sz w:val="20"/>
        </w:rPr>
        <w:t>Financial Reporting Measures</w:t>
      </w:r>
      <w:r>
        <w:rPr>
          <w:rFonts w:ascii="Times New Roman" w:hAnsi="Times New Roman"/>
          <w:color w:val="000000"/>
          <w:sz w:val="20"/>
        </w:rPr>
        <w:t>” 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 w:hAnsi="Times New Roman"/>
          <w:b/>
          <w:i/>
          <w:color w:val="000000"/>
          <w:sz w:val="20"/>
        </w:rPr>
        <w:t>TSR</w:t>
      </w:r>
      <w:r>
        <w:rPr>
          <w:rFonts w:ascii="Times New Roman" w:hAnsi="Times New Roman"/>
          <w:color w:val="000000"/>
          <w:sz w:val="20"/>
        </w:rPr>
        <w:t>”). A measure need not be presented in the Company’s financial statements or included in a filing with the SEC in order to be a Financial Reporting Measure.</w:t>
      </w:r>
    </w:p>
    <w:p>
      <w:pPr>
        <w:pStyle w:val="TextBody"/>
        <w:bidi w:val="0"/>
        <w:spacing w:before="0" w:after="220"/>
        <w:jc w:val="both"/>
        <w:rPr/>
      </w:pPr>
      <w:r>
        <w:rPr>
          <w:color w:val="000000"/>
        </w:rPr>
        <w:t>“</w:t>
      </w:r>
      <w:r>
        <w:rPr>
          <w:rFonts w:ascii="Times New Roman" w:hAnsi="Times New Roman"/>
          <w:b/>
          <w:i/>
          <w:color w:val="000000"/>
          <w:sz w:val="20"/>
        </w:rPr>
        <w:t>Incentive Compensation</w:t>
      </w:r>
      <w:r>
        <w:rPr>
          <w:rFonts w:ascii="Times New Roman" w:hAnsi="Times New Roman"/>
          <w:color w:val="000000"/>
          <w:sz w:val="20"/>
        </w:rPr>
        <w:t xml:space="preserve">” means any compensation that is granted, earned or vested based wholly or in part upon the attainment of a Financial Reporting Measure. </w:t>
      </w:r>
    </w:p>
    <w:p>
      <w:pPr>
        <w:pStyle w:val="TextBody"/>
        <w:bidi w:val="0"/>
        <w:spacing w:before="0" w:after="220"/>
        <w:jc w:val="both"/>
        <w:rPr/>
      </w:pPr>
      <w:r>
        <w:rPr>
          <w:color w:val="000000"/>
        </w:rPr>
        <w:t>“</w:t>
      </w:r>
      <w:r>
        <w:rPr>
          <w:rFonts w:ascii="Times New Roman" w:hAnsi="Times New Roman"/>
          <w:b/>
          <w:i/>
          <w:color w:val="000000"/>
          <w:sz w:val="20"/>
        </w:rPr>
        <w:t>Lookback Period</w:t>
      </w:r>
      <w:r>
        <w:rPr>
          <w:rFonts w:ascii="Times New Roman" w:hAnsi="Times New Roman"/>
          <w:color w:val="000000"/>
          <w:sz w:val="20"/>
        </w:rPr>
        <w:t xml:space="preserve">” means the three completed fiscal years immediately preceding the Accounting Restatement Date, as well as any transition period (resulting from a change in the Company’s fiscal year) within or immediately following those three completed </w:t>
      </w:r>
    </w:p>
    <w:p>
      <w:pPr>
        <w:pStyle w:val="HorizontalLine"/>
        <w:pBdr>
          <w:bottom w:val="double" w:sz="2" w:space="0" w:color="808080"/>
        </w:pBdr>
        <w:bidi w:val="0"/>
        <w:spacing w:before="0" w:after="283"/>
        <w:jc w:val="left"/>
        <w:rPr/>
      </w:pPr>
      <w:r>
        <w:rPr/>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fiscal years (except that a transition period of at least nine months shall count as a completed fiscal year). Notwithstanding the foregoing, the Lookback Period shall not include fiscal years completed prior to the Effective Date. </w:t>
      </w:r>
    </w:p>
    <w:p>
      <w:pPr>
        <w:pStyle w:val="TextBody"/>
        <w:bidi w:val="0"/>
        <w:spacing w:before="0" w:after="220"/>
        <w:jc w:val="both"/>
        <w:rPr/>
      </w:pPr>
      <w:r>
        <w:rPr>
          <w:color w:val="000000"/>
        </w:rPr>
        <w:t>“</w:t>
      </w:r>
      <w:r>
        <w:rPr>
          <w:rFonts w:ascii="Times New Roman" w:hAnsi="Times New Roman"/>
          <w:b/>
          <w:i/>
          <w:color w:val="000000"/>
          <w:sz w:val="20"/>
        </w:rPr>
        <w:t>Recoverable Incentive Compensation</w:t>
      </w:r>
      <w:r>
        <w:rPr>
          <w:rFonts w:ascii="Times New Roman" w:hAnsi="Times New Roman"/>
          <w:color w:val="000000"/>
          <w:sz w:val="20"/>
        </w:rPr>
        <w:t>” 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hAnsi="Times New Roman"/>
          <w:i/>
          <w:color w:val="000000"/>
          <w:sz w:val="20"/>
        </w:rPr>
        <w:t>i.e.</w:t>
      </w:r>
      <w:r>
        <w:rPr>
          <w:rFonts w:ascii="Times New Roman" w:hAnsi="Times New Roman"/>
          <w:color w:val="000000"/>
          <w:sz w:val="20"/>
        </w:rPr>
        <w:t>,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pStyle w:val="TextBody"/>
        <w:bidi w:val="0"/>
        <w:spacing w:before="0" w:after="220"/>
        <w:jc w:val="both"/>
        <w:rPr/>
      </w:pPr>
      <w:r>
        <w:rPr>
          <w:color w:val="000000"/>
        </w:rPr>
        <w:t>“</w:t>
      </w:r>
      <w:r>
        <w:rPr>
          <w:rFonts w:ascii="Times New Roman" w:hAnsi="Times New Roman"/>
          <w:b/>
          <w:i/>
          <w:color w:val="000000"/>
          <w:sz w:val="20"/>
        </w:rPr>
        <w:t>SEC</w:t>
      </w:r>
      <w:r>
        <w:rPr>
          <w:rFonts w:ascii="Times New Roman" w:hAnsi="Times New Roman"/>
          <w:color w:val="000000"/>
          <w:sz w:val="20"/>
        </w:rPr>
        <w:t>” means the U.S. Securities and Exchange Commission.</w:t>
      </w:r>
    </w:p>
    <w:p>
      <w:pPr>
        <w:pStyle w:val="TextBody"/>
        <w:bidi w:val="0"/>
        <w:spacing w:before="120" w:after="283"/>
        <w:jc w:val="both"/>
        <w:rPr>
          <w:rFonts w:ascii="Times New Roman" w:hAnsi="Times New Roman"/>
          <w:b/>
          <w:smallCaps/>
          <w:color w:val="000000"/>
          <w:sz w:val="20"/>
        </w:rPr>
      </w:pPr>
      <w:r>
        <w:rPr>
          <w:rFonts w:ascii="Times New Roman" w:hAnsi="Times New Roman"/>
          <w:b/>
          <w:smallCaps/>
          <w:color w:val="000000"/>
          <w:sz w:val="20"/>
        </w:rPr>
        <w:t>4.</w:t>
      </w:r>
    </w:p>
    <w:p>
      <w:pPr>
        <w:pStyle w:val="TextBody"/>
        <w:bidi w:val="0"/>
        <w:spacing w:before="120" w:after="283"/>
        <w:jc w:val="both"/>
        <w:rPr>
          <w:rFonts w:ascii="Times New Roman" w:hAnsi="Times New Roman"/>
          <w:b/>
          <w:smallCaps/>
          <w:color w:val="000000"/>
          <w:sz w:val="20"/>
        </w:rPr>
      </w:pPr>
      <w:r>
        <w:rPr>
          <w:rFonts w:ascii="Times New Roman" w:hAnsi="Times New Roman"/>
          <w:b/>
          <w:smallCaps/>
          <w:color w:val="000000"/>
          <w:sz w:val="20"/>
        </w:rPr>
        <w:t>Recoupment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both"/>
        <w:rPr/>
      </w:pPr>
      <w:r>
        <w:rPr>
          <w:rFonts w:ascii="Times New Roman" w:hAnsi="Times New Roman"/>
          <w:b/>
          <w:color w:val="000000"/>
          <w:sz w:val="20"/>
        </w:rPr>
        <w:t xml:space="preserve">Applicability of Policy. </w:t>
      </w:r>
      <w:r>
        <w:rPr>
          <w:rFonts w:ascii="Times New Roman" w:hAnsi="Times New Roman"/>
          <w:color w:val="000000"/>
          <w:sz w:val="20"/>
        </w:rPr>
        <w:t xml:space="preserve">This Policy applies to Incentive Compensation received by a Covered Officer (i) after beginning 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(b)</w:t>
      </w:r>
    </w:p>
    <w:p>
      <w:pPr>
        <w:pStyle w:val="TextBody"/>
        <w:bidi w:val="0"/>
        <w:spacing w:before="120" w:after="283"/>
        <w:jc w:val="both"/>
        <w:rPr/>
      </w:pPr>
      <w:r>
        <w:rPr>
          <w:rFonts w:ascii="Times New Roman" w:hAnsi="Times New Roman"/>
          <w:b/>
          <w:color w:val="000000"/>
          <w:sz w:val="20"/>
        </w:rPr>
        <w:t xml:space="preserve">Recoupment Generally. </w:t>
      </w:r>
      <w:r>
        <w:rPr>
          <w:rFonts w:ascii="Times New Roman" w:hAnsi="Times New Roman"/>
          <w:color w:val="000000"/>
          <w:sz w:val="20"/>
        </w:rPr>
        <w:t xml:space="preserve">Pursuant to the provisions of this Policy, if there is an Accounting Restatement, the Company must 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w:t>
      </w:r>
    </w:p>
    <w:p>
      <w:pPr>
        <w:pStyle w:val="TextBody"/>
        <w:bidi w:val="0"/>
        <w:spacing w:before="120" w:after="283"/>
        <w:jc w:val="both"/>
        <w:rPr/>
      </w:pPr>
      <w:r>
        <w:rPr>
          <w:rFonts w:ascii="Times New Roman" w:hAnsi="Times New Roman"/>
          <w:b/>
          <w:color w:val="000000"/>
          <w:sz w:val="20"/>
        </w:rPr>
        <w:t>Impracticability of Recovery.</w:t>
      </w:r>
      <w:r>
        <w:rPr>
          <w:color w:val="000000"/>
        </w:rPr>
        <w:t xml:space="preserve"> </w:t>
      </w:r>
      <w:r>
        <w:rPr>
          <w:rFonts w:ascii="Times New Roman" w:hAnsi="Times New Roman"/>
          <w:color w:val="000000"/>
          <w:sz w:val="20"/>
        </w:rPr>
        <w:t>Recoupment may be determined to be impracticable if, and only if:</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(d)</w:t>
      </w:r>
    </w:p>
    <w:p>
      <w:pPr>
        <w:pStyle w:val="TextBody"/>
        <w:bidi w:val="0"/>
        <w:spacing w:before="120" w:after="283"/>
        <w:jc w:val="both"/>
        <w:rPr/>
      </w:pPr>
      <w:r>
        <w:rPr>
          <w:rFonts w:ascii="Times New Roman" w:hAnsi="Times New Roman"/>
          <w:b/>
          <w:color w:val="000000"/>
          <w:sz w:val="20"/>
        </w:rPr>
        <w:t>Sources of Recoupment.</w:t>
      </w:r>
      <w:r>
        <w:rPr>
          <w:color w:val="000000"/>
        </w:rPr>
        <w:t xml:space="preserve"> </w:t>
      </w:r>
      <w:r>
        <w:rPr>
          <w:rFonts w:ascii="Times New Roman" w:hAnsi="Times New Roman"/>
          <w:color w:val="000000"/>
          <w:sz w:val="20"/>
        </w:rPr>
        <w:t xml:space="preserve">To the extent permitted by applicable law, the Administrator shall, in its sole discretion, determine 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hAnsi="Times New Roman"/>
          <w:i/>
          <w:color w:val="000000"/>
          <w:sz w:val="20"/>
        </w:rPr>
        <w:t>e.g.</w:t>
      </w:r>
      <w:r>
        <w:rPr>
          <w:rFonts w:ascii="Times New Roman" w:hAnsi="Times New Roman"/>
          <w:color w:val="000000"/>
          <w:sz w:val="20"/>
        </w:rPr>
        <w:t>, base salary, bonuses or commissions and compensation previously deferred by the Covered Officer. The Administrator need not utilize the same method of recovery for all Covered Officers or with respect to all types of Recoverable Incentive Compensation.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w:t>
      </w:r>
    </w:p>
    <w:p>
      <w:pPr>
        <w:pStyle w:val="TextBody"/>
        <w:bidi w:val="0"/>
        <w:spacing w:before="120" w:after="283"/>
        <w:jc w:val="both"/>
        <w:rPr/>
      </w:pPr>
      <w:r>
        <w:rPr>
          <w:rFonts w:ascii="Times New Roman" w:hAnsi="Times New Roman"/>
          <w:b/>
          <w:color w:val="000000"/>
          <w:sz w:val="20"/>
        </w:rPr>
        <w:t>No Indemnification of Covered Officers.</w:t>
      </w:r>
      <w:r>
        <w:rPr>
          <w:color w:val="000000"/>
        </w:rPr>
        <w:t xml:space="preserve"> </w:t>
      </w:r>
      <w:r>
        <w:rPr>
          <w:rFonts w:ascii="Times New Roman" w:hAnsi="Times New Roman"/>
          <w:color w:val="000000"/>
          <w:sz w:val="20"/>
        </w:rPr>
        <w:t>Notwithstanding any indemnification agreement, applicable insurance policy or 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w:t>
      </w:r>
    </w:p>
    <w:p>
      <w:pPr>
        <w:pStyle w:val="TextBody"/>
        <w:bidi w:val="0"/>
        <w:spacing w:before="120" w:after="283"/>
        <w:jc w:val="both"/>
        <w:rPr/>
      </w:pPr>
      <w:r>
        <w:rPr>
          <w:rFonts w:ascii="Times New Roman" w:hAnsi="Times New Roman"/>
          <w:b/>
          <w:color w:val="000000"/>
          <w:sz w:val="20"/>
        </w:rPr>
        <w:t>Indemnification of Administrator.</w:t>
      </w:r>
      <w:r>
        <w:rPr>
          <w:color w:val="000000"/>
        </w:rPr>
        <w:t xml:space="preserve"> </w:t>
      </w:r>
      <w:r>
        <w:rPr>
          <w:rFonts w:ascii="Times New Roman" w:hAnsi="Times New Roman"/>
          <w:color w:val="000000"/>
          <w:sz w:val="20"/>
        </w:rPr>
        <w:t xml:space="preserve">Any members of the Administrator, and any other members of the Board who assist in the administration of this Policy, shall not be personally liable for any action, determination or interpretation made with </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(g)</w:t>
      </w:r>
    </w:p>
    <w:p>
      <w:pPr>
        <w:pStyle w:val="TextBody"/>
        <w:bidi w:val="0"/>
        <w:spacing w:before="120" w:after="283"/>
        <w:jc w:val="both"/>
        <w:rPr/>
      </w:pPr>
      <w:r>
        <w:rPr>
          <w:rFonts w:ascii="Times New Roman" w:hAnsi="Times New Roman"/>
          <w:b/>
          <w:color w:val="000000"/>
          <w:sz w:val="20"/>
        </w:rPr>
        <w:t>No “Good Reason” for Covered Officers.</w:t>
      </w:r>
      <w:r>
        <w:rPr>
          <w:color w:val="000000"/>
        </w:rPr>
        <w:t xml:space="preserve"> </w:t>
      </w:r>
      <w:r>
        <w:rPr>
          <w:rFonts w:ascii="Times New Roman" w:hAnsi="Times New Roman"/>
          <w:color w:val="000000"/>
          <w:sz w:val="20"/>
        </w:rPr>
        <w:t>Any action by the Company to recoup or any recoupment of Recoverable Incentive 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pStyle w:val="TextBody"/>
        <w:bidi w:val="0"/>
        <w:spacing w:before="120" w:after="283"/>
        <w:jc w:val="both"/>
        <w:rPr>
          <w:rFonts w:ascii="Times New Roman" w:hAnsi="Times New Roman"/>
          <w:b/>
          <w:smallCaps/>
          <w:color w:val="000000"/>
          <w:sz w:val="20"/>
        </w:rPr>
      </w:pPr>
      <w:r>
        <w:rPr>
          <w:rFonts w:ascii="Times New Roman" w:hAnsi="Times New Roman"/>
          <w:b/>
          <w:smallCaps/>
          <w:color w:val="000000"/>
          <w:sz w:val="20"/>
        </w:rPr>
        <w:t>5.</w:t>
      </w:r>
    </w:p>
    <w:p>
      <w:pPr>
        <w:pStyle w:val="TextBody"/>
        <w:bidi w:val="0"/>
        <w:spacing w:before="120" w:after="283"/>
        <w:jc w:val="both"/>
        <w:rPr>
          <w:rFonts w:ascii="Times New Roman" w:hAnsi="Times New Roman"/>
          <w:b/>
          <w:smallCaps/>
          <w:color w:val="000000"/>
          <w:sz w:val="20"/>
        </w:rPr>
      </w:pPr>
      <w:r>
        <w:rPr>
          <w:rFonts w:ascii="Times New Roman" w:hAnsi="Times New Roman"/>
          <w:b/>
          <w:smallCaps/>
          <w:color w:val="000000"/>
          <w:sz w:val="20"/>
        </w:rPr>
        <w:t>Administration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pStyle w:val="TextBody"/>
        <w:bidi w:val="0"/>
        <w:spacing w:before="120" w:after="283"/>
        <w:jc w:val="both"/>
        <w:rPr>
          <w:rFonts w:ascii="Times New Roman" w:hAnsi="Times New Roman"/>
          <w:b/>
          <w:smallCaps/>
          <w:color w:val="000000"/>
          <w:sz w:val="20"/>
        </w:rPr>
      </w:pPr>
      <w:r>
        <w:rPr>
          <w:rFonts w:ascii="Times New Roman" w:hAnsi="Times New Roman"/>
          <w:b/>
          <w:smallCaps/>
          <w:color w:val="000000"/>
          <w:sz w:val="20"/>
        </w:rPr>
        <w:t>6.</w:t>
      </w:r>
    </w:p>
    <w:p>
      <w:pPr>
        <w:pStyle w:val="TextBody"/>
        <w:bidi w:val="0"/>
        <w:spacing w:before="120" w:after="283"/>
        <w:jc w:val="both"/>
        <w:rPr>
          <w:rFonts w:ascii="Times New Roman" w:hAnsi="Times New Roman"/>
          <w:b/>
          <w:smallCaps/>
          <w:color w:val="000000"/>
          <w:sz w:val="20"/>
        </w:rPr>
      </w:pPr>
      <w:r>
        <w:rPr>
          <w:rFonts w:ascii="Times New Roman" w:hAnsi="Times New Roman"/>
          <w:b/>
          <w:smallCaps/>
          <w:color w:val="000000"/>
          <w:sz w:val="20"/>
        </w:rPr>
        <w:t>Severability</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pStyle w:val="TextBody"/>
        <w:bidi w:val="0"/>
        <w:spacing w:before="120" w:after="283"/>
        <w:jc w:val="both"/>
        <w:rPr>
          <w:rFonts w:ascii="Times New Roman" w:hAnsi="Times New Roman"/>
          <w:b/>
          <w:smallCaps/>
          <w:color w:val="000000"/>
          <w:sz w:val="20"/>
        </w:rPr>
      </w:pPr>
      <w:r>
        <w:rPr>
          <w:rFonts w:ascii="Times New Roman" w:hAnsi="Times New Roman"/>
          <w:b/>
          <w:smallCaps/>
          <w:color w:val="000000"/>
          <w:sz w:val="20"/>
        </w:rPr>
        <w:t>7.</w:t>
      </w:r>
    </w:p>
    <w:p>
      <w:pPr>
        <w:pStyle w:val="TextBody"/>
        <w:bidi w:val="0"/>
        <w:spacing w:before="120" w:after="283"/>
        <w:jc w:val="both"/>
        <w:rPr>
          <w:rFonts w:ascii="Times New Roman" w:hAnsi="Times New Roman"/>
          <w:b/>
          <w:smallCaps/>
          <w:color w:val="000000"/>
          <w:sz w:val="20"/>
        </w:rPr>
      </w:pPr>
      <w:r>
        <w:rPr>
          <w:rFonts w:ascii="Times New Roman" w:hAnsi="Times New Roman"/>
          <w:b/>
          <w:smallCaps/>
          <w:color w:val="000000"/>
          <w:sz w:val="20"/>
        </w:rPr>
        <w:t>No Impairment of Other Remedies</w:t>
      </w:r>
    </w:p>
    <w:p>
      <w:pPr>
        <w:pStyle w:val="TextBody"/>
        <w:bidi w:val="0"/>
        <w:spacing w:before="0" w:after="220"/>
        <w:jc w:val="both"/>
        <w:rPr>
          <w:rFonts w:ascii="Times New Roman" w:hAnsi="Times New Roman"/>
          <w:sz w:val="20"/>
        </w:rPr>
      </w:pPr>
      <w:r>
        <w:rPr>
          <w:rFonts w:ascii="Times New Roman" w:hAnsi="Times New Roman"/>
          <w:color w:val="000000"/>
          <w:sz w:val="20"/>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 w:hAnsi="Times New Roman"/>
          <w:b/>
          <w:color w:val="000000"/>
          <w:sz w:val="20"/>
        </w:rPr>
        <w:t>SOX 304</w:t>
      </w:r>
      <w:r>
        <w:rPr>
          <w:rFonts w:ascii="Times New Roman" w:hAnsi="Times New Roman"/>
          <w:color w:val="000000"/>
          <w:sz w:val="20"/>
        </w:rPr>
        <w:t>”)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pStyle w:val="TextBody"/>
        <w:bidi w:val="0"/>
        <w:spacing w:before="120" w:after="283"/>
        <w:jc w:val="both"/>
        <w:rPr>
          <w:rFonts w:ascii="Times New Roman" w:hAnsi="Times New Roman"/>
          <w:b/>
          <w:smallCaps/>
          <w:color w:val="000000"/>
          <w:sz w:val="20"/>
        </w:rPr>
      </w:pPr>
      <w:r>
        <w:rPr>
          <w:rFonts w:ascii="Times New Roman" w:hAnsi="Times New Roman"/>
          <w:b/>
          <w:smallCaps/>
          <w:color w:val="000000"/>
          <w:sz w:val="20"/>
        </w:rPr>
        <w:t>8.</w:t>
      </w:r>
    </w:p>
    <w:p>
      <w:pPr>
        <w:pStyle w:val="TextBody"/>
        <w:bidi w:val="0"/>
        <w:spacing w:before="120" w:after="283"/>
        <w:jc w:val="both"/>
        <w:rPr>
          <w:rFonts w:ascii="Times New Roman" w:hAnsi="Times New Roman"/>
          <w:b/>
          <w:smallCaps/>
          <w:color w:val="000000"/>
          <w:sz w:val="20"/>
        </w:rPr>
      </w:pPr>
      <w:r>
        <w:rPr>
          <w:rFonts w:ascii="Times New Roman" w:hAnsi="Times New Roman"/>
          <w:b/>
          <w:smallCaps/>
          <w:color w:val="000000"/>
          <w:sz w:val="20"/>
        </w:rPr>
        <w:t>Amendment; Termination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pStyle w:val="TextBody"/>
        <w:bidi w:val="0"/>
        <w:spacing w:before="120" w:after="283"/>
        <w:jc w:val="both"/>
        <w:rPr>
          <w:rFonts w:ascii="Times New Roman" w:hAnsi="Times New Roman"/>
          <w:b/>
          <w:smallCaps/>
          <w:color w:val="000000"/>
          <w:sz w:val="20"/>
        </w:rPr>
      </w:pPr>
      <w:r>
        <w:rPr>
          <w:rFonts w:ascii="Times New Roman" w:hAnsi="Times New Roman"/>
          <w:b/>
          <w:smallCaps/>
          <w:color w:val="000000"/>
          <w:sz w:val="20"/>
        </w:rPr>
        <w:t>9.</w:t>
      </w:r>
    </w:p>
    <w:p>
      <w:pPr>
        <w:pStyle w:val="TextBody"/>
        <w:bidi w:val="0"/>
        <w:spacing w:before="120" w:after="283"/>
        <w:jc w:val="both"/>
        <w:rPr>
          <w:rFonts w:ascii="Times New Roman" w:hAnsi="Times New Roman"/>
          <w:b/>
          <w:smallCaps/>
          <w:color w:val="000000"/>
          <w:sz w:val="20"/>
        </w:rPr>
      </w:pPr>
      <w:r>
        <w:rPr>
          <w:rFonts w:ascii="Times New Roman" w:hAnsi="Times New Roman"/>
          <w:b/>
          <w:smallCaps/>
          <w:color w:val="000000"/>
          <w:sz w:val="20"/>
        </w:rPr>
        <w:t>Successors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This Policy shall be binding and enforceable against all Covered Officers and, to the extent required by Rule 10D-1 and/or the applicable Listing Standards, their beneficiaries, heirs, executors, administrators or other legal representatives.</w:t>
      </w:r>
    </w:p>
    <w:p>
      <w:pPr>
        <w:pStyle w:val="TextBody"/>
        <w:bidi w:val="0"/>
        <w:spacing w:before="0" w:after="220"/>
        <w:jc w:val="both"/>
        <w:rPr>
          <w:rFonts w:ascii="Times New Roman" w:hAnsi="Times New Roman"/>
          <w:sz w:val="20"/>
        </w:rPr>
      </w:pPr>
      <w:r>
        <w:rPr>
          <w:rFonts w:ascii="Times New Roman" w:hAnsi="Times New Roman"/>
          <w:b/>
          <w:color w:val="000000"/>
          <w:sz w:val="20"/>
        </w:rPr>
        <w:t xml:space="preserve">10. </w:t>
      </w:r>
      <w:r>
        <w:rPr>
          <w:rFonts w:ascii="Times New Roman" w:hAnsi="Times New Roman"/>
          <w:b/>
          <w:smallCaps/>
          <w:color w:val="000000"/>
          <w:sz w:val="20"/>
        </w:rPr>
        <w:t>Required Filings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Company shall make any disclosures and filings with respect to this Policy that are required by law, including as required by the SEC.</w:t>
      </w:r>
    </w:p>
    <w:p>
      <w:pPr>
        <w:pStyle w:val="TextBody"/>
        <w:bidi w:val="0"/>
        <w:spacing w:before="0" w:after="220"/>
        <w:jc w:val="center"/>
        <w:rPr>
          <w:rFonts w:ascii="Times New Roman" w:hAnsi="Times New Roman"/>
          <w:color w:val="000000"/>
          <w:sz w:val="20"/>
        </w:rPr>
      </w:pPr>
      <w:r>
        <w:rPr>
          <w:rFonts w:ascii="Times New Roman" w:hAnsi="Times New Roman"/>
          <w:color w:val="000000"/>
          <w:sz w:val="20"/>
        </w:rPr>
        <w:t>* * * *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spacing w:before="0" w:after="220"/>
        <w:jc w:val="center"/>
        <w:rPr>
          <w:rFonts w:ascii="Times New Roman" w:hAnsi="Times New Roman"/>
          <w:b/>
          <w:smallCaps/>
          <w:color w:val="000000"/>
          <w:sz w:val="20"/>
        </w:rPr>
      </w:pPr>
      <w:r>
        <w:rPr>
          <w:rFonts w:ascii="Times New Roman" w:hAnsi="Times New Roman"/>
          <w:b/>
          <w:smallCaps/>
          <w:color w:val="000000"/>
          <w:sz w:val="20"/>
        </w:rPr>
        <w:t>TECTONIC THERAPEUTIC, INC.</w:t>
      </w:r>
    </w:p>
    <w:p>
      <w:pPr>
        <w:pStyle w:val="TextBody"/>
        <w:bidi w:val="0"/>
        <w:spacing w:before="0" w:after="220"/>
        <w:jc w:val="center"/>
        <w:rPr>
          <w:rFonts w:ascii="Times New Roman" w:hAnsi="Times New Roman"/>
          <w:b/>
          <w:smallCaps/>
          <w:color w:val="000000"/>
          <w:sz w:val="20"/>
        </w:rPr>
      </w:pPr>
      <w:r>
        <w:rPr>
          <w:rFonts w:ascii="Times New Roman" w:hAnsi="Times New Roman"/>
          <w:b/>
          <w:smallCaps/>
          <w:color w:val="000000"/>
          <w:sz w:val="20"/>
        </w:rPr>
        <w:t>Incentive Compensation Recoupment Policy</w:t>
      </w:r>
    </w:p>
    <w:p>
      <w:pPr>
        <w:pStyle w:val="TextBody"/>
        <w:bidi w:val="0"/>
        <w:spacing w:before="0" w:after="220"/>
        <w:jc w:val="center"/>
        <w:rPr>
          <w:rFonts w:ascii="Times New Roman" w:hAnsi="Times New Roman"/>
          <w:b/>
          <w:smallCaps/>
          <w:color w:val="000000"/>
          <w:sz w:val="20"/>
        </w:rPr>
      </w:pPr>
      <w:r>
        <w:rPr>
          <w:rFonts w:ascii="Times New Roman" w:hAnsi="Times New Roman"/>
          <w:b/>
          <w:smallCaps/>
          <w:color w:val="000000"/>
          <w:sz w:val="20"/>
        </w:rPr>
        <w:t>Form of Executive Acknowledgment</w:t>
      </w:r>
    </w:p>
    <w:p>
      <w:pPr>
        <w:pStyle w:val="TextBody"/>
        <w:bidi w:val="0"/>
        <w:spacing w:before="0" w:after="220"/>
        <w:jc w:val="both"/>
        <w:rPr>
          <w:rFonts w:ascii="Times New Roman" w:hAnsi="Times New Roman"/>
          <w:sz w:val="20"/>
        </w:rPr>
      </w:pPr>
      <w:r>
        <w:rPr>
          <w:rFonts w:ascii="Times New Roman" w:hAnsi="Times New Roman"/>
          <w:color w:val="000000"/>
          <w:sz w:val="20"/>
        </w:rPr>
        <w:t>I, the undersigned, agree and acknowledge that I am bound by, and subject to, the TECTONIC THERAPEUTIC, INC. Incentive Compensation Recoupment Policy, as may be amended, restated, supplemented or otherwise modified from time to time (the “</w:t>
      </w:r>
      <w:r>
        <w:rPr>
          <w:rFonts w:ascii="Times New Roman" w:hAnsi="Times New Roman"/>
          <w:b/>
          <w:i/>
          <w:color w:val="000000"/>
          <w:sz w:val="20"/>
        </w:rPr>
        <w:t>Policy</w:t>
      </w:r>
      <w:r>
        <w:rPr>
          <w:rFonts w:ascii="Times New Roman" w:hAnsi="Times New Roman"/>
          <w:color w:val="000000"/>
          <w:sz w:val="20"/>
        </w:rPr>
        <w:t>”). In the event of any inconsistency between the Policy and the terms of any employment agreement, offer letter or other individual agreement with TECTONIC THERAPEUTIC, INC. (the “</w:t>
      </w:r>
      <w:r>
        <w:rPr>
          <w:rFonts w:ascii="Times New Roman" w:hAnsi="Times New Roman"/>
          <w:b/>
          <w:i/>
          <w:color w:val="000000"/>
          <w:sz w:val="20"/>
        </w:rPr>
        <w:t>Company</w:t>
      </w:r>
      <w:r>
        <w:rPr>
          <w:rFonts w:ascii="Times New Roman" w:hAnsi="Times New Roman"/>
          <w:color w:val="000000"/>
          <w:sz w:val="20"/>
        </w:rPr>
        <w:t>”) to which I am a party, or the terms of any compensation plan, program or agreement, whether or not written, under which any compensation has been granted, awarded, earned or paid to me, the terms of the Policy shall govern.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pStyle w:val="TextBody"/>
        <w:bidi w:val="0"/>
        <w:spacing w:before="0" w:after="220"/>
        <w:jc w:val="both"/>
        <w:rPr>
          <w:rFonts w:ascii="Times New Roman" w:hAnsi="Times New Roman"/>
          <w:b/>
          <w:color w:val="000000"/>
          <w:sz w:val="20"/>
        </w:rPr>
      </w:pPr>
      <w:r>
        <w:rPr>
          <w:rFonts w:ascii="Times New Roman" w:hAnsi="Times New Roman"/>
          <w:b/>
          <w:color w:val="000000"/>
          <w:sz w:val="20"/>
        </w:rPr>
        <w:t>Agreed and Acknowledged:</w:t>
      </w:r>
    </w:p>
    <w:tbl>
      <w:tblPr>
        <w:tblW w:w="983" w:type="dxa"/>
        <w:jc w:val="left"/>
        <w:tblInd w:w="0" w:type="dxa"/>
        <w:tblLayout w:type="fixed"/>
        <w:tblCellMar>
          <w:top w:w="28" w:type="dxa"/>
          <w:left w:w="28" w:type="dxa"/>
          <w:bottom w:w="28" w:type="dxa"/>
          <w:right w:w="28" w:type="dxa"/>
        </w:tblCellMar>
      </w:tblPr>
      <w:tblGrid>
        <w:gridCol w:w="646"/>
        <w:gridCol w:w="146"/>
        <w:gridCol w:w="19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2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altName w:val="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681087/000119312524018812/d221662dex21.htm" TargetMode="External"/><Relationship Id="rId6" Type="http://schemas.openxmlformats.org/officeDocument/2006/relationships/hyperlink" Target="https://www.sec.gov/Archives/edgar/data/1681087/000119312524200609/d878693dex31.htm" TargetMode="External"/><Relationship Id="rId7" Type="http://schemas.openxmlformats.org/officeDocument/2006/relationships/hyperlink" Target="https://www.sec.gov/Archives/edgar/data/1681087/000119312518202460/d153924dex32.htm" TargetMode="External"/><Relationship Id="rId8" Type="http://schemas.openxmlformats.org/officeDocument/2006/relationships/hyperlink" Target="https://www.sec.gov/Archives/edgar/data/1681087/000119312524164480/d852858dex101.htm" TargetMode="External"/><Relationship Id="rId9" Type="http://schemas.openxmlformats.org/officeDocument/2006/relationships/hyperlink" Target="https://www.sec.gov/Archives/edgar/data/1681087/000119312524164480/d852858dex102.htm" TargetMode="External"/><Relationship Id="rId10" Type="http://schemas.openxmlformats.org/officeDocument/2006/relationships/hyperlink" Target="https://www.sec.gov/Archives/edgar/data/1681087/000119312524164480/d852858dex103.htm" TargetMode="External"/><Relationship Id="rId11" Type="http://schemas.openxmlformats.org/officeDocument/2006/relationships/hyperlink" Target="https://www.sec.gov/Archives/edgar/data/1681087/000119312524164480/d852858dex104.htm" TargetMode="External"/><Relationship Id="rId12" Type="http://schemas.openxmlformats.org/officeDocument/2006/relationships/hyperlink" Target="https://www.sec.gov/Archives/edgar/data/1681087/000095017024125304/tecx-ex10_1.htm" TargetMode="External"/><Relationship Id="rId13" Type="http://schemas.openxmlformats.org/officeDocument/2006/relationships/hyperlink" Target="https://www.sec.gov/Archives/edgar/data/1681087/000119312524164480/d852858dex106.htm" TargetMode="External"/><Relationship Id="rId14" Type="http://schemas.openxmlformats.org/officeDocument/2006/relationships/hyperlink" Target="https://www.sec.gov/Archives/edgar/data/1681087/000119312524164480/d852858dex107.htm" TargetMode="External"/><Relationship Id="rId15" Type="http://schemas.openxmlformats.org/officeDocument/2006/relationships/hyperlink" Target="https://www.sec.gov/Archives/edgar/data/1681087/000119312524164480/d852858dex108.htm" TargetMode="External"/><Relationship Id="rId16" Type="http://schemas.openxmlformats.org/officeDocument/2006/relationships/hyperlink" Target="https://www.sec.gov/Archives/edgar/data/1681087/000119312524164480/d852858dex104.htm" TargetMode="External"/><Relationship Id="rId17" Type="http://schemas.openxmlformats.org/officeDocument/2006/relationships/hyperlink" Target="https://www.sec.gov/Archives/edgar/data/1681087/000119312524076669/d770053dex1035.htm" TargetMode="External"/><Relationship Id="rId18" Type="http://schemas.openxmlformats.org/officeDocument/2006/relationships/hyperlink" Target="https://www.sec.gov/Archives/edgar/data/1681087/000119312524076669/d770053dex1036.htm" TargetMode="External"/><Relationship Id="rId19" Type="http://schemas.openxmlformats.org/officeDocument/2006/relationships/hyperlink" Target="https://www.sec.gov/Archives/edgar/data/1681087/000119312524076669/d770053dex1037.htm" TargetMode="External"/><Relationship Id="rId20" Type="http://schemas.openxmlformats.org/officeDocument/2006/relationships/hyperlink" Target="https://www.sec.gov/Archives/edgar/data/1681087/000119312524076669/d770053dex1038.htm" TargetMode="External"/><Relationship Id="rId21" Type="http://schemas.openxmlformats.org/officeDocument/2006/relationships/hyperlink" Target="https://www.sec.gov/Archives/edgar/data/1681087/000119312524076669/d770053dex1039.htm" TargetMode="External"/><Relationship Id="rId22" Type="http://schemas.openxmlformats.org/officeDocument/2006/relationships/hyperlink" Target="https://www.sec.gov/Archives/edgar/data/1681087/000119312524076669/d770053dex1040.htm" TargetMode="External"/><Relationship Id="rId23" Type="http://schemas.openxmlformats.org/officeDocument/2006/relationships/hyperlink" Target="https://www.sec.gov/Archives/edgar/data/1681087/000119312524095517/d770053dex1043.htm" TargetMode="External"/><Relationship Id="rId24" Type="http://schemas.openxmlformats.org/officeDocument/2006/relationships/hyperlink" Target="https://www.sec.gov/Archives/edgar/data/1681087/000119312524095517/d770053dex1047.htm" TargetMode="External"/><Relationship Id="rId25" Type="http://schemas.openxmlformats.org/officeDocument/2006/relationships/hyperlink" Target="https://www.sec.gov/Archives/edgar/data/1681087/000119312525018840/d843684dex101.htm" TargetMode="External"/><Relationship Id="rId26" Type="http://schemas.openxmlformats.org/officeDocument/2006/relationships/hyperlink" Target="https://www.sec.gov/Archives/edgar/data/1681087/000119312525018840/d843684dex102.htm" TargetMode="External"/><Relationship Id="rId27" Type="http://schemas.openxmlformats.org/officeDocument/2006/relationships/hyperlink" Target="https://www.sec.gov/Archives/edgar/data/1681087/000119312524175599/d859790dex101.htm"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100719</Words>
  <Characters>561713</Characters>
  <CharactersWithSpaces>662840</CharactersWithSpaces>
  <Paragraphs>6993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