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Vickers Philip J.</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AVROBIO,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 TECHNOLOGY SQUARE, 6TH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02139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AVROBIO, Inc.</w:t>
              </w:r>
            </w:hyperlink>
            <w:r>
              <w:rPr/>
              <w:t xml:space="preserve"> [ </w:t>
            </w:r>
            <w:r>
              <w:rPr>
                <w:rFonts w:ascii="Times;serif" w:hAnsi="Times;serif"/>
                <w:color w:val="0000FF"/>
                <w:sz w:val="24"/>
                <w:shd w:fill="FFFFFF" w:val="clear"/>
              </w:rPr>
              <w:t>AVRO</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06/06/2023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711"/>
        <w:gridCol w:w="276"/>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06/06/2023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17,643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06/05/2033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17,643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17,643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option shall vest in full upon the earlier of June 6, 2024 or the date of the Issuer's 2024 Annual Meeting of Stockholders, subject to the reporting person's continued service as a director through such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Steven Avruch, Attorney-in-Fact for Philip J. Vickers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06/08/2023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35046" TargetMode="External"/><Relationship Id="rId4" Type="http://schemas.openxmlformats.org/officeDocument/2006/relationships/hyperlink" Target="http://www.sec.gov/cgi-bin/browse-edgar?action=getcompany&amp;CIK=0001681087"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606</Words>
  <Characters>3283</Characters>
  <CharactersWithSpaces>3826</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