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81280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90170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96"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AVROBIO,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390525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76" w:right="1440" w:bottom="1440" w:gutter="0" w:footer="0" w:header="0"/>
        </w:sectPr>
      </w:pPr>
    </w:p>
    <w:bookmarkStart w:id="1" w:name="page2"/>
    <w:bookmarkEnd w:id="1"/>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389255</wp:posOffset>
            </wp:positionV>
            <wp:extent cx="2177415"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77415" cy="50609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June 8, 2022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Notice is hereby given that the 2022 Annual Meeting of Stockholders, or Annual Meeting, of AVROBIO, Inc. will be held on Wednesday, June 8, 2022 at 9:00 a.m. Eastern Time. To protect the health and safety of our stockholders, employees, directors and community in light of the ongoing COVID-19 pandemic, we will again utilize a virtual format for our Annual Meeting. Stockholders may attend the virtual Annual Meeting by visiting </w:t>
      </w:r>
      <w:r>
        <w:rPr>
          <w:rFonts w:ascii="Times New Roman" w:cs="Times New Roman" w:eastAsia="Times New Roman" w:hAnsi="Times New Roman"/>
          <w:sz w:val="18"/>
          <w:szCs w:val="18"/>
          <w:u w:val="single" w:color="auto"/>
          <w:color w:val="auto"/>
        </w:rPr>
        <w:t>www.proxydocs.com/AVRO</w:t>
      </w:r>
      <w:r>
        <w:rPr>
          <w:rFonts w:ascii="Times New Roman" w:cs="Times New Roman" w:eastAsia="Times New Roman" w:hAnsi="Times New Roman"/>
          <w:sz w:val="18"/>
          <w:szCs w:val="18"/>
          <w:color w:val="auto"/>
        </w:rPr>
        <w:t>. The purpose of the Annual Meeting is the following:</w:t>
      </w:r>
    </w:p>
    <w:p>
      <w:pPr>
        <w:spacing w:after="0" w:line="72" w:lineRule="exact"/>
        <w:rPr>
          <w:sz w:val="20"/>
          <w:szCs w:val="20"/>
          <w:color w:val="auto"/>
        </w:rPr>
      </w:pPr>
    </w:p>
    <w:p>
      <w:pPr>
        <w:ind w:left="800" w:right="80" w:hanging="401"/>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 directors to our board of directors, to serve until the 2025 annual meeting of stockholders and until his or her successor has been duly elected and qualified, or until his or her earlier death, resignation or removal;</w:t>
      </w:r>
    </w:p>
    <w:p>
      <w:pPr>
        <w:spacing w:after="0" w:line="53" w:lineRule="exact"/>
        <w:rPr>
          <w:rFonts w:ascii="Times New Roman" w:cs="Times New Roman" w:eastAsia="Times New Roman" w:hAnsi="Times New Roman"/>
          <w:sz w:val="18"/>
          <w:szCs w:val="18"/>
          <w:color w:val="auto"/>
        </w:rPr>
      </w:pPr>
    </w:p>
    <w:p>
      <w:pPr>
        <w:ind w:left="800" w:right="180" w:hanging="401"/>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AVROBIO, Inc. 2018 Stock Option and Incentive Plan; and</w:t>
      </w:r>
    </w:p>
    <w:p>
      <w:pPr>
        <w:spacing w:after="0" w:line="117"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properly brought before the Annual Meeting or any adjournment or postponement of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class I directors nominated by the board of directors.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Only AVROBIO, Inc. stockholders of record at the close of business on April 11, 2022 will be entitled to vote during the Annual Meeting and any adjournment or postponement thereof. In order to attend, you must register in advance at </w:t>
      </w:r>
      <w:r>
        <w:rPr>
          <w:rFonts w:ascii="Times New Roman" w:cs="Times New Roman" w:eastAsia="Times New Roman" w:hAnsi="Times New Roman"/>
          <w:sz w:val="18"/>
          <w:szCs w:val="18"/>
          <w:u w:val="single" w:color="auto"/>
          <w:color w:val="auto"/>
        </w:rPr>
        <w:t>www.proxydocs.com/AVRO</w:t>
      </w:r>
      <w:r>
        <w:rPr>
          <w:rFonts w:ascii="Times New Roman" w:cs="Times New Roman" w:eastAsia="Times New Roman" w:hAnsi="Times New Roman"/>
          <w:sz w:val="18"/>
          <w:szCs w:val="18"/>
          <w:color w:val="auto"/>
        </w:rPr>
        <w:t xml:space="preserve"> prior to the deadline of June 6, 2022 at 5:00 p.m. Eastern Time. Upon completing your registration, you will receive further instructions via email, including your unique links that will allow you access to the meeting and will permit you to submit questions. You will not be able to attend the 2022 Annual Meeting in person.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pleased to take advantage of Securities and Exchange Commission rules that allow companies to furnish their proxy materials over the Internet. We are mailing to our stockholders a Notice of Internet Availability of Proxy Materials, or Notice, instead of a paper copy of our proxy materials and our 2021 Annual Report to Stockholders, or 2021 Annual Report. The Notice contains instructions on how to access those documents and to cast your vote via the Internet. The Notice also contains instructions on how to request a paper copy of our proxy materials and our 2021 Annual Report. This process allows us to provide our stockholders with necessary information on a more timely basis, while reducing the environmental impact and lowering the costs of printing and distributing our proxy materials.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Your vote is important. Whether or not you are able to attend the virtual Annual Meeting, it is important that your shares be represented. To ensure that your vote is recorded promptly, please vote as soon as possible, even if you plan to attend the virtual Annual Meeting. You may vote by submitting your proxy via the Internet, by telephone, or by mail (if you received paper copies of the proxy materials) by following the instructions on the proxy card or voting instruction card. Voting over the Internet or by telephone, written proxy or voting instruction card will ensure your representation at the virtual Annual Meeting regardless of whether you attend.</w:t>
      </w:r>
    </w:p>
    <w:p>
      <w:pPr>
        <w:spacing w:after="0" w:line="18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154305</wp:posOffset>
            </wp:positionV>
            <wp:extent cx="181737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73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8"/>
              </w:rPr>
              <w:t>GENERAL INFORMATION</w:t>
            </w:r>
          </w:p>
        </w:tc>
        <w:tc>
          <w:tcPr>
            <w:tcW w:w="8540" w:type="dxa"/>
            <w:vAlign w:val="bottom"/>
            <w:gridSpan w:val="9"/>
            <w:vMerge w:val="restart"/>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0000EE"/>
            </w:tcBorders>
            <w:gridSpan w:val="6"/>
            <w:vMerge w:val="continue"/>
          </w:tcPr>
          <w:p>
            <w:pPr>
              <w:spacing w:after="0"/>
              <w:rPr>
                <w:sz w:val="15"/>
                <w:szCs w:val="15"/>
                <w:color w:val="auto"/>
              </w:rPr>
            </w:pPr>
          </w:p>
        </w:tc>
        <w:tc>
          <w:tcPr>
            <w:tcW w:w="8540" w:type="dxa"/>
            <w:vAlign w:val="bottom"/>
            <w:gridSpan w:val="9"/>
            <w:vMerge w:val="continue"/>
          </w:tcPr>
          <w:p>
            <w:pPr>
              <w:spacing w:after="0"/>
              <w:rPr>
                <w:sz w:val="15"/>
                <w:szCs w:val="15"/>
                <w:color w:val="auto"/>
              </w:rPr>
            </w:pPr>
          </w:p>
        </w:tc>
        <w:tc>
          <w:tcPr>
            <w:tcW w:w="5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PROPOSAL NO. 1 – ELECTION OF CLASS I DIRECTORS</w:t>
            </w:r>
          </w:p>
        </w:tc>
        <w:tc>
          <w:tcPr>
            <w:tcW w:w="6180" w:type="dxa"/>
            <w:vAlign w:val="bottom"/>
            <w:gridSpan w:val="5"/>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PROPOSAL NO. 2 – RATIFICATION OF THE APPOINTMENT OF ERNST &amp; YOUNG LLP AS AVROBIO, INC.’S INDEPENDENT</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9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REGISTERED PUBLIC ACCOUNTING FIRM FOR THE FISCAL YEAR ENDING DECEMBER 31, 2022</w:t>
            </w:r>
          </w:p>
        </w:tc>
        <w:tc>
          <w:tcPr>
            <w:tcW w:w="1780" w:type="dxa"/>
            <w:vAlign w:val="bottom"/>
            <w:tcBorders>
              <w:top w:val="single" w:sz="8" w:color="0000EE"/>
            </w:tcBorders>
          </w:tcPr>
          <w:p>
            <w:pPr>
              <w:spacing w:after="0"/>
              <w:rPr>
                <w:sz w:val="17"/>
                <w:szCs w:val="17"/>
                <w:color w:val="auto"/>
              </w:rPr>
            </w:pPr>
          </w:p>
        </w:tc>
        <w:tc>
          <w:tcPr>
            <w:tcW w:w="740" w:type="dxa"/>
            <w:vAlign w:val="bottom"/>
            <w:gridSpan w:val="2"/>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PROPOSAL NO. 3 –APPROVAL OF AN AMENDMENT TO THE AVROBIO, INC., 2018 STOCK OPTION AND INCENTIVE PLAN</w:t>
            </w:r>
          </w:p>
        </w:tc>
        <w:tc>
          <w:tcPr>
            <w:tcW w:w="7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10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line="20" w:lineRule="exact"/>
              <w:rPr>
                <w:sz w:val="1"/>
                <w:szCs w:val="1"/>
                <w:color w:val="auto"/>
              </w:rPr>
            </w:pPr>
          </w:p>
        </w:tc>
      </w:tr>
      <w:tr>
        <w:trPr>
          <w:trHeight w:val="209"/>
        </w:trPr>
        <w:tc>
          <w:tcPr>
            <w:tcW w:w="5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5200" w:type="dxa"/>
            <w:vAlign w:val="bottom"/>
            <w:gridSpan w:val="4"/>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PRINCIPAL STOCKHOLDERS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0" w:type="dxa"/>
            <w:vAlign w:val="bottom"/>
            <w:gridSpan w:val="6"/>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line="20" w:lineRule="exact"/>
              <w:rPr>
                <w:sz w:val="1"/>
                <w:szCs w:val="1"/>
                <w:color w:val="auto"/>
              </w:rPr>
            </w:pPr>
          </w:p>
        </w:tc>
      </w:tr>
      <w:tr>
        <w:trPr>
          <w:trHeight w:val="209"/>
        </w:trPr>
        <w:tc>
          <w:tcPr>
            <w:tcW w:w="30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REPORT OF THE AUDIT COMMITTEE</w:t>
            </w:r>
          </w:p>
        </w:tc>
        <w:tc>
          <w:tcPr>
            <w:tcW w:w="7600" w:type="dxa"/>
            <w:vAlign w:val="bottom"/>
            <w:gridSpan w:val="6"/>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300" w:type="dxa"/>
            <w:vAlign w:val="bottom"/>
            <w:gridSpan w:val="7"/>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line="20" w:lineRule="exact"/>
              <w:rPr>
                <w:sz w:val="1"/>
                <w:szCs w:val="1"/>
                <w:color w:val="auto"/>
              </w:rPr>
            </w:pPr>
          </w:p>
        </w:tc>
      </w:tr>
      <w:tr>
        <w:trPr>
          <w:trHeight w:val="210"/>
        </w:trPr>
        <w:tc>
          <w:tcPr>
            <w:tcW w:w="10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STOCKHOLDER PROPOSALS</w:t>
            </w: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MATTERS</w:t>
            </w:r>
          </w:p>
        </w:tc>
        <w:tc>
          <w:tcPr>
            <w:tcW w:w="900" w:type="dxa"/>
            <w:vAlign w:val="bottom"/>
            <w:tcBorders>
              <w:top w:val="single" w:sz="8" w:color="0000EE"/>
            </w:tcBorders>
            <w:gridSpan w:val="3"/>
          </w:tcPr>
          <w:p>
            <w:pPr>
              <w:spacing w:after="0"/>
              <w:rPr>
                <w:sz w:val="18"/>
                <w:szCs w:val="18"/>
                <w:color w:val="auto"/>
              </w:rPr>
            </w:pPr>
          </w:p>
        </w:tc>
        <w:tc>
          <w:tcPr>
            <w:tcW w:w="8300" w:type="dxa"/>
            <w:vAlign w:val="bottom"/>
            <w:gridSpan w:val="7"/>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APPENDIX A</w:t>
            </w:r>
          </w:p>
        </w:tc>
        <w:tc>
          <w:tcPr>
            <w:tcW w:w="9600" w:type="dxa"/>
            <w:vAlign w:val="bottom"/>
            <w:gridSpan w:val="12"/>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0"/>
        </w:trPr>
        <w:tc>
          <w:tcPr>
            <w:tcW w:w="10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APPENDIX B</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9620" w:type="dxa"/>
            <w:vAlign w:val="bottom"/>
            <w:gridSpan w:val="13"/>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line="20" w:lineRule="exact"/>
              <w:rPr>
                <w:sz w:val="1"/>
                <w:szCs w:val="1"/>
                <w:color w:val="auto"/>
              </w:rPr>
            </w:pPr>
          </w:p>
        </w:tc>
      </w:tr>
      <w:tr>
        <w:trPr>
          <w:trHeight w:val="209"/>
        </w:trPr>
        <w:tc>
          <w:tcPr>
            <w:tcW w:w="106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APPENDIX C</w:t>
            </w: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389255</wp:posOffset>
            </wp:positionV>
            <wp:extent cx="217741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77415" cy="50609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Kendall Square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300, Suite 201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JUNE 8, 2022</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about the 2022 Annual Meeting of Stockholders, or the Annual Meeting, of AVROBIO, Inc., which will be held on Wednesday, June 8, 2022 at 9:00 a.m. Eastern Time. To protect the health and safety of our stockholders, employees, directors and community in light of the ongoing COVID-19 pandemic, the 2022 Annual Meeting will be a virtual stockholders meeting held at </w:t>
      </w:r>
      <w:r>
        <w:rPr>
          <w:rFonts w:ascii="Times New Roman" w:cs="Times New Roman" w:eastAsia="Times New Roman" w:hAnsi="Times New Roman"/>
          <w:sz w:val="18"/>
          <w:szCs w:val="18"/>
          <w:u w:val="single" w:color="auto"/>
          <w:color w:val="auto"/>
        </w:rPr>
        <w:t>www.proxydocs.com/AVRO</w:t>
      </w:r>
      <w:r>
        <w:rPr>
          <w:rFonts w:ascii="Times New Roman" w:cs="Times New Roman" w:eastAsia="Times New Roman" w:hAnsi="Times New Roman"/>
          <w:sz w:val="18"/>
          <w:szCs w:val="18"/>
          <w:color w:val="auto"/>
        </w:rPr>
        <w:t>. The board of directors of AVROBIO, Inc. is using this proxy statement to solicit proxies for use at the Annual Meeting. In this proxy statement, the terms “AVROBIO,” “Company,” “we,” “us,” and “our” refer to AVROBIO, Inc. The mailing address of our principal executive offices is One Kendall Square, Building 300, Suite 201, Cambridge, Massachusetts 02139.</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proxy tabulator written notice to that effect. Such written notice should be delivered by mail to Proxy Tabulator for AVROBIO, Inc., c/o Mediant Communications, P.O. Box 8016, Cary, NC 27512-9903.</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made this proxy statement and our Annual Report to Stockholders for the fiscal year ended December 31, 2021 available to stockholders on April 27,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under applicable federal securities laws and therefore permitted to conform with certain reduced public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requirements. As an emerging growth company, we provide in this proxy statement the scaled disclosure permitted under the Jumpstart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Startups Act of 2012, or the JOBS Act, including the compensation disclosures required of a “smaller reporting company,” as that term is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Rule 12b-2 promulgated under the Securities Exchange Act of 1934, as amended, or the Exchange Act. In addition, as an emerging growth company,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required to conduct votes seeking approval, on an advisory basis, of the compensation of our named executive officers or the frequency with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votes must be conducted. We will remain an “emerging growth company” until the earliest of (i) the last day of the fiscal year following the fifth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our June 2018 initial public offering; (ii) the last day of the fiscal year in which our total annual gross revenue is equal to or more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 billion; (iii) the date on which we have issued more than $1 billion in nonconvertible debt during the previous three years; or (iv) the date 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deemed to be a large accelerated filer under the rules of the Securities and Exchange Commission, or SEC. Even after we are no longer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we may remain a “smaller reporting company.”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Annual Meeting of Stockholders to be Held on June 8, 2022:</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statement and our 2021 Annual Report to Stockholders are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available for viewing, printing and downloading at </w:t>
      </w:r>
      <w:r>
        <w:rPr>
          <w:rFonts w:ascii="Times New Roman" w:cs="Times New Roman" w:eastAsia="Times New Roman" w:hAnsi="Times New Roman"/>
          <w:sz w:val="18"/>
          <w:szCs w:val="18"/>
          <w:b w:val="1"/>
          <w:bCs w:val="1"/>
          <w:i w:val="1"/>
          <w:iCs w:val="1"/>
          <w:color w:val="auto"/>
        </w:rPr>
        <w:t>www.proxydocs.com/AVRO</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2021, as filed with the SEC, except for exhibits, will be furnished without charge to any stockholder upon written request to AVROBIO, Inc., One Kendall Square, Building 300, Suite 201, Cambridge, Massachusetts 02139, Attention: Corporate Secretary. This proxy statement and our Annual Report on Form 10-K for the fiscal year ended December 31, 2021 are also available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or on our website at </w:t>
      </w:r>
      <w:r>
        <w:rPr>
          <w:rFonts w:ascii="Times New Roman" w:cs="Times New Roman" w:eastAsia="Times New Roman" w:hAnsi="Times New Roman"/>
          <w:sz w:val="18"/>
          <w:szCs w:val="18"/>
          <w:b w:val="1"/>
          <w:bCs w:val="1"/>
          <w:i w:val="1"/>
          <w:iCs w:val="1"/>
          <w:color w:val="auto"/>
        </w:rPr>
        <w:t>http://investors.avrobio.com/financial-information/sec-filings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2022 ANNUAL MEETING OF STOCKHOLDERS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27, 2022, we will begin mailing a Notice of Internet Availability of Proxy Materials, or Notice. Our proxy materials, including the Notice of 2022 Annual Meeting of Stockholders, this proxy statement and the accompanying proxy card or, for shares held in street name (i.e. held for your account by a broker or other nominee), a voting instruction form, and the 2021 Annual Report to Stockholders, or 2021 Annual Report, will be mailed or made available to stockholders on the Internet on or about the same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April 27, 2022. The Notice provides instructions as to how stockholders may access and review our proxy materials, including the Notice of 2022 Annual Meeting of Stockholders, this proxy statement, the proxy card and our 2021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2022 Annual Meeting of Stockholders, this proxy statement and our 2021 Annual Report are available on our website, no other information contained on either website is incorporated by reference in or considered to be a part of this proxy statement.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is soliciting your vote for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determination of stockholders entitled to vote at the Annual Meeting is the close of business on April 11,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can be cast by all stockholders?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43,696,470 shares of our common stock, par value $0.0001 per share, outstanding on April 11, 2022,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 this year?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light of the ongoing COVID-19 pandemic and after careful consideration, the board of directors determined to hold a virtual annual meeting again this year in order to protect the health and safety of our stockholders, employees, directors and community. We are committed to ensuring that stockholders will be afforded the same rights and opportunities to participate as they would at an in-person meeting. In order to attend the virtual Annual Meeting and vote your shares, you must register in advance at </w:t>
      </w:r>
      <w:r>
        <w:rPr>
          <w:rFonts w:ascii="Times New Roman" w:cs="Times New Roman" w:eastAsia="Times New Roman" w:hAnsi="Times New Roman"/>
          <w:sz w:val="18"/>
          <w:szCs w:val="18"/>
          <w:u w:val="single" w:color="auto"/>
          <w:color w:val="auto"/>
        </w:rPr>
        <w:t>www.proxydocs.com/AVRO</w:t>
      </w:r>
      <w:r>
        <w:rPr>
          <w:rFonts w:ascii="Times New Roman" w:cs="Times New Roman" w:eastAsia="Times New Roman" w:hAnsi="Times New Roman"/>
          <w:sz w:val="18"/>
          <w:szCs w:val="18"/>
          <w:color w:val="auto"/>
        </w:rPr>
        <w:t xml:space="preserve"> prior to the deadline of June 6, 2022 at 5:00 p.m. Eastern Time. There will not be an in-person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w:t>
      </w:r>
    </w:p>
    <w:p>
      <w:pPr>
        <w:spacing w:after="0" w:line="115" w:lineRule="exact"/>
        <w:rPr>
          <w:sz w:val="20"/>
          <w:szCs w:val="20"/>
          <w:color w:val="auto"/>
        </w:rPr>
      </w:pPr>
    </w:p>
    <w:p>
      <w:pPr>
        <w:ind w:left="800" w:right="200" w:hanging="401"/>
        <w:spacing w:after="0" w:line="267"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or Telephone prior to the Annual Meeting. </w:t>
      </w:r>
      <w:r>
        <w:rPr>
          <w:rFonts w:ascii="Times New Roman" w:cs="Times New Roman" w:eastAsia="Times New Roman" w:hAnsi="Times New Roman"/>
          <w:sz w:val="18"/>
          <w:szCs w:val="18"/>
          <w:color w:val="auto"/>
        </w:rPr>
        <w:t>You can vote by proxy over the Internet or by telephone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the Notice. In order to be counted, proxies submitted by Internet or by telephone must be received by the cutoff time of 11:59 p.m. Eastern Time on June 7, 2022.</w:t>
      </w:r>
    </w:p>
    <w:p>
      <w:pPr>
        <w:spacing w:after="0" w:line="65" w:lineRule="exact"/>
        <w:rPr>
          <w:rFonts w:ascii="Times New Roman" w:cs="Times New Roman" w:eastAsia="Times New Roman" w:hAnsi="Times New Roman"/>
          <w:sz w:val="18"/>
          <w:szCs w:val="18"/>
          <w:color w:val="auto"/>
        </w:rPr>
      </w:pPr>
    </w:p>
    <w:p>
      <w:pPr>
        <w:ind w:left="800" w:right="420" w:hanging="401"/>
        <w:spacing w:after="0" w:line="284"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Mail prior to the Annual Meeting. </w:t>
      </w:r>
      <w:r>
        <w:rPr>
          <w:rFonts w:ascii="Times New Roman" w:cs="Times New Roman" w:eastAsia="Times New Roman" w:hAnsi="Times New Roman"/>
          <w:sz w:val="18"/>
          <w:szCs w:val="18"/>
          <w:color w:val="auto"/>
        </w:rPr>
        <w:t>If you requested printed copies of the proxy materials by mail, you can vote by mailing your proxy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proxy materials. Proxies submitted by mail must be received before the start of the Annual Meeting.</w:t>
      </w:r>
    </w:p>
    <w:p>
      <w:pPr>
        <w:spacing w:after="0" w:line="50" w:lineRule="exact"/>
        <w:rPr>
          <w:rFonts w:ascii="Times New Roman" w:cs="Times New Roman" w:eastAsia="Times New Roman" w:hAnsi="Times New Roman"/>
          <w:sz w:val="18"/>
          <w:szCs w:val="18"/>
          <w:color w:val="auto"/>
        </w:rPr>
      </w:pPr>
    </w:p>
    <w:p>
      <w:pPr>
        <w:ind w:left="800" w:right="20" w:hanging="401"/>
        <w:spacing w:after="0" w:line="261"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during the Annual Meeting. </w:t>
      </w:r>
      <w:r>
        <w:rPr>
          <w:rFonts w:ascii="Times New Roman" w:cs="Times New Roman" w:eastAsia="Times New Roman" w:hAnsi="Times New Roman"/>
          <w:sz w:val="18"/>
          <w:szCs w:val="18"/>
          <w:color w:val="auto"/>
        </w:rPr>
        <w:t>You may vote during the virtual Annual Meeting by following the instructions available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www.proxydocs.com/AVRO</w:t>
      </w:r>
      <w:r>
        <w:rPr>
          <w:rFonts w:ascii="Times New Roman" w:cs="Times New Roman" w:eastAsia="Times New Roman" w:hAnsi="Times New Roman"/>
          <w:sz w:val="18"/>
          <w:szCs w:val="18"/>
          <w:color w:val="auto"/>
        </w:rPr>
        <w:t xml:space="preserve">. If you hold your shares through a bank or broker and wish to vote at the virtual Annual Meeting, you must obtain a valid proxy from the firm that holds your shares. In order to attend the virtual Annual Meeting and vote your shares, you must register in advance at </w:t>
      </w:r>
      <w:r>
        <w:rPr>
          <w:rFonts w:ascii="Times New Roman" w:cs="Times New Roman" w:eastAsia="Times New Roman" w:hAnsi="Times New Roman"/>
          <w:sz w:val="18"/>
          <w:szCs w:val="18"/>
          <w:u w:val="single" w:color="auto"/>
          <w:color w:val="auto"/>
        </w:rPr>
        <w:t>www.proxydocs.com/AVRO</w:t>
      </w:r>
      <w:r>
        <w:rPr>
          <w:rFonts w:ascii="Times New Roman" w:cs="Times New Roman" w:eastAsia="Times New Roman" w:hAnsi="Times New Roman"/>
          <w:sz w:val="18"/>
          <w:szCs w:val="18"/>
          <w:color w:val="auto"/>
        </w:rPr>
        <w:t xml:space="preserve"> prior to the deadline of June 6, 2022 at 5:00 p.m. Eastern Time.</w:t>
      </w:r>
    </w:p>
    <w:p>
      <w:pPr>
        <w:spacing w:after="0" w:line="1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submit a question for the Annual Meeting?</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Stockholders of record will have the opportunity to submit questions in advance of the meeting. To attend the Annual Meeting, you must register in advance at www.proxydocs.com/AVRO prior to the deadline of June 6, 2022 at 5:00 p.m. Eastern Time. Upon completing your registration, you will receive further instructions via email, including your unique links that will allow you access to the meeting and will permit you to submit questions in advance of the meeting. All questions presented should relate directly to the agenda item under discussion. We reserve the right to exclude questions regarding topics that are not pertinent to meeting matters or company business in the chairperson’s sole and absolute discretion. If we receive substantially similar questions, we may group such questions together and provide a single response to avoid repetition.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revoke my proxy?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may revoke your proxy by (1) following the instructions on the Notice and entering a new vote by mail that we receive before the start of the Annual Meeting or over the Internet by the cutoff time of 11:59 p.m. Eastern Time on June 7, 2022, (2) attending and voting at the virtual Annual Meeting (although attendance at the virtual Annual Meeting will not in and of itself revoke a proxy), or (3) by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Such written notice of revocation or subsequent proxy card should be delivered by mail to Proxy Tabulator for AVROBIO, Inc., c/o Mediant Communications, P.O. Box 8016, Cary, NC 27512-9903.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broker, bank, or other nominee holds your shares, you must contact such broker, bank, or nominee in order to find out how to change your vote.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or bylaws, provide that a majority of the shares entitled to vote, present in person or represented by proxy, will constitute a quorum for the transaction of business at the Annual Meeting.</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the vote counted?</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8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Nos. 1 and 3 are “non-discretionary” items. If you do not instruct your broker how to vote with respect to these proposals, your broker may not vote for such proposals, and those votes will be counted as broker “non-votes.” Proposal No. 2 is considered to be a discretionary item, and your brokerage firm will be able to vote on this proposal even if it does not receive instructions from you.</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Donnelley Financial Solutions to assist us in the distribution of proxy materials. Proxy solicitation expenses that we will pay include those for preparation, mailing, returning, and tabulating the proxies. In addition, we have engaged Innisfree M&amp;A Incorporated to assist us with our stockholder engagement process and the solicitation of proxies, and we may pay them up to $30,000 for their services for the Annual Meeting.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stockholders submit matters for consideration at an annual meeting?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 For stockholder proposals to be brought before the 2023 Annual Meeting of Stockholders, the required notice must be received by our Corporate Secretary at our principal executive offices no earlier than February 8, 2023 and no later than March 10, 2023. Stockholder proposals and the required notice should be addressed to AVROBIO, Inc., One Kendall Square, Building 300, Suite 201, Cambridge, Massachusetts 02139, Attention: Corporate Secretary</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any stockholder proposal intended to be included in the proxy statement for the next annual meeting of our stockholders in 2023 must also satisfy the requirements of SEC Rule 14a-8 under the Securities Exchange Act of 1934, as amended, or the Exchange Act, and be received not later than December 28, 2022. If the date of the 2023 Annual Meeting is moved by more than 30 days from the date contemplated at the time of the previous year’s proxy statement, then notice must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right="400"/>
        <w:spacing w:after="0" w:line="282" w:lineRule="auto"/>
        <w:rPr>
          <w:sz w:val="20"/>
          <w:szCs w:val="20"/>
          <w:color w:val="auto"/>
        </w:rPr>
      </w:pPr>
      <w:r>
        <w:rPr>
          <w:rFonts w:ascii="Times New Roman" w:cs="Times New Roman" w:eastAsia="Times New Roman" w:hAnsi="Times New Roman"/>
          <w:sz w:val="18"/>
          <w:szCs w:val="18"/>
          <w:color w:val="auto"/>
        </w:rPr>
        <w:t>be received within a reasonable time before we begin to print and send proxy materials. If that happens, we will publicly announce the deadline for submitting a proposal in a press release or in a document filed with the SEC.</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comply with the universal proxy rules (once effective), stockholders who intend to solicit proxies in support of director nominees other than the Company’s nominees must provide notice that sets forth the information required by Rule 14a-19 under the Exchange Act no later than April 7, 2023. Stockholder proposals and the required notice should be addressed to AVROBIO, Inc., One Kendall Square, Building 300, Suite 201, Cambridge, Massachusetts 02139, Attention: Corporate Secretary.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know the voting results?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553" w:right="5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ELECTION OF CLASS I DIRECTORS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68" w:lineRule="exact"/>
        <w:rPr>
          <w:sz w:val="20"/>
          <w:szCs w:val="20"/>
          <w:color w:val="auto"/>
        </w:rPr>
      </w:pPr>
    </w:p>
    <w:p>
      <w:pPr>
        <w:ind w:left="800" w:hanging="401"/>
        <w:spacing w:after="0"/>
        <w:tabs>
          <w:tab w:leader="none" w:pos="8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 directors are Gail Farfel, Ph.D., Christopher Paige, Ph.D. and Philip Vickers, Ph.D., and their terms will expire at the Annual Meeting;</w:t>
      </w:r>
    </w:p>
    <w:p>
      <w:pPr>
        <w:spacing w:after="0" w:line="155" w:lineRule="exact"/>
        <w:rPr>
          <w:rFonts w:ascii="Times New Roman" w:cs="Times New Roman" w:eastAsia="Times New Roman" w:hAnsi="Times New Roman"/>
          <w:sz w:val="17"/>
          <w:szCs w:val="17"/>
          <w:color w:val="auto"/>
        </w:rPr>
      </w:pPr>
    </w:p>
    <w:p>
      <w:pPr>
        <w:ind w:left="800" w:right="80" w:hanging="401"/>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Ian Clark and Annalisa Jenkins, M.B.B.S., F.R.C.P., and their terms will expire at the annual meeting of stockholders to be held in 2023; and</w:t>
      </w:r>
    </w:p>
    <w:p>
      <w:pPr>
        <w:spacing w:after="0" w:line="53" w:lineRule="exact"/>
        <w:rPr>
          <w:rFonts w:ascii="Times New Roman" w:cs="Times New Roman" w:eastAsia="Times New Roman" w:hAnsi="Times New Roman"/>
          <w:sz w:val="18"/>
          <w:szCs w:val="18"/>
          <w:color w:val="auto"/>
        </w:rPr>
      </w:pPr>
    </w:p>
    <w:p>
      <w:pPr>
        <w:ind w:left="800" w:right="500" w:hanging="401"/>
        <w:spacing w:after="0" w:line="282" w:lineRule="auto"/>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Bruce Booth, D.Phil., Phillip Donenberg and Geoff MacKay, and their terms will expire at the annual meeting of stockholders to be held in 2024.</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has nominated Gail Farfel, Ph.D., Christopher Paige, Ph.D. and Philip Vickers, Ph.D. for election as the class I directors at the Annual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a diversity of experience and other characteristics, such as gender, race, ethnicity, culture, nationality and sexual orientation, are an important part of its makeup. Accordingly, in 2021 the board of directors amended our Corporate Governance Guidelines to provide that when identifying prospective director candidates, the Nominating and Corporate Governance Committee may: (i) consider candidates with diverse backgrounds in terms of knowledge, experience, skills and other characteristics in the context of the needs of the Company at that point in time with a view to creating a board with a diversity of experience and perspectives; and (ii) include in the pool from which director candidates are identified candidates with a diversity of gender, race, ethnicity, culture, nationality or sexual orientation (and any third party engaged to identify candidates for such pool may be asked to include such candidates). Our priority in selection of board members is identification of members who will further the interests of our stockholders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recently adopted Nasdaq Stock Market LLC, or Nasdaq, listing requirements require each listed company to have, or explain why it does not have, at least two Diverse (as defined in Nasdaq Rule 5605(f)) directors on the board, including at least one Diverse director who self-identifies as female and one Diverse director who self-identifies as part of an underrepresented minority or LGBTQ+. However, smaller reporting companies, such as AVROBIO, may satisfy this requirement by having two female directors. The current composition of our board of directors is in compliance with the Nasdaq diversity requirement. The table below provides certain highlights of the composition of our board members and nominees based on their voluntary self-identified demographic characteristics. The categories “Female,” “LGBTQ+,” and “Two or More Races or Ethnicities” as used in the below table have the definitions as provided in Nasdaq Rule 5605(f).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229"/>
        </w:trPr>
        <w:tc>
          <w:tcPr>
            <w:tcW w:w="2640" w:type="dxa"/>
            <w:vAlign w:val="bottom"/>
            <w:shd w:val="clear" w:color="auto" w:fill="CFF0FC"/>
          </w:tcPr>
          <w:p>
            <w:pPr>
              <w:spacing w:after="0"/>
              <w:rPr>
                <w:sz w:val="19"/>
                <w:szCs w:val="19"/>
                <w:color w:val="auto"/>
              </w:rPr>
            </w:pPr>
          </w:p>
        </w:tc>
        <w:tc>
          <w:tcPr>
            <w:tcW w:w="3740" w:type="dxa"/>
            <w:vAlign w:val="bottom"/>
            <w:gridSpan w:val="6"/>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27, 2022)</w:t>
            </w: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0"/>
        </w:trPr>
        <w:tc>
          <w:tcPr>
            <w:tcW w:w="2640" w:type="dxa"/>
            <w:vAlign w:val="bottom"/>
            <w:shd w:val="clear" w:color="auto" w:fill="C9C9C9"/>
          </w:tcPr>
          <w:p>
            <w:pPr>
              <w:spacing w:after="0"/>
              <w:rPr>
                <w:sz w:val="20"/>
                <w:szCs w:val="20"/>
                <w:color w:val="auto"/>
              </w:rPr>
            </w:pPr>
            <w:r>
              <w:rPr>
                <w:rFonts w:ascii="Times New Roman" w:cs="Times New Roman" w:eastAsia="Times New Roman" w:hAnsi="Times New Roman"/>
                <w:sz w:val="18"/>
                <w:szCs w:val="18"/>
                <w:b w:val="1"/>
                <w:bCs w:val="1"/>
                <w:color w:val="auto"/>
              </w:rPr>
              <w:t>Board Size:</w:t>
            </w:r>
          </w:p>
        </w:tc>
        <w:tc>
          <w:tcPr>
            <w:tcW w:w="2080" w:type="dxa"/>
            <w:vAlign w:val="bottom"/>
            <w:shd w:val="clear" w:color="auto" w:fill="C9C9C9"/>
          </w:tcPr>
          <w:p>
            <w:pPr>
              <w:spacing w:after="0"/>
              <w:rPr>
                <w:sz w:val="19"/>
                <w:szCs w:val="19"/>
                <w:color w:val="auto"/>
              </w:rPr>
            </w:pPr>
          </w:p>
        </w:tc>
        <w:tc>
          <w:tcPr>
            <w:tcW w:w="60" w:type="dxa"/>
            <w:vAlign w:val="bottom"/>
            <w:shd w:val="clear" w:color="auto" w:fill="C9C9C9"/>
          </w:tcPr>
          <w:p>
            <w:pPr>
              <w:spacing w:after="0"/>
              <w:rPr>
                <w:sz w:val="19"/>
                <w:szCs w:val="19"/>
                <w:color w:val="auto"/>
              </w:rPr>
            </w:pPr>
          </w:p>
        </w:tc>
        <w:tc>
          <w:tcPr>
            <w:tcW w:w="540" w:type="dxa"/>
            <w:vAlign w:val="bottom"/>
            <w:shd w:val="clear" w:color="auto" w:fill="C9C9C9"/>
          </w:tcPr>
          <w:p>
            <w:pPr>
              <w:spacing w:after="0"/>
              <w:rPr>
                <w:sz w:val="19"/>
                <w:szCs w:val="19"/>
                <w:color w:val="auto"/>
              </w:rPr>
            </w:pPr>
          </w:p>
        </w:tc>
        <w:tc>
          <w:tcPr>
            <w:tcW w:w="220" w:type="dxa"/>
            <w:vAlign w:val="bottom"/>
            <w:shd w:val="clear" w:color="auto" w:fill="C9C9C9"/>
          </w:tcPr>
          <w:p>
            <w:pPr>
              <w:spacing w:after="0"/>
              <w:rPr>
                <w:sz w:val="19"/>
                <w:szCs w:val="19"/>
                <w:color w:val="auto"/>
              </w:rPr>
            </w:pPr>
          </w:p>
        </w:tc>
        <w:tc>
          <w:tcPr>
            <w:tcW w:w="60" w:type="dxa"/>
            <w:vAlign w:val="bottom"/>
            <w:shd w:val="clear" w:color="auto" w:fill="C9C9C9"/>
          </w:tcPr>
          <w:p>
            <w:pPr>
              <w:spacing w:after="0"/>
              <w:rPr>
                <w:sz w:val="19"/>
                <w:szCs w:val="19"/>
                <w:color w:val="auto"/>
              </w:rPr>
            </w:pPr>
          </w:p>
        </w:tc>
        <w:tc>
          <w:tcPr>
            <w:tcW w:w="780" w:type="dxa"/>
            <w:vAlign w:val="bottom"/>
            <w:shd w:val="clear" w:color="auto" w:fill="C9C9C9"/>
          </w:tcPr>
          <w:p>
            <w:pPr>
              <w:spacing w:after="0"/>
              <w:rPr>
                <w:sz w:val="19"/>
                <w:szCs w:val="19"/>
                <w:color w:val="auto"/>
              </w:rPr>
            </w:pPr>
          </w:p>
        </w:tc>
        <w:tc>
          <w:tcPr>
            <w:tcW w:w="60" w:type="dxa"/>
            <w:vAlign w:val="bottom"/>
            <w:shd w:val="clear" w:color="auto" w:fill="C9C9C9"/>
          </w:tcPr>
          <w:p>
            <w:pPr>
              <w:spacing w:after="0"/>
              <w:rPr>
                <w:sz w:val="19"/>
                <w:szCs w:val="19"/>
                <w:color w:val="auto"/>
              </w:rPr>
            </w:pPr>
          </w:p>
        </w:tc>
        <w:tc>
          <w:tcPr>
            <w:tcW w:w="940" w:type="dxa"/>
            <w:vAlign w:val="bottom"/>
            <w:shd w:val="clear" w:color="auto" w:fill="C9C9C9"/>
          </w:tcPr>
          <w:p>
            <w:pPr>
              <w:spacing w:after="0"/>
              <w:rPr>
                <w:sz w:val="19"/>
                <w:szCs w:val="19"/>
                <w:color w:val="auto"/>
              </w:rPr>
            </w:pPr>
          </w:p>
        </w:tc>
        <w:tc>
          <w:tcPr>
            <w:tcW w:w="80" w:type="dxa"/>
            <w:vAlign w:val="bottom"/>
            <w:shd w:val="clear" w:color="auto" w:fill="C9C9C9"/>
          </w:tcPr>
          <w:p>
            <w:pPr>
              <w:spacing w:after="0"/>
              <w:rPr>
                <w:sz w:val="19"/>
                <w:szCs w:val="19"/>
                <w:color w:val="auto"/>
              </w:rPr>
            </w:pPr>
          </w:p>
        </w:tc>
        <w:tc>
          <w:tcPr>
            <w:tcW w:w="1520" w:type="dxa"/>
            <w:vAlign w:val="bottom"/>
            <w:shd w:val="clear" w:color="auto" w:fill="C9C9C9"/>
          </w:tcPr>
          <w:p>
            <w:pPr>
              <w:spacing w:after="0"/>
              <w:rPr>
                <w:sz w:val="19"/>
                <w:szCs w:val="19"/>
                <w:color w:val="auto"/>
              </w:rPr>
            </w:pPr>
          </w:p>
        </w:tc>
      </w:tr>
      <w:tr>
        <w:trPr>
          <w:trHeight w:val="229"/>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 Directors</w:t>
            </w:r>
          </w:p>
        </w:tc>
        <w:tc>
          <w:tcPr>
            <w:tcW w:w="20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07"/>
        </w:trPr>
        <w:tc>
          <w:tcPr>
            <w:tcW w:w="2640" w:type="dxa"/>
            <w:vAlign w:val="bottom"/>
            <w:shd w:val="clear" w:color="auto" w:fill="C9C9C9"/>
          </w:tcPr>
          <w:p>
            <w:pPr>
              <w:spacing w:after="0"/>
              <w:rPr>
                <w:sz w:val="18"/>
                <w:szCs w:val="18"/>
                <w:color w:val="auto"/>
              </w:rPr>
            </w:pPr>
          </w:p>
        </w:tc>
        <w:tc>
          <w:tcPr>
            <w:tcW w:w="2080" w:type="dxa"/>
            <w:vAlign w:val="bottom"/>
            <w:shd w:val="clear" w:color="auto" w:fill="C9C9C9"/>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shd w:val="clear" w:color="auto" w:fill="C9C9C9"/>
          </w:tcPr>
          <w:p>
            <w:pPr>
              <w:spacing w:after="0"/>
              <w:rPr>
                <w:sz w:val="18"/>
                <w:szCs w:val="18"/>
                <w:color w:val="auto"/>
              </w:rPr>
            </w:pPr>
          </w:p>
        </w:tc>
        <w:tc>
          <w:tcPr>
            <w:tcW w:w="220" w:type="dxa"/>
            <w:vAlign w:val="bottom"/>
            <w:shd w:val="clear" w:color="auto" w:fill="C9C9C9"/>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shd w:val="clear" w:color="auto" w:fill="C9C9C9"/>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shd w:val="clear" w:color="auto" w:fill="C9C9C9"/>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Non-</w:t>
            </w:r>
          </w:p>
        </w:tc>
        <w:tc>
          <w:tcPr>
            <w:tcW w:w="80" w:type="dxa"/>
            <w:vAlign w:val="bottom"/>
          </w:tcPr>
          <w:p>
            <w:pPr>
              <w:spacing w:after="0"/>
              <w:rPr>
                <w:sz w:val="18"/>
                <w:szCs w:val="18"/>
                <w:color w:val="auto"/>
              </w:rPr>
            </w:pPr>
          </w:p>
        </w:tc>
        <w:tc>
          <w:tcPr>
            <w:tcW w:w="1520" w:type="dxa"/>
            <w:vAlign w:val="bottom"/>
            <w:shd w:val="clear" w:color="auto" w:fill="C9C9C9"/>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38"/>
        </w:trPr>
        <w:tc>
          <w:tcPr>
            <w:tcW w:w="2640" w:type="dxa"/>
            <w:vAlign w:val="bottom"/>
            <w:shd w:val="clear" w:color="auto" w:fill="C9C9C9"/>
          </w:tcPr>
          <w:p>
            <w:pPr>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2080" w:type="dxa"/>
            <w:vAlign w:val="bottom"/>
            <w:shd w:val="clear" w:color="auto" w:fill="C9C9C9"/>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shd w:val="clear" w:color="auto" w:fill="C9C9C9"/>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20" w:type="dxa"/>
            <w:vAlign w:val="bottom"/>
            <w:shd w:val="clear" w:color="auto" w:fill="C9C9C9"/>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shd w:val="clear" w:color="auto" w:fill="C9C9C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60" w:type="dxa"/>
            <w:vAlign w:val="bottom"/>
          </w:tcPr>
          <w:p>
            <w:pPr>
              <w:spacing w:after="0"/>
              <w:rPr>
                <w:sz w:val="20"/>
                <w:szCs w:val="20"/>
                <w:color w:val="auto"/>
              </w:rPr>
            </w:pPr>
          </w:p>
        </w:tc>
        <w:tc>
          <w:tcPr>
            <w:tcW w:w="940" w:type="dxa"/>
            <w:vAlign w:val="bottom"/>
            <w:shd w:val="clear" w:color="auto" w:fill="C9C9C9"/>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Binary</w:t>
            </w:r>
          </w:p>
        </w:tc>
        <w:tc>
          <w:tcPr>
            <w:tcW w:w="80" w:type="dxa"/>
            <w:vAlign w:val="bottom"/>
          </w:tcPr>
          <w:p>
            <w:pPr>
              <w:spacing w:after="0"/>
              <w:rPr>
                <w:sz w:val="20"/>
                <w:szCs w:val="20"/>
                <w:color w:val="auto"/>
              </w:rPr>
            </w:pPr>
          </w:p>
        </w:tc>
        <w:tc>
          <w:tcPr>
            <w:tcW w:w="1520" w:type="dxa"/>
            <w:vAlign w:val="bottom"/>
            <w:shd w:val="clear" w:color="auto" w:fill="C9C9C9"/>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Undisclosed</w:t>
            </w:r>
          </w:p>
        </w:tc>
      </w:tr>
      <w:tr>
        <w:trPr>
          <w:trHeight w:val="229"/>
        </w:trPr>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directors based on gender identity</w:t>
            </w:r>
          </w:p>
        </w:tc>
        <w:tc>
          <w:tcPr>
            <w:tcW w:w="60" w:type="dxa"/>
            <w:vAlign w:val="bottom"/>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20" w:type="dxa"/>
            <w:vAlign w:val="bottom"/>
            <w:gridSpan w:val="4"/>
            <w:shd w:val="clear" w:color="auto" w:fill="C9C9C9"/>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identity in any of the categories below:</w:t>
            </w:r>
          </w:p>
        </w:tc>
        <w:tc>
          <w:tcPr>
            <w:tcW w:w="220" w:type="dxa"/>
            <w:vAlign w:val="bottom"/>
            <w:shd w:val="clear" w:color="auto" w:fill="C9C9C9"/>
          </w:tcPr>
          <w:p>
            <w:pPr>
              <w:spacing w:after="0"/>
              <w:rPr>
                <w:sz w:val="19"/>
                <w:szCs w:val="19"/>
                <w:color w:val="auto"/>
              </w:rPr>
            </w:pPr>
          </w:p>
        </w:tc>
        <w:tc>
          <w:tcPr>
            <w:tcW w:w="60" w:type="dxa"/>
            <w:vAlign w:val="bottom"/>
            <w:shd w:val="clear" w:color="auto" w:fill="C9C9C9"/>
          </w:tcPr>
          <w:p>
            <w:pPr>
              <w:spacing w:after="0"/>
              <w:rPr>
                <w:sz w:val="19"/>
                <w:szCs w:val="19"/>
                <w:color w:val="auto"/>
              </w:rPr>
            </w:pPr>
          </w:p>
        </w:tc>
        <w:tc>
          <w:tcPr>
            <w:tcW w:w="780" w:type="dxa"/>
            <w:vAlign w:val="bottom"/>
            <w:shd w:val="clear" w:color="auto" w:fill="C9C9C9"/>
          </w:tcPr>
          <w:p>
            <w:pPr>
              <w:spacing w:after="0"/>
              <w:rPr>
                <w:sz w:val="19"/>
                <w:szCs w:val="19"/>
                <w:color w:val="auto"/>
              </w:rPr>
            </w:pPr>
          </w:p>
        </w:tc>
        <w:tc>
          <w:tcPr>
            <w:tcW w:w="60" w:type="dxa"/>
            <w:vAlign w:val="bottom"/>
            <w:shd w:val="clear" w:color="auto" w:fill="C9C9C9"/>
          </w:tcPr>
          <w:p>
            <w:pPr>
              <w:spacing w:after="0"/>
              <w:rPr>
                <w:sz w:val="19"/>
                <w:szCs w:val="19"/>
                <w:color w:val="auto"/>
              </w:rPr>
            </w:pPr>
          </w:p>
        </w:tc>
        <w:tc>
          <w:tcPr>
            <w:tcW w:w="940" w:type="dxa"/>
            <w:vAlign w:val="bottom"/>
            <w:shd w:val="clear" w:color="auto" w:fill="C9C9C9"/>
          </w:tcPr>
          <w:p>
            <w:pPr>
              <w:spacing w:after="0"/>
              <w:rPr>
                <w:sz w:val="19"/>
                <w:szCs w:val="19"/>
                <w:color w:val="auto"/>
              </w:rPr>
            </w:pPr>
          </w:p>
        </w:tc>
        <w:tc>
          <w:tcPr>
            <w:tcW w:w="80" w:type="dxa"/>
            <w:vAlign w:val="bottom"/>
            <w:shd w:val="clear" w:color="auto" w:fill="C9C9C9"/>
          </w:tcPr>
          <w:p>
            <w:pPr>
              <w:spacing w:after="0"/>
              <w:rPr>
                <w:sz w:val="19"/>
                <w:szCs w:val="19"/>
                <w:color w:val="auto"/>
              </w:rPr>
            </w:pPr>
          </w:p>
        </w:tc>
        <w:tc>
          <w:tcPr>
            <w:tcW w:w="1520" w:type="dxa"/>
            <w:vAlign w:val="bottom"/>
            <w:shd w:val="clear" w:color="auto" w:fill="C9C9C9"/>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0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Asian</w:t>
            </w:r>
          </w:p>
        </w:tc>
        <w:tc>
          <w:tcPr>
            <w:tcW w:w="208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08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08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2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Undisclosed</w:t>
            </w:r>
          </w:p>
        </w:tc>
        <w:tc>
          <w:tcPr>
            <w:tcW w:w="208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 Directors</w:t>
      </w:r>
    </w:p>
    <w:p>
      <w:pPr>
        <w:spacing w:after="0" w:line="12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 and narrative information identifies our nominees for class I directors, and sets forth their principal occupation and business experience during the last five years and their ages as of April 11, 2022.</w:t>
      </w: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80" w:type="dxa"/>
            <w:vAlign w:val="bottom"/>
          </w:tcPr>
          <w:p>
            <w:pPr>
              <w:spacing w:after="0"/>
              <w:rPr>
                <w:sz w:val="16"/>
                <w:szCs w:val="16"/>
                <w:color w:val="auto"/>
              </w:rPr>
            </w:pPr>
          </w:p>
        </w:tc>
      </w:tr>
      <w:tr>
        <w:trPr>
          <w:trHeight w:val="199"/>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Positions and Offices Held with AVROBIO</w:t>
            </w: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23"/>
        </w:trPr>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Gail Farfel, Ph.D.</w:t>
            </w:r>
          </w:p>
        </w:tc>
        <w:tc>
          <w:tcPr>
            <w:tcW w:w="320" w:type="dxa"/>
            <w:vAlign w:val="bottom"/>
            <w:tcBorders>
              <w:top w:val="single" w:sz="8" w:color="CFF0FC"/>
            </w:tcBorders>
            <w:shd w:val="clear" w:color="auto" w:fill="CFF0FC"/>
          </w:tcPr>
          <w:p>
            <w:pPr>
              <w:spacing w:after="0"/>
              <w:rPr>
                <w:sz w:val="19"/>
                <w:szCs w:val="19"/>
                <w:color w:val="auto"/>
              </w:rPr>
            </w:pPr>
          </w:p>
        </w:tc>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Paige, Ph.D.</w:t>
            </w:r>
          </w:p>
        </w:tc>
        <w:tc>
          <w:tcPr>
            <w:tcW w:w="4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J. Vickers, Ph.D.</w:t>
            </w:r>
          </w:p>
        </w:tc>
        <w:tc>
          <w:tcPr>
            <w:tcW w:w="480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bl>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Gail M. Farfel, Ph.D. </w:t>
      </w:r>
      <w:r>
        <w:rPr>
          <w:rFonts w:ascii="Times New Roman" w:cs="Times New Roman" w:eastAsia="Times New Roman" w:hAnsi="Times New Roman"/>
          <w:sz w:val="18"/>
          <w:szCs w:val="18"/>
          <w:color w:val="auto"/>
        </w:rPr>
        <w:t>has served as a member of our board of directors since October 2020. Dr. Farfel is the executive vice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officer of Zogenix Inc. (Nasdaq: ZGNX), a biopharmaceutical company, and has served in such role since June 2015. Previously, Dr. Farfel was chief clinical and regulatory officer of Marinus Pharmaceuticals, establishing and overseeing clinical, medical and regulatory strategies for adult and pediatric seizure disorders, including a pediatric epileptic orphan disease. Prior to that, she was vice president, therapeutic area head for neuroscience clinical development and medical affairs at Novartis Pharmaceuticals Corporation, where she oversaw a portfolio of products for multiple sclerosis, Alzheimer’s disease and Parkinson’s disease. Dr. Farfel serves on the board of directors of Zogenix International Ltd., a wholly owned subsidiary of Zogenix, Inc., and Durect Corporation (Nasdaq: DRRX). Dr. Farfel holds a Ph.D. in neuropsychopharmacology from the University of Chicago, where she received the Ginsburg Prize for Dissertation Excellence and is a director on the Medical and Biological Sciences Alumni Board. She also holds a B.S in biochemistry from the University of Virginia. We believe that Dr. Farfel is qualified to serve on our board of directors because of her scientific, executive, and industry experience in the field in which we operate.</w:t>
      </w:r>
    </w:p>
    <w:p>
      <w:pPr>
        <w:spacing w:after="0" w:line="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Paige, Ph.D. </w:t>
      </w:r>
      <w:r>
        <w:rPr>
          <w:rFonts w:ascii="Times New Roman" w:cs="Times New Roman" w:eastAsia="Times New Roman" w:hAnsi="Times New Roman"/>
          <w:sz w:val="18"/>
          <w:szCs w:val="18"/>
          <w:color w:val="auto"/>
        </w:rPr>
        <w:t>has served as a member of our board of directors since January 2016. Dr. Paige is a professor in the departments of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biophysics and immunology at the University of Toronto and has served in that role since 1987. He also holds the position of Emeritus Senior Scientist at University Health Network (UHN) after having served as a senior scientist at UHN from 1987 to 2021. From 1997 to October 2016, he served as the vice president, research of the University Health Network.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We believe Dr. Paige is qualified to serve on our board of directors because of his scientific and industry experience in the field in which we operate.</w:t>
      </w:r>
    </w:p>
    <w:p>
      <w:pPr>
        <w:spacing w:after="0" w:line="18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Philip J. Vickers, Ph.D. </w:t>
      </w:r>
      <w:r>
        <w:rPr>
          <w:rFonts w:ascii="Times New Roman" w:cs="Times New Roman" w:eastAsia="Times New Roman" w:hAnsi="Times New Roman"/>
          <w:sz w:val="18"/>
          <w:szCs w:val="18"/>
          <w:color w:val="auto"/>
        </w:rPr>
        <w:t>has served as a member of our board of directors since January 2019. Dr. Vickers is the chief executive officer of Faze Medicines,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biotechnology company, and has served in such role since January 2021. From November 2017 until December 2020, Dr. Vickers served as the president and chief executive officer and a member of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p>
      <w:pPr>
        <w:spacing w:after="0" w:line="254" w:lineRule="auto"/>
        <w:rPr>
          <w:sz w:val="20"/>
          <w:szCs w:val="20"/>
          <w:color w:val="auto"/>
        </w:rPr>
      </w:pPr>
      <w:r>
        <w:rPr>
          <w:rFonts w:ascii="Times New Roman" w:cs="Times New Roman" w:eastAsia="Times New Roman" w:hAnsi="Times New Roman"/>
          <w:sz w:val="18"/>
          <w:szCs w:val="18"/>
          <w:color w:val="auto"/>
        </w:rPr>
        <w:t>board of directors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 serves on the board of directors of Revance Therapeutics, Inc. (Nasdaq: RVNC), a biotechnology company, and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We believe that Dr. Vickers is qualified to serve on our board of directors because of his scientific, executive, and industry experience in the field in which we operate.</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the election of Gail Farfel, Christopher Paige and Philip Vickers as the class I directors, to serve for a three-year term ending at the annual meeting of stockholders to be held in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and narrative information identifies our directors continuing in office, and sets forth their principal occupation and business experience during the last five years and their ages as of April 11, 2022.</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940" w:type="dxa"/>
            <w:vAlign w:val="bottom"/>
          </w:tcPr>
          <w:p>
            <w:pPr>
              <w:spacing w:after="0"/>
              <w:rPr>
                <w:sz w:val="16"/>
                <w:szCs w:val="16"/>
                <w:color w:val="auto"/>
              </w:rPr>
            </w:pPr>
          </w:p>
        </w:tc>
      </w:tr>
      <w:tr>
        <w:trPr>
          <w:trHeight w:val="188"/>
        </w:trPr>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Which Term</w:t>
            </w:r>
          </w:p>
        </w:tc>
        <w:tc>
          <w:tcPr>
            <w:tcW w:w="940" w:type="dxa"/>
            <w:vAlign w:val="bottom"/>
          </w:tcPr>
          <w:p>
            <w:pPr>
              <w:spacing w:after="0"/>
              <w:rPr>
                <w:sz w:val="16"/>
                <w:szCs w:val="16"/>
                <w:color w:val="auto"/>
              </w:rPr>
            </w:pPr>
          </w:p>
        </w:tc>
      </w:tr>
      <w:tr>
        <w:trPr>
          <w:trHeight w:val="173"/>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Positions and Offices Held with AVROBIO</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Will Expire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23"/>
        </w:trPr>
        <w:tc>
          <w:tcPr>
            <w:tcW w:w="3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Clark</w:t>
            </w:r>
          </w:p>
        </w:tc>
        <w:tc>
          <w:tcPr>
            <w:tcW w:w="320" w:type="dxa"/>
            <w:vAlign w:val="bottom"/>
            <w:tcBorders>
              <w:top w:val="single" w:sz="8" w:color="CFF0FC"/>
            </w:tcBorders>
            <w:shd w:val="clear" w:color="auto" w:fill="CFF0FC"/>
          </w:tcPr>
          <w:p>
            <w:pPr>
              <w:spacing w:after="0"/>
              <w:rPr>
                <w:sz w:val="19"/>
                <w:szCs w:val="19"/>
                <w:color w:val="auto"/>
              </w:rPr>
            </w:pPr>
          </w:p>
        </w:tc>
        <w:tc>
          <w:tcPr>
            <w:tcW w:w="3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II—2023</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Annalisa Jenkins, M.B.B.S., F.R.C.P.</w:t>
            </w:r>
          </w:p>
        </w:tc>
        <w:tc>
          <w:tcPr>
            <w:tcW w:w="3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II—2023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Bruce Booth, D.Phil.</w:t>
            </w:r>
          </w:p>
        </w:tc>
        <w:tc>
          <w:tcPr>
            <w:tcW w:w="36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III—2024</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3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8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III—2024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Geoff MacKay</w:t>
            </w:r>
          </w:p>
        </w:tc>
        <w:tc>
          <w:tcPr>
            <w:tcW w:w="36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III—2024</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Expires at 2023 Annual Meeting)</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Ian Clark </w:t>
      </w:r>
      <w:r>
        <w:rPr>
          <w:rFonts w:ascii="Times New Roman" w:cs="Times New Roman" w:eastAsia="Times New Roman" w:hAnsi="Times New Roman"/>
          <w:sz w:val="18"/>
          <w:szCs w:val="18"/>
          <w:color w:val="auto"/>
        </w:rPr>
        <w:t>has served as a member of our board of directors since January 2018. From 2010 to 2016, Mr. Clark served as the chief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North American commercial operations and was a member of the board of directors for Genentech, a member of the Roche Group.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Corvus Pharmaceuticals, Inc. (Nasdaq: CRVS), Takeda Pharmaceutical Company Limited (NYSE: TAK), Olema Pharmaceuticals, Inc. (Nasdaq: OLMA), where he serves as chairman, and Guardant Health, Inc. (Nasdaq: GH), where he also serves as the lead independent director. Additionally, Mr. Clark currently serves on the board of directors of Agios Pharmaceuticals, Inc. (Nasdaq: AGIO), but is expected to resign from that position following the Agios 2022 annual meeting of stockholders. Mr. Clark also serves on the strategic priorities board of BioFulcrum, an initiative within the Gladstone Institutes, and serves as an advisor to Lazard and KKR. Mr. Clark previously served on the board of directors of Forty Seven, Inc., Shire plc, Kite Pharma, and TerraVia (formerly Solazyme). He also previously served on the board of directors of the Biotechnology Industry Organization (BIO), as a member of the economic advisory council of the Federal Reserve Bank of San Francisco, and as an operating partner of Blackstone Life Sciences, a private investment firm focusing on the life sciences sector and an operating unit within The Blackstone Group L.P. Mr. Clark received a B.S. and honorary doctorate in biological sciences from Southampton University in the United Kingdom. We believe Mr. Clark is qualified to serve on our board of directors because of his industry experience in the field in which we operate and his executive experience with companies in our industry.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Annalisa Jenkins, M.B.B.S., F.R.C.P. </w:t>
      </w:r>
      <w:r>
        <w:rPr>
          <w:rFonts w:ascii="Times New Roman" w:cs="Times New Roman" w:eastAsia="Times New Roman" w:hAnsi="Times New Roman"/>
          <w:sz w:val="18"/>
          <w:szCs w:val="18"/>
          <w:color w:val="auto"/>
        </w:rPr>
        <w:t>has served as a member of our board of directors since March 2018. From November 2017 until April 2019,</w:t>
      </w:r>
    </w:p>
    <w:p>
      <w:pPr>
        <w:spacing w:after="0" w:line="3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Dr. Jenkins served as the chief executive officer of PlaqueTec Ltd., a biotechnology company focusing on coronary artery disease treatment and prevention. Previously, Dr. Jenkins served as the president and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is currently a committee member of the science board to the FDA, which advises FDA leadership on complex scientific and technical issues, and serves on the board of Genomics England, a UK government entity dedicated to advancing the 100,000 Genomes Project.</w:t>
      </w:r>
    </w:p>
    <w:p>
      <w:pPr>
        <w:spacing w:after="0" w:line="1"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Dr. Jenkins serves on the board of directors of Oncimmune Holdings plc (LSE: ONC), Affimed N.V. (Nasdaq: AFMD), Compass Pathways (Nasdaq: CMPS) and a number of privately held biotechnology and life science companies. Dr. Jenkins also previously served on the board of numerous biothechnology and life science companies, including AgeX Therapeutics, Inc. (NYSE American: AGE), Silence Therapeutics, Ardelyx, Inc., OncoSec Medical Incorporated, and Sensyne Health plc.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of directors based on her industry experience in the field in which we operate and her executive experience with companies in our industry.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2024 Annual Meeting)</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Booth, D.Phil. </w:t>
      </w:r>
      <w:r>
        <w:rPr>
          <w:rFonts w:ascii="Times New Roman" w:cs="Times New Roman" w:eastAsia="Times New Roman" w:hAnsi="Times New Roman"/>
          <w:sz w:val="18"/>
          <w:szCs w:val="18"/>
          <w:color w:val="auto"/>
        </w:rPr>
        <w:t>has served as the chairperson of our board of directors since February 2016. Dr. Booth joined Atlas Venture in 2005, and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serves as general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is chairman and co-founder of Kymera Therapeutics, Inc. (Nasdaq: KYMR) and serves on the board of Magenta Therapeutics, Inc. (Nasdaq: MGTA), both of which are biotechnology companies. He also serves on the board of several privately held companies. From February 2018 until July 2020, Dr. Booth served as chairperson of the board of directors of Unum Therapeutics Inc., now called Cogent Biosciences (Nasdaq: COGT); from February 2017 until December 2018, Dr. Booth served as independent chairperson of the board of directors of miRagen Therapeutics, Inc., now called Viridian Therapeutics, Inc. (Nasdaq: VRDN); and from August 2006 until June 2018, Dr. Booth served on the board of directors of Zafgen, Inc., now called Larimar Therapeutics, Inc. (Nasdaq: LRMR). As a British Marshall Scholar, Dr. Booth holds a D.Phil. in molecular immunology from Oxford University’s Nuffield Department of Medicine and a B.S. in biochemistry,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Phillip B. Donenberg </w:t>
      </w:r>
      <w:r>
        <w:rPr>
          <w:rFonts w:ascii="Times New Roman" w:cs="Times New Roman" w:eastAsia="Times New Roman" w:hAnsi="Times New Roman"/>
          <w:sz w:val="17"/>
          <w:szCs w:val="17"/>
          <w:color w:val="auto"/>
        </w:rPr>
        <w:t>has served as a member of our board of directors and audit committee chair since June 2018. Mr. Donenberg is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chief financial officer of Jaguar Gene Therapy, LLC, a privately held early-stage gene therapy company, and has served in such role since February 2020. From July 2018 to November 2018, Mr. Donenberg served as the chief financial officer and senior vice president of Assertio Therapeutics, Inc. (Nasdaq: ASRT),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(Nasdaq: TSHA), a gene therapy company, and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Geoff MacKay </w:t>
      </w:r>
      <w:r>
        <w:rPr>
          <w:rFonts w:ascii="Times New Roman" w:cs="Times New Roman" w:eastAsia="Times New Roman" w:hAnsi="Times New Roman"/>
          <w:sz w:val="18"/>
          <w:szCs w:val="18"/>
          <w:color w:val="auto"/>
        </w:rPr>
        <w:t>is our co-founder and has been our Chief Executive Officer, President and director since November 2015. From April 2015 to June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and USA. Mr. MacKay has served as chairperson of the board of directors of Satellos Bioscience Inc. (TSXV: MSCL), a regenerative medicine company, since September 2018, and has served on the board of directors of Talaris Therapeutics, Inc. (Nasdaq: TALS), a cell therapy company, since December 2018. Mr. MacKay previously served on the board of RepliCel Life Sciences Inc., Gemstone Biotherapeutics LLC and Centre for Commercialization of Regenerative Medicine, as chairperson of the board of MassBio, chairperson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of directors because of his executive experience in our industry.</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directors is a party adverse to us or any of our subsidiaries or in which any such person has a material interest adverse to us or our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p>
      <w:pPr>
        <w:spacing w:after="0" w:line="12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color w:val="auto"/>
        </w:rPr>
        <w:t>The following table identifies our current executive officers who are not directors, and sets forth their current positions at AVROBIO and their ages as of April 11, 2022.</w:t>
      </w: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760" w:type="dxa"/>
            <w:vAlign w:val="bottom"/>
          </w:tcPr>
          <w:p>
            <w:pPr>
              <w:spacing w:after="0"/>
              <w:rPr>
                <w:sz w:val="16"/>
                <w:szCs w:val="16"/>
                <w:color w:val="auto"/>
              </w:rPr>
            </w:pPr>
          </w:p>
        </w:tc>
      </w:tr>
      <w:tr>
        <w:trPr>
          <w:trHeight w:val="199"/>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 Held with AVROBIO</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Steven Avruch</w:t>
            </w:r>
          </w:p>
        </w:tc>
        <w:tc>
          <w:tcPr>
            <w:tcW w:w="320" w:type="dxa"/>
            <w:vAlign w:val="bottom"/>
            <w:tcBorders>
              <w:top w:val="single" w:sz="8" w:color="CFF0FC"/>
            </w:tcBorders>
            <w:shd w:val="clear" w:color="auto" w:fill="CFF0FC"/>
          </w:tcPr>
          <w:p>
            <w:pPr>
              <w:spacing w:after="0"/>
              <w:rPr>
                <w:sz w:val="19"/>
                <w:szCs w:val="19"/>
                <w:color w:val="auto"/>
              </w:rPr>
            </w:pPr>
          </w:p>
        </w:tc>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2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Mason, M.D., Ph.D., FRCS, FMedSci</w:t>
            </w: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30"/>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Erik Ostrowski</w:t>
            </w: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3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Deanna Petersen</w:t>
            </w: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Business Officer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Essra Ridha, M.D., MRCP, FFPM</w:t>
            </w:r>
          </w:p>
        </w:tc>
        <w:tc>
          <w:tcPr>
            <w:tcW w:w="4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bl>
    <w:p>
      <w:pPr>
        <w:spacing w:after="0" w:line="19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Steven Avruch </w:t>
      </w:r>
      <w:r>
        <w:rPr>
          <w:rFonts w:ascii="Times New Roman" w:cs="Times New Roman" w:eastAsia="Times New Roman" w:hAnsi="Times New Roman"/>
          <w:sz w:val="18"/>
          <w:szCs w:val="18"/>
          <w:color w:val="auto"/>
        </w:rPr>
        <w:t>has been our Chief Legal Officer and Secretary since March 2020 and previously served as our Vice President, General Counsel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from January 2019 to March 2020. Prior to joining our Company,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w:t>
      </w:r>
    </w:p>
    <w:p>
      <w:pPr>
        <w:spacing w:after="0" w:line="1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Mason </w:t>
      </w:r>
      <w:r>
        <w:rPr>
          <w:rFonts w:ascii="Times New Roman" w:cs="Times New Roman" w:eastAsia="Times New Roman" w:hAnsi="Times New Roman"/>
          <w:sz w:val="18"/>
          <w:szCs w:val="18"/>
          <w:color w:val="auto"/>
        </w:rPr>
        <w:t>is our co-founder and has been our Chief Scientific Officer since July 2015. Dr. Mason has been a member of the faculty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Centre for Biochemical Engineering, University College London since 1999, including Full Professor of Regenerative Medicine Bioprocessing from 2008 to 2017, and Full Professor of Cell and Gene Therapy since 2017. Dr. Mason also has served as Founder and director of London Regenerative Medicine Network Ltd. since February 2008, and as a director of OriBiotech Ltd. since September 2015, Krystal Biotech, Inc. (Nasdaq: KRYS) since January 2021, and the Alliance for Regenerative Medicine since October 2021. He previously served as Founder and a director of Stem Cell Translation Ltd. from October 2006 to March 2018 and served as a trustee of the British Neurological Research Trust from May 2012 to May 2016 and the UK Stem Cell Foundation from September 2010 to May 2016. Dr. Mason earned an M.B.B.S (M.D.) from the United Medical and Dental Schools of Guy’s and St. Thomas’s Hospitals (now King’s College London), a BSc (Hons) in Clinical Sciences from the Imperial College London (St. Mary’s Hospital Medical School / Royal Postgraduate Medical School), and a Ph.D. from Advanced Center for Biochemical Engineering, University College London. He is an elected Fellow of the Academy of Medical Sciences, Royal College of Surgeons of England, Royal College of Surgeons in Ireland, and Royal Society of Biology.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Ostrowski </w:t>
      </w:r>
      <w:r>
        <w:rPr>
          <w:rFonts w:ascii="Times New Roman" w:cs="Times New Roman" w:eastAsia="Times New Roman" w:hAnsi="Times New Roman"/>
          <w:sz w:val="18"/>
          <w:szCs w:val="18"/>
          <w:color w:val="auto"/>
        </w:rPr>
        <w:t>has been our Chief Financial Officer and Treasurer since January 2019. From June 2014 to December 2018, Mr. Ostrowski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of Summit Therapeutics plc., a biotechnology company. Prior to that, he served as vice president of finance at Organogenesis Inc., a biotechnology company, from July 2010 to June 2014, and previously worked in investment banking, most recently as a director with Leerink Partners LLC. Mr. Ostrowski began his career as an accountant with Coopers &amp; Lybrand (now PricewaterhouseCoopers). Mr. Ostrowski has served on the board of directors of Faron Pharmaceuticals Ltd (LON: FARN) since April 2022. He received a B.S. in accounting and economics from Babson College and a M.B.A. from the University of Chicago Booth School of Business.</w:t>
      </w:r>
    </w:p>
    <w:p>
      <w:pPr>
        <w:spacing w:after="0" w:line="18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Deanna Petersen </w:t>
      </w:r>
      <w:r>
        <w:rPr>
          <w:rFonts w:ascii="Times New Roman" w:cs="Times New Roman" w:eastAsia="Times New Roman" w:hAnsi="Times New Roman"/>
          <w:sz w:val="18"/>
          <w:szCs w:val="18"/>
          <w:color w:val="auto"/>
        </w:rPr>
        <w:t>has been our Chief Business Officer since January 2016. Prior to joining our Company, from June 2009 to June 2015, Ms. Petersen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business of development rare diseases at Shire plc. Prior to that, Ms. Petersen served as vice president of business development at Agenus Inc. from April 2002 to March 2009 and vice president of business development at Coley Pharmaceutical Group. Ms. Petersen received a B.S. degree in biology from Iowa State University and a M.B.A. from the University of Iowa.</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Essra Ridha </w:t>
      </w:r>
      <w:r>
        <w:rPr>
          <w:rFonts w:ascii="Times New Roman" w:cs="Times New Roman" w:eastAsia="Times New Roman" w:hAnsi="Times New Roman"/>
          <w:sz w:val="18"/>
          <w:szCs w:val="18"/>
          <w:color w:val="auto"/>
        </w:rPr>
        <w:t>has been our Chief Medical Officer since October 2021, and from April 2021 to July 2021, she was our Vice President, Clinical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joining our Company, from June 2019 to February 2021, Dr. Ridha was Senior Medical Director at Sangamo Therapeutics, a biotechnology company, and before that, from March 2016 to December 2018, she served as Clinical Development Director at GlaxoSmithKline, a pharmaceutical company. From June 2014 to March 2016 Dr. Ridha worked as a medical expert at Bristol Myers Squibb Pharmaceuticals advising on late-stage clinical development, medical affairs, real-world evidence and health economics and outcomes research in cardiovascular medicine. Dr. Ridha is a member of the Royal College of Physicians of London, as well as a Fellow of the Faculty of Pharmaceutical Medicine. She was an expert panel member at the World Health Organization Expert Advisory Committee to develop Global Standards for the Governance and Oversight of Human Genome Editing. She earned her medical degrees from the Royal Free &amp; University College London Medical School and earned her Bachelor of Science Neuroscience with Basic Medical Sciences, with honors, from University College London.</w:t>
      </w:r>
    </w:p>
    <w:p>
      <w:pPr>
        <w:spacing w:after="0" w:line="1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4" w:name="page15"/>
    <w:bookmarkEnd w:id="14"/>
    <w:p>
      <w:pPr>
        <w:jc w:val="center"/>
        <w:ind w:left="360" w:right="192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2 – RATIFICATION OF THE APPOINTMENT OF ERNST &amp; YOUNG LLP AS AVROBIO’S INDEPENDENT REGISTERED PUBLIC ACCOUNTING FIRM FOR THE FISCAL YEAR ENDING DECEMBER 31, 2022</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AVROBIO’s stockholders are being asked to ratify the appointment by the Audit Committee of the board of directors of Ernst &amp; Young LLP as AVROBIO’s independent registered public accounting firm for the fiscal year ending December 31, 2022. Ernst &amp; Young LLP has served as AVROBIO’s independent registered public accounting firm since 2018.</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Audit Committee is solely responsible for selecting AVROBIO’s independent registered public accounting firm for the fiscal year ending December 31, 2022. Stockholder approval is not required to appoint Ernst &amp; Young LLP as AVROBIO’s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of Ernst &amp; Young LLP is ratified, the Audit Committee, at its discretion, may direct the appointment of a different independent registered public accounting firm at any time it decides that such a change would be in the best interest of AVROBIO and its stockholders.</w:t>
      </w:r>
    </w:p>
    <w:p>
      <w:pPr>
        <w:spacing w:after="0" w:line="1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representative of Ernst &amp; Young LLP is expected to be present at the virtual Annual Meeting and will have an opportunity to make a statement if he or she desires to do so and to respond to appropriate questions from our stockholders.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fees paid or accrued by us for professional audit services and other services rendered by Ernst &amp; Young LLP during the years ended December 31, 2021 and December 31, 2020.</w:t>
      </w:r>
    </w:p>
    <w:p>
      <w:pPr>
        <w:spacing w:after="0" w:line="25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5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FF0FC"/>
            </w:tcBorders>
          </w:tcPr>
          <w:p>
            <w:pPr>
              <w:spacing w:after="0"/>
              <w:rPr>
                <w:sz w:val="15"/>
                <w:szCs w:val="15"/>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648,736</w:t>
            </w:r>
          </w:p>
        </w:tc>
        <w:tc>
          <w:tcPr>
            <w:tcW w:w="6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48,825</w:t>
            </w:r>
          </w:p>
        </w:tc>
        <w:tc>
          <w:tcPr>
            <w:tcW w:w="6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15"/>
                <w:szCs w:val="15"/>
                <w:color w:val="auto"/>
              </w:rPr>
              <w:t>(3)</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6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625,941</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701,066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40" w:hanging="541"/>
        <w:spacing w:after="0" w:line="257"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provided by Ernst &amp; Young LLP for the audit of our annual financial statements, the review of interim consolidated financial statements and consultations on accounting matters directly related to the audit, and comfort letters, consents and assistance with and review of documents filed with the SEC.</w:t>
      </w:r>
    </w:p>
    <w:p>
      <w:pPr>
        <w:spacing w:after="0" w:line="1" w:lineRule="exact"/>
        <w:rPr>
          <w:rFonts w:ascii="Times New Roman" w:cs="Times New Roman" w:eastAsia="Times New Roman" w:hAnsi="Times New Roman"/>
          <w:sz w:val="18"/>
          <w:szCs w:val="18"/>
          <w:color w:val="auto"/>
        </w:rPr>
      </w:pPr>
    </w:p>
    <w:p>
      <w:pPr>
        <w:ind w:left="940" w:right="300" w:hanging="541"/>
        <w:spacing w:after="0" w:line="250"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 connection with tax compliance, tax planning, and tax advice, including the review and preparation of our federal, state and foreign income tax returns and requests for rulings or technical advice from tax authorities.</w:t>
      </w:r>
    </w:p>
    <w:p>
      <w:pPr>
        <w:ind w:left="940" w:right="260" w:hanging="541"/>
        <w:spacing w:after="0" w:line="260"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consist of aggregate fees billed for products and services provided by Ernst &amp; Young LLP other than those fees disclosed above. For the years ended December 31, 2021 and 2020, the other fees relate to our Ernst &amp; Young research website membership.</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The Audit Committee has delegated authority to the Chair of the Audit Committee to pre-approve services up to a designated amount. A summary of any new services pre-approved by the Chair is reported to the full Audit Committee in connection with its next scheduled meeting.</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our 2021 and 2020 fiscal years, no services were provided to us by Ernst &amp; Young LLP other than in accordance with the pre-approval policies and procedures described above.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 w:name="page16"/>
    <w:bookmarkEnd w:id="15"/>
    <w:p>
      <w:pPr>
        <w:spacing w:after="0" w:line="261" w:lineRule="auto"/>
        <w:rPr>
          <w:sz w:val="20"/>
          <w:szCs w:val="20"/>
          <w:color w:val="auto"/>
        </w:rPr>
      </w:pPr>
      <w:r>
        <w:rPr>
          <w:rFonts w:ascii="Times New Roman" w:cs="Times New Roman" w:eastAsia="Times New Roman" w:hAnsi="Times New Roman"/>
          <w:sz w:val="18"/>
          <w:szCs w:val="18"/>
          <w:color w:val="auto"/>
        </w:rPr>
        <w:t>The Audit Committee meets with representatives of Ernst &amp; Young LLP periodically, but no less than quarterly throughout the year. The Audit Committee reviews audit, non-audit and tax services rendered by and the performance of Ernst &amp; Young LLP, as well as fees charged by Ernst &amp; Young LLP for such services. In engaging Ernst &amp; Young LLP for the services described above, the Audit Committee considered whether the provision of such services is compatible with maintaining Ernst &amp; Young LLP’s independence.</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2 to ratify the appointment of Ernst &amp; Young LLP as AVROBIO’s independent registered public accounting firm for the fiscal year ending December 31, 2022.</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16" w:name="page17"/>
    <w:bookmarkEnd w:id="16"/>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PROPOSAL NO. 3 – APPROVAL OF AN AMENDMENT TO THE AVROBIO,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STOCK OPTION AND INCENTIVE PLAN</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stock-based incentive awards can play an important role in the success of the Company by encouraging and enabling the employees, officers, non-employee directors and consultants of the Company and its subsidiaries upon whose judgment, initiative and efforts we largely depend for the successful conduct of our business to acquire a proprietary interest in the Company. The board of directors believes that providing such persons with a direct stake in the Company assures a closer identification of the interests of such individuals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 2018, the board of directors adopted the AVROBIO, Inc. 2018 Stock Option and Incentive Plan (the “2018 Plan”). The 2018 Plan was subsequently approved by our stockholders on June 7, 2018 and became effective on June 20, 2018 upon the effectiveness of our registration statement for our initial public offering. The 2018 Plan is designed to enhance the flexibility to grant equity awards to our officers, employees, non-employee directors and consultants and to ensure that we can continue to grant equity awards to eligible recipients at levels determined to be appropriate by the board of directors and/or the Compensation Committee. On April 16, 2020, upon recommendation of the Compensation Committee, the board of directors approved an amendment to the 2018 Plan (the “First Amendment”) to increase the number of shares of common stock reserved for issuance thereunder by 3.3 million shares and automatically terminate the 2018 Plan’s annual increase (or “evergreen”) provision after January 2022. The First Amendment was subsequently approved by our stockholders on June 4, 2020. A copy of the 2018 Plan and the First Amendment are attached as Appendix A and B, respectively, to this proxy statement and are incorporated herein by reference.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2, 2022, upon the recommendation of the Compensation Committee and subject to stockholder approval, the board of directors approved a second amendment to the 2018 Plan (the “Second Amendment”) to (i) increase the number of shares of common stock currently reserved for issuance under the 2018 Plan by 3.7 million shares, (ii) impose a one-year minimum vesting requirement on stock awards issued under the 2018 Plan, subject to certain exceptions described more fully below and (iii) extend the expiration date of the 2018 Plan to ten years from the date of stockholder approval of the Second Amendment. As of March 31, 2022, only 1,777,657 shares remained available for future issuance under the 2018 Plan. If the Second Amendment is approved by our stockholders, the number of shares of common stock reserved for issuance under the 2018 Plan would be increased by 3.7 million shares (for a total of 5,477,657 shares that would be available for future grants as of March 31, 2022 had the increase been in place on such date). A copy of the Second Amendment is attached as Appendix C to this proxy statement and is incorporated herein by reference.</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currently maintain four equity incentive plans: the Amended and Restated 2015 Stock Option and Grant Plan (the “2015 Plan”); the 2018 Plan; the 2019 Inducement Plan; and the 2020 Inducement Plan (such inducement plans collectively referred to as the “Inducement Plans”). As of March 31, 2022, there were options to acquire an aggregate of 9,297,605 shares of common stock outstanding under our 2015 Plan, 2018 Plan and Inducement Plans, with a weighted average exercise price of $9.59 and a weighted average remaining term of 8.02 years. In addition, as of March 31, 2022, there were 919,853 unvested full value awards with time-based vesting outstanding under our equity incentive plans. Other than the foregoing, no awards under our equity compensation plans were outstanding as of March 31, 2022. In addition, as of March 31, 2022, there were options to acquire 173,700 shares of common stock outstanding granted as inducement option awards prior to the adoption of our Inducement Plans, with a weighted average exercise price of $15.98 and a weighted average remaining term of 4.3 years. As of March 31, 2022, there were 1,777,657 shares of common stock available for awards under our 2018 Plan, 573,944 shares of common stock available for awards under our 2019 Inducement Plan, and 1,637,000 shares of common stock available for awards under our 2020 Inducement Plan. We ceased granting awards under the 2015 Plan after our initial public offering.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Features of the 2018 Plan, as amended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Plan, as amended by the First Amendment and the Second Amendment</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material features of the 2018 Plan, as amended by the First Amendment and Second Amendment, are summarized below. This summary is qualified in its entirety by the full text of the 2018 Plan, the First Amendment and the Second Amendment, each of which are attached hereto as Appendix A, B and C, respectively.</w:t>
      </w:r>
    </w:p>
    <w:p>
      <w:pPr>
        <w:spacing w:after="0" w:line="118" w:lineRule="exact"/>
        <w:rPr>
          <w:sz w:val="20"/>
          <w:szCs w:val="20"/>
          <w:color w:val="auto"/>
        </w:rPr>
      </w:pPr>
    </w:p>
    <w:p>
      <w:pPr>
        <w:ind w:left="1200" w:right="380" w:hanging="396"/>
        <w:spacing w:after="0" w:line="286" w:lineRule="auto"/>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Authorization: </w:t>
      </w:r>
      <w:r>
        <w:rPr>
          <w:rFonts w:ascii="Times New Roman" w:cs="Times New Roman" w:eastAsia="Times New Roman" w:hAnsi="Times New Roman"/>
          <w:sz w:val="18"/>
          <w:szCs w:val="18"/>
          <w:color w:val="auto"/>
        </w:rPr>
        <w:t>If the Second Amendment is approved by our stockholders, the number of shares of common stock reserved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under the 2018 Plan would be increased by 3.7 million shares (for a total 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ind w:left="1200"/>
        <w:spacing w:after="0"/>
        <w:rPr>
          <w:sz w:val="20"/>
          <w:szCs w:val="20"/>
          <w:color w:val="auto"/>
        </w:rPr>
      </w:pPr>
      <w:r>
        <w:rPr>
          <w:rFonts w:ascii="Times New Roman" w:cs="Times New Roman" w:eastAsia="Times New Roman" w:hAnsi="Times New Roman"/>
          <w:sz w:val="18"/>
          <w:szCs w:val="18"/>
          <w:color w:val="auto"/>
        </w:rPr>
        <w:t>5,477,657 shares that would be available for future grants as of March 31, 2022 had the increase been in place on such date);</w:t>
      </w:r>
    </w:p>
    <w:p>
      <w:pPr>
        <w:spacing w:after="0" w:line="140" w:lineRule="exact"/>
        <w:rPr>
          <w:sz w:val="20"/>
          <w:szCs w:val="20"/>
          <w:color w:val="auto"/>
        </w:rPr>
      </w:pPr>
    </w:p>
    <w:p>
      <w:pPr>
        <w:ind w:left="1200" w:right="120" w:hanging="396"/>
        <w:spacing w:after="0" w:line="257"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Evergreen Provision: </w:t>
      </w:r>
      <w:r>
        <w:rPr>
          <w:rFonts w:ascii="Times New Roman" w:cs="Times New Roman" w:eastAsia="Times New Roman" w:hAnsi="Times New Roman"/>
          <w:sz w:val="18"/>
          <w:szCs w:val="18"/>
          <w:color w:val="auto"/>
        </w:rPr>
        <w:t>Prior to adoption of the First Amendment, the maximum number of shares of common stock to be issued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2018 Plan cumulatively increased annually by four percent of the number of shares of common stock issued and outstanding on the immediately preceding December 31 (the “Annual Increase”). However, upon careful consideration of the benefits of the Annual Increase to our compensation program against the additional dilution to our stockholders, the Compensation Committee approved an automatic expiration of the Annual Increase following January 1, 2022. As a result of the First Amendment being approved by our stockholders on June 4, 2020, the Annual Increase provision automatically expired on January 1, 2022 and is no longer effective;</w:t>
      </w:r>
    </w:p>
    <w:p>
      <w:pPr>
        <w:spacing w:after="0" w:line="74" w:lineRule="exact"/>
        <w:rPr>
          <w:rFonts w:ascii="Times New Roman" w:cs="Times New Roman" w:eastAsia="Times New Roman" w:hAnsi="Times New Roman"/>
          <w:sz w:val="18"/>
          <w:szCs w:val="18"/>
          <w:color w:val="auto"/>
        </w:rPr>
      </w:pPr>
    </w:p>
    <w:p>
      <w:pPr>
        <w:ind w:left="1200" w:right="20" w:hanging="396"/>
        <w:spacing w:after="0" w:line="259"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Minimum Vesting Requirement: </w:t>
      </w:r>
      <w:r>
        <w:rPr>
          <w:rFonts w:ascii="Times New Roman" w:cs="Times New Roman" w:eastAsia="Times New Roman" w:hAnsi="Times New Roman"/>
          <w:sz w:val="18"/>
          <w:szCs w:val="18"/>
          <w:color w:val="auto"/>
        </w:rPr>
        <w:t>If the Second Amendment is approved by our stockholders, any awards that settle in shares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such awards representing a maximum of five percent of the shares reserved for issuance under the 2018 Plan (subject to adjustment as a result of any reorganization, recapitalization, reclassification, stock dividend, stock split, reverse stock split or other similar change in the our capital stock), will be granted subject to a minimum time-vesting period of at least 12 months, such that no such awards will vest prior to the first anniversary of the applicable grant date;</w:t>
      </w:r>
    </w:p>
    <w:p>
      <w:pPr>
        <w:spacing w:after="0" w:line="71" w:lineRule="exact"/>
        <w:rPr>
          <w:rFonts w:ascii="Times New Roman" w:cs="Times New Roman" w:eastAsia="Times New Roman" w:hAnsi="Times New Roman"/>
          <w:sz w:val="18"/>
          <w:szCs w:val="18"/>
          <w:color w:val="auto"/>
        </w:rPr>
      </w:pPr>
    </w:p>
    <w:p>
      <w:pPr>
        <w:ind w:left="1200" w:right="600" w:hanging="396"/>
        <w:spacing w:after="0" w:line="286"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award of stock options (both incentive and non-qualified options), stock appreciation rights, restricted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units, unrestricted stock, cash-based awards, and dividend equivalent rights is permitted;</w:t>
      </w:r>
    </w:p>
    <w:p>
      <w:pPr>
        <w:spacing w:after="0" w:line="46" w:lineRule="exact"/>
        <w:rPr>
          <w:rFonts w:ascii="Times New Roman" w:cs="Times New Roman" w:eastAsia="Times New Roman" w:hAnsi="Times New Roman"/>
          <w:sz w:val="18"/>
          <w:szCs w:val="18"/>
          <w:color w:val="auto"/>
        </w:rPr>
      </w:pPr>
    </w:p>
    <w:p>
      <w:pPr>
        <w:ind w:left="1200" w:right="420" w:hanging="396"/>
        <w:spacing w:after="0" w:line="286"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Repricing Without Stockholder Approval: </w:t>
      </w:r>
      <w:r>
        <w:rPr>
          <w:rFonts w:ascii="Times New Roman" w:cs="Times New Roman" w:eastAsia="Times New Roman" w:hAnsi="Times New Roman"/>
          <w:sz w:val="18"/>
          <w:szCs w:val="18"/>
          <w:color w:val="auto"/>
        </w:rPr>
        <w:t>Stock options and stock appreciation rights will not be repriced in any manner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 approval;</w:t>
      </w:r>
    </w:p>
    <w:p>
      <w:pPr>
        <w:spacing w:after="0" w:line="46" w:lineRule="exact"/>
        <w:rPr>
          <w:rFonts w:ascii="Times New Roman" w:cs="Times New Roman" w:eastAsia="Times New Roman" w:hAnsi="Times New Roman"/>
          <w:sz w:val="18"/>
          <w:szCs w:val="18"/>
          <w:color w:val="auto"/>
        </w:rPr>
      </w:pPr>
    </w:p>
    <w:p>
      <w:pPr>
        <w:ind w:left="1200" w:right="360" w:hanging="396"/>
        <w:spacing w:after="0" w:line="286"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Non-Employee Director Compensation Limits: </w:t>
      </w:r>
      <w:r>
        <w:rPr>
          <w:rFonts w:ascii="Times New Roman" w:cs="Times New Roman" w:eastAsia="Times New Roman" w:hAnsi="Times New Roman"/>
          <w:sz w:val="18"/>
          <w:szCs w:val="18"/>
          <w:color w:val="auto"/>
        </w:rPr>
        <w:t>The value of all awards awarded under the 2018 Plan and all other cash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by us to any non-employee director in any calendar year may not exceed $1,000,000;</w:t>
      </w:r>
    </w:p>
    <w:p>
      <w:pPr>
        <w:spacing w:after="0" w:line="46" w:lineRule="exact"/>
        <w:rPr>
          <w:rFonts w:ascii="Times New Roman" w:cs="Times New Roman" w:eastAsia="Times New Roman" w:hAnsi="Times New Roman"/>
          <w:sz w:val="18"/>
          <w:szCs w:val="18"/>
          <w:color w:val="auto"/>
        </w:rPr>
      </w:pPr>
    </w:p>
    <w:p>
      <w:pPr>
        <w:ind w:left="1200" w:hanging="396"/>
        <w:spacing w:after="0" w:line="262"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Payable When Underlying Shares Vest: </w:t>
      </w:r>
      <w:r>
        <w:rPr>
          <w:rFonts w:ascii="Times New Roman" w:cs="Times New Roman" w:eastAsia="Times New Roman" w:hAnsi="Times New Roman"/>
          <w:sz w:val="18"/>
          <w:szCs w:val="18"/>
          <w:color w:val="auto"/>
        </w:rPr>
        <w:t>Dividend equivalent rights may be granted as a component of an award of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units or as a freestanding award. Any dividend equivalent rights granted as a component of restricted stock unit awards shall be settled only upon settlement or payment of, or lapse of restrictions on, such other awards, and such dividend equivalent right shall expire or be forfeited or annulled under the same conditions as such other awards;</w:t>
      </w:r>
    </w:p>
    <w:p>
      <w:pPr>
        <w:spacing w:after="0" w:line="68" w:lineRule="exact"/>
        <w:rPr>
          <w:rFonts w:ascii="Times New Roman" w:cs="Times New Roman" w:eastAsia="Times New Roman" w:hAnsi="Times New Roman"/>
          <w:sz w:val="18"/>
          <w:szCs w:val="18"/>
          <w:color w:val="auto"/>
        </w:rPr>
      </w:pPr>
    </w:p>
    <w:p>
      <w:pPr>
        <w:ind w:left="1200" w:right="660" w:hanging="396"/>
        <w:spacing w:after="0" w:line="286"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Material Amendment Without Stockholder Approval: </w:t>
      </w:r>
      <w:r>
        <w:rPr>
          <w:rFonts w:ascii="Times New Roman" w:cs="Times New Roman" w:eastAsia="Times New Roman" w:hAnsi="Times New Roman"/>
          <w:sz w:val="18"/>
          <w:szCs w:val="18"/>
          <w:color w:val="auto"/>
        </w:rPr>
        <w:t>Any material amendment to the 2018 Plan is subject to approval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and</w:t>
      </w:r>
    </w:p>
    <w:p>
      <w:pPr>
        <w:spacing w:after="0" w:line="46" w:lineRule="exact"/>
        <w:rPr>
          <w:rFonts w:ascii="Times New Roman" w:cs="Times New Roman" w:eastAsia="Times New Roman" w:hAnsi="Times New Roman"/>
          <w:sz w:val="18"/>
          <w:szCs w:val="18"/>
          <w:color w:val="auto"/>
        </w:rPr>
      </w:pPr>
    </w:p>
    <w:p>
      <w:pPr>
        <w:ind w:left="1200" w:right="80" w:hanging="396"/>
        <w:spacing w:after="0" w:line="286" w:lineRule="auto"/>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Term: </w:t>
      </w:r>
      <w:r>
        <w:rPr>
          <w:rFonts w:ascii="Times New Roman" w:cs="Times New Roman" w:eastAsia="Times New Roman" w:hAnsi="Times New Roman"/>
          <w:sz w:val="18"/>
          <w:szCs w:val="18"/>
          <w:color w:val="auto"/>
        </w:rPr>
        <w:t>If the Second Amendment is approved by our stockholders, the term of the 2018 Plan would be extended from June 7, 2028 to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8, 2032.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Proposed Second Amendment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employees for our business, including leading scientific and technical personnel, is and will continue to be critical to our future success. While our compensation packages generally include a number of different components, we believe that equity compensation is key to linking pay to performance as it encourages employees and executive officers to work toward our success and aligns their interests with those of our stockholders by providing a means by which they can benefit from increasing the value of our stock. We face significant competition for experienced and talented personnel with critical and high demand skills in our industry, particularly with respect to gene therapy R&amp;D and manufacturing, and stock options and other equity awards are an important component of our incentive compensation and retention objectives.</w:t>
      </w:r>
    </w:p>
    <w:p>
      <w:pPr>
        <w:spacing w:after="0" w:line="18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As a clinical-stage biopharmaceutical company the market price for our common stock has historically been volatile, reflecting the risks and uncertainties inherent in the development of novel therapeutic product candidates. In addition, over the past 12 months the market price of our common stock, like many of our peers and other public biopharmaceutical companies, has experienced significant downward pressure. When the market price of our common stock is below the applicable exercise price of a stock option, often referred to as “underwater” or “out-of-the-money” options, our Compensation Committee and board of directors believe that the stock option holder is not likely to exercise that stock option and will not have the desired incentive that the stock option was intended to provide. As of March 31, 2022, the closing price of our common stock on the Nasdaq Global Select Market was $1.32 per share, and as a result approximately 95% of the options held by our employees and executive officers are underwater, thus increasing the retention issues associated with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right="60"/>
        <w:spacing w:after="0" w:line="261" w:lineRule="auto"/>
        <w:rPr>
          <w:sz w:val="20"/>
          <w:szCs w:val="20"/>
          <w:color w:val="auto"/>
        </w:rPr>
      </w:pPr>
      <w:r>
        <w:rPr>
          <w:rFonts w:ascii="Times New Roman" w:cs="Times New Roman" w:eastAsia="Times New Roman" w:hAnsi="Times New Roman"/>
          <w:sz w:val="18"/>
          <w:szCs w:val="18"/>
          <w:color w:val="auto"/>
        </w:rPr>
        <w:t>such options. Moreover, even if the price of our common stock increases substantially from its current levels, a significant proportion of stock options held by our employees and executive officers will remain underwater, as illustrated below.</w:t>
      </w:r>
    </w:p>
    <w:tbl>
      <w:tblPr>
        <w:tblLayout w:type="fixed"/>
        <w:tblInd w:w="1140" w:type="dxa"/>
        <w:tblCellMar>
          <w:top w:w="0" w:type="dxa"/>
          <w:left w:w="0" w:type="dxa"/>
          <w:bottom w:w="0" w:type="dxa"/>
          <w:right w:w="0" w:type="dxa"/>
        </w:tblCellMar>
      </w:tblPr>
      <w:tr>
        <w:trPr>
          <w:trHeight w:val="137"/>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Illustrative Stock Price</w:t>
            </w:r>
          </w:p>
        </w:tc>
        <w:tc>
          <w:tcPr>
            <w:tcW w:w="2780" w:type="dxa"/>
            <w:vAlign w:val="bottom"/>
            <w:gridSpan w:val="2"/>
          </w:tcPr>
          <w:p>
            <w:pPr>
              <w:jc w:val="right"/>
              <w:ind w:right="590"/>
              <w:spacing w:after="0" w:line="137" w:lineRule="exact"/>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3260" w:type="dxa"/>
            <w:vAlign w:val="bottom"/>
            <w:gridSpan w:val="3"/>
          </w:tcPr>
          <w:p>
            <w:pPr>
              <w:ind w:left="340"/>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 Underwater</w:t>
            </w:r>
          </w:p>
        </w:tc>
        <w:tc>
          <w:tcPr>
            <w:tcW w:w="0" w:type="dxa"/>
            <w:vAlign w:val="bottom"/>
          </w:tcPr>
          <w:p>
            <w:pPr>
              <w:spacing w:after="0"/>
              <w:rPr>
                <w:sz w:val="1"/>
                <w:szCs w:val="1"/>
                <w:color w:val="auto"/>
              </w:rPr>
            </w:pPr>
          </w:p>
        </w:tc>
      </w:tr>
      <w:tr>
        <w:trPr>
          <w:trHeight w:val="173"/>
        </w:trPr>
        <w:tc>
          <w:tcPr>
            <w:tcW w:w="2940" w:type="dxa"/>
            <w:vAlign w:val="bottom"/>
            <w:vMerge w:val="continue"/>
          </w:tcPr>
          <w:p>
            <w:pPr>
              <w:spacing w:after="0"/>
              <w:rPr>
                <w:sz w:val="15"/>
                <w:szCs w:val="15"/>
                <w:color w:val="auto"/>
              </w:rPr>
            </w:pPr>
          </w:p>
        </w:tc>
        <w:tc>
          <w:tcPr>
            <w:tcW w:w="2780" w:type="dxa"/>
            <w:vAlign w:val="bottom"/>
            <w:gridSpan w:val="2"/>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Underwater Options (#)</w:t>
            </w:r>
            <w:r>
              <w:rPr>
                <w:rFonts w:ascii="Times New Roman" w:cs="Times New Roman" w:eastAsia="Times New Roman" w:hAnsi="Times New Roman"/>
                <w:sz w:val="12"/>
                <w:szCs w:val="12"/>
                <w:b w:val="1"/>
                <w:bCs w:val="1"/>
                <w:color w:val="auto"/>
              </w:rPr>
              <w:t>(1)</w:t>
            </w:r>
          </w:p>
        </w:tc>
        <w:tc>
          <w:tcPr>
            <w:tcW w:w="32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Options (%)</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23"/>
        </w:trPr>
        <w:tc>
          <w:tcPr>
            <w:tcW w:w="2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15"/>
                <w:szCs w:val="15"/>
                <w:color w:val="auto"/>
              </w:rPr>
              <w:t>(3)</w:t>
            </w:r>
          </w:p>
        </w:tc>
        <w:tc>
          <w:tcPr>
            <w:tcW w:w="26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jc w:val="right"/>
              <w:ind w:right="1630"/>
              <w:spacing w:after="0"/>
              <w:rPr>
                <w:sz w:val="20"/>
                <w:szCs w:val="20"/>
                <w:color w:val="auto"/>
              </w:rPr>
            </w:pPr>
            <w:r>
              <w:rPr>
                <w:rFonts w:ascii="Times New Roman" w:cs="Times New Roman" w:eastAsia="Times New Roman" w:hAnsi="Times New Roman"/>
                <w:sz w:val="18"/>
                <w:szCs w:val="18"/>
                <w:color w:val="auto"/>
              </w:rPr>
              <w:t>9,006,896</w:t>
            </w:r>
          </w:p>
        </w:tc>
        <w:tc>
          <w:tcPr>
            <w:tcW w:w="340" w:type="dxa"/>
            <w:vAlign w:val="bottom"/>
            <w:tcBorders>
              <w:top w:val="single" w:sz="8" w:color="CFF0FC"/>
            </w:tcBorders>
            <w:shd w:val="clear" w:color="auto" w:fill="CFF0FC"/>
          </w:tcPr>
          <w:p>
            <w:pPr>
              <w:spacing w:after="0"/>
              <w:rPr>
                <w:sz w:val="19"/>
                <w:szCs w:val="19"/>
                <w:color w:val="auto"/>
              </w:rPr>
            </w:pPr>
          </w:p>
        </w:tc>
        <w:tc>
          <w:tcPr>
            <w:tcW w:w="2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$5.00</w:t>
            </w:r>
            <w:r>
              <w:rPr>
                <w:rFonts w:ascii="Times New Roman" w:cs="Times New Roman" w:eastAsia="Times New Roman" w:hAnsi="Times New Roman"/>
                <w:sz w:val="15"/>
                <w:szCs w:val="15"/>
                <w:color w:val="auto"/>
              </w:rPr>
              <w:t>(4)</w:t>
            </w:r>
          </w:p>
        </w:tc>
        <w:tc>
          <w:tcPr>
            <w:tcW w:w="278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5,461,551</w:t>
            </w: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15"/>
                <w:szCs w:val="15"/>
                <w:color w:val="auto"/>
              </w:rPr>
              <w:t>(5)</w:t>
            </w:r>
          </w:p>
        </w:tc>
        <w:tc>
          <w:tcPr>
            <w:tcW w:w="2780" w:type="dxa"/>
            <w:vAlign w:val="bottom"/>
            <w:gridSpan w:val="2"/>
            <w:shd w:val="clear" w:color="auto" w:fill="CFF0FC"/>
          </w:tcPr>
          <w:p>
            <w:pPr>
              <w:jc w:val="right"/>
              <w:ind w:right="1630"/>
              <w:spacing w:after="0"/>
              <w:rPr>
                <w:sz w:val="20"/>
                <w:szCs w:val="20"/>
                <w:color w:val="auto"/>
              </w:rPr>
            </w:pPr>
            <w:r>
              <w:rPr>
                <w:rFonts w:ascii="Times New Roman" w:cs="Times New Roman" w:eastAsia="Times New Roman" w:hAnsi="Times New Roman"/>
                <w:sz w:val="18"/>
                <w:szCs w:val="18"/>
                <w:color w:val="auto"/>
              </w:rPr>
              <w:t>4,125,485</w:t>
            </w:r>
          </w:p>
        </w:tc>
        <w:tc>
          <w:tcPr>
            <w:tcW w:w="3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$15.00</w:t>
            </w:r>
            <w:r>
              <w:rPr>
                <w:rFonts w:ascii="Times New Roman" w:cs="Times New Roman" w:eastAsia="Times New Roman" w:hAnsi="Times New Roman"/>
                <w:sz w:val="15"/>
                <w:szCs w:val="15"/>
                <w:color w:val="auto"/>
              </w:rPr>
              <w:t>(6)</w:t>
            </w:r>
          </w:p>
        </w:tc>
        <w:tc>
          <w:tcPr>
            <w:tcW w:w="278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3,270,028</w:t>
            </w: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$20.00</w:t>
            </w:r>
            <w:r>
              <w:rPr>
                <w:rFonts w:ascii="Times New Roman" w:cs="Times New Roman" w:eastAsia="Times New Roman" w:hAnsi="Times New Roman"/>
                <w:sz w:val="15"/>
                <w:szCs w:val="15"/>
                <w:color w:val="auto"/>
              </w:rPr>
              <w:t>(7)</w:t>
            </w:r>
          </w:p>
        </w:tc>
        <w:tc>
          <w:tcPr>
            <w:tcW w:w="2780" w:type="dxa"/>
            <w:vAlign w:val="bottom"/>
            <w:gridSpan w:val="2"/>
            <w:shd w:val="clear" w:color="auto" w:fill="CFF0FC"/>
          </w:tcPr>
          <w:p>
            <w:pPr>
              <w:jc w:val="right"/>
              <w:ind w:right="1630"/>
              <w:spacing w:after="0"/>
              <w:rPr>
                <w:sz w:val="20"/>
                <w:szCs w:val="20"/>
                <w:color w:val="auto"/>
              </w:rPr>
            </w:pPr>
            <w:r>
              <w:rPr>
                <w:rFonts w:ascii="Times New Roman" w:cs="Times New Roman" w:eastAsia="Times New Roman" w:hAnsi="Times New Roman"/>
                <w:sz w:val="18"/>
                <w:szCs w:val="18"/>
                <w:color w:val="auto"/>
              </w:rPr>
              <w:t>1,223,525</w:t>
            </w:r>
          </w:p>
        </w:tc>
        <w:tc>
          <w:tcPr>
            <w:tcW w:w="3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1" w:lineRule="exact"/>
        <w:rPr>
          <w:sz w:val="20"/>
          <w:szCs w:val="20"/>
          <w:color w:val="auto"/>
        </w:rPr>
      </w:pPr>
    </w:p>
    <w:p>
      <w:pPr>
        <w:ind w:left="540" w:right="380" w:hanging="532"/>
        <w:spacing w:after="0" w:line="273"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number of shares underlying outstanding employee stock options as of March 31, 2022 with an exercise price less than the applicable illustrative stock price.</w:t>
      </w:r>
    </w:p>
    <w:p>
      <w:pPr>
        <w:spacing w:after="0" w:line="1" w:lineRule="exact"/>
        <w:rPr>
          <w:rFonts w:ascii="Times New Roman" w:cs="Times New Roman" w:eastAsia="Times New Roman" w:hAnsi="Times New Roman"/>
          <w:sz w:val="18"/>
          <w:szCs w:val="18"/>
          <w:color w:val="auto"/>
        </w:rPr>
      </w:pPr>
    </w:p>
    <w:p>
      <w:pPr>
        <w:ind w:left="540" w:hanging="532"/>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number of shares underlying outstanding employee stock options as of March 31, 2022 with an exercise price less than the applicable illustrative stock price, divided by 9,471,305, which is the total number of shares underlying all outstanding employee stock options as of March 31, 2022.</w:t>
      </w: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closing price of our common stock as reported by the Nasdaq Global Select Market on March 31, 2022.</w:t>
      </w:r>
    </w:p>
    <w:p>
      <w:pPr>
        <w:spacing w:after="0" w:line="4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hypothetical increase of approximately 279% from the closing price of our common stock on March 31, 2022.</w:t>
      </w:r>
    </w:p>
    <w:p>
      <w:pPr>
        <w:spacing w:after="0" w:line="4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hypothetical increase of approximately 658% from the closing price of our common stock on March 31, 2022.</w:t>
      </w:r>
    </w:p>
    <w:p>
      <w:pPr>
        <w:spacing w:after="0" w:line="4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hypothetical increase of approximately 1,036% from the closing price of our common stock on March 31, 2022.</w:t>
      </w:r>
    </w:p>
    <w:p>
      <w:pPr>
        <w:spacing w:after="0" w:line="4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hypothetical increase of approximately 1,415% from the closing price of our common stock on March 31, 2022.</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recently experienced significant employee attrition, with virtually all departing employees leaving the Company holding a portfolio of stock options comprised entirely of underwater options. Our Compensation Committee and board of directors believe that granting additional stock options and other equity awards to our existing employees could incentivize those employees to remain with the Company due to the lower exercise prices associated with such newly granted options. However, if the Second Amendment is not approved, the Company may not have sufficient shares of common stock available to effectively use the 2018 Plan as an employee retention tool.</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Compensation Committee and board of directors believe that the proposed increase in the number of shares of common stock reserved for issuance under the 2018 Plan, together with the shares available under our Inducement Plans, will provide a sufficient amount of shares that can be issued as long-term incentive compensation to allow us to continue to attract valuable new employees, issue new equity awards to our current employees as part of our overall employee retention strategy, and continue to provide our employees and non-employee directors with a proprietary interest in the Company. If our stockholders do not approve the Second Amendment, we strongly believe that we may be unable to successfully continue to use equity as a significant element of our compensation program, as most of our competitors in the industry do, putting us at a significant disadvantage and compromising our ability to enhance anticipated long-term stockholder value. For example, we currently anticipate that the 1,777,657 shares that remain available for issuance under the 2018 Plan as of March 31, 2022 may not be completely sufficient to maintain our competitive equity grant practices for the 2022 year-end annual compensation cycle. Moreover, we would not be able to make grants to employees during the 2023 compensation cycle due to a lack of shares available.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Burn rate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historical awards granted and earned for the 2019 through 2021 period under all of our equity incentive plans, and the corresponding burn rate, which is defined as the number of shares subject to equity-based awards granted in a year divided by the weighted average number of shares of common stock outstanding for that year, for each of the last three fiscal years: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9" w:name="page20"/>
    <w:bookmarkEnd w:id="19"/>
    <w:tbl>
      <w:tblPr>
        <w:tblLayout w:type="fixed"/>
        <w:tblInd w:w="1140" w:type="dxa"/>
        <w:tblCellMar>
          <w:top w:w="0" w:type="dxa"/>
          <w:left w:w="0" w:type="dxa"/>
          <w:bottom w:w="0" w:type="dxa"/>
          <w:right w:w="0" w:type="dxa"/>
        </w:tblCellMar>
      </w:tblPr>
      <w:tr>
        <w:trPr>
          <w:trHeight w:val="238"/>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Share Element</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CFF0FC"/>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FF0FC"/>
            </w:tcBorders>
          </w:tcPr>
          <w:p>
            <w:pPr>
              <w:spacing w:after="0"/>
              <w:rPr>
                <w:sz w:val="20"/>
                <w:szCs w:val="20"/>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1,667,967</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3,019,663</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4,253,232</w:t>
            </w:r>
          </w:p>
        </w:tc>
        <w:tc>
          <w:tcPr>
            <w:tcW w:w="200" w:type="dxa"/>
            <w:vAlign w:val="bottom"/>
            <w:shd w:val="clear" w:color="auto" w:fill="CFF0FC"/>
          </w:tcPr>
          <w:p>
            <w:pPr>
              <w:spacing w:after="0"/>
              <w:rPr>
                <w:sz w:val="19"/>
                <w:szCs w:val="19"/>
                <w:color w:val="auto"/>
              </w:rPr>
            </w:pPr>
          </w:p>
        </w:tc>
      </w:tr>
      <w:tr>
        <w:trPr>
          <w:trHeight w:val="229"/>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Full-Value Awards 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3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771,600</w:t>
            </w:r>
          </w:p>
        </w:tc>
        <w:tc>
          <w:tcPr>
            <w:tcW w:w="2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Awards Granted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1,670,267</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3,019,663</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5,024,832</w:t>
            </w:r>
          </w:p>
        </w:tc>
        <w:tc>
          <w:tcPr>
            <w:tcW w:w="200" w:type="dxa"/>
            <w:vAlign w:val="bottom"/>
            <w:shd w:val="clear" w:color="auto" w:fill="CFF0FC"/>
          </w:tcPr>
          <w:p>
            <w:pPr>
              <w:spacing w:after="0"/>
              <w:rPr>
                <w:sz w:val="19"/>
                <w:szCs w:val="19"/>
                <w:color w:val="auto"/>
              </w:rPr>
            </w:pPr>
          </w:p>
        </w:tc>
      </w:tr>
      <w:tr>
        <w:trPr>
          <w:trHeight w:val="211"/>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During the Fiscal Year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27,432,489</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36,206,000</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42,854,305</w:t>
            </w:r>
          </w:p>
        </w:tc>
        <w:tc>
          <w:tcPr>
            <w:tcW w:w="200" w:type="dxa"/>
            <w:vAlign w:val="bottom"/>
          </w:tcPr>
          <w:p>
            <w:pPr>
              <w:spacing w:after="0"/>
              <w:rPr>
                <w:sz w:val="20"/>
                <w:szCs w:val="20"/>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Annual Burn Rate</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6.09%</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8.34%</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11.73%</w:t>
            </w:r>
          </w:p>
        </w:tc>
      </w:tr>
      <w:tr>
        <w:trPr>
          <w:trHeight w:val="459"/>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Three-Year Average Burn Rate</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8.72%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Compensation Committee determined the size of reserved pool under the 2018 Plan based on projected equity awards to anticipated new hires, projected annual equity awards to existing employees, the number of shares available for issuance under our Inducement Plans, and an assessment of the magnitude of increase that our stockholders would find acceptable. We anticipate that if our request to increase the share reserve is approved by our stockholders, the Company will have sufficient shares available to provide equity incentives to attract, retain, and motivate employees through 2024, assuming we continue to grant equity incentives consistent with our historical usage and current practices, and noting that future circumstances may require us to change our current equity grant practices. If the Second Amendment is approved, the share reserve under the 2018 Plan could last for a longer or shorter period of time, depending on several factors including our growth and future equity grant practices, which we cannot predict with certainty at this time. The Compensation Committee intends to remain prudent stewards of stockholder capital as we continue to use equity to help drive long-term shareholder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2018 Plan, as amended by the First Amendment and the Second Amendment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description of certain features of the 2018 Plan, as amended by the First Amendment and the Second Amendment, is intended to be a summary only. The summary is qualified in its entirety by the full text of the 2018 Plan, the First Amendment and the Second Amendment, each of which are attached hereto as Appendix A, B, and C, respectively.</w:t>
      </w:r>
    </w:p>
    <w:p>
      <w:pPr>
        <w:spacing w:after="0" w:line="17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Reserve; ISO Limit. </w:t>
      </w:r>
      <w:r>
        <w:rPr>
          <w:rFonts w:ascii="Times New Roman" w:cs="Times New Roman" w:eastAsia="Times New Roman" w:hAnsi="Times New Roman"/>
          <w:sz w:val="18"/>
          <w:szCs w:val="18"/>
          <w:color w:val="auto"/>
        </w:rPr>
        <w:t>The maximum number of shares of stock reserved and available for issuance under the 2018 Plan will be 5,477,657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(comprised of the 1,777,657 shares that remained available for issuance as of March 31, 2022 plus the 3.7 million newly added shares), subject to adjustment for changes in capitalization. For purposes of this limitation, the shares of stock underlying any awards under the 2018 Plan and under the 2015 Plan that are forfeited, canceled, held back upon exercise of an option or settlement of an award to cover the exercise price or tax withholding, reacquired by the Company prior to vesting, satisfied without the issuance of stock or otherwise terminated (other than by exercise) will be added back (or added, as applicable) to the shares of stock available for issuance under the 2018 Plan. In the event the Company repurchases shares of stock on the open market, such shares will not be added to the shares of stock available for issuance under the 2018 Plan. Subject to such overall limitation, the maximum aggregate number of shares of stock that may be issued in the form of incentive stock options will not exceed 40,458,297, subject in all cases to adjustment for changes in capitalization. The shares available for issuance under the 2018 Plan may be authorized but unissued shares of stock or shares of stock reacquired by the Company.</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Minimum Vesting</w:t>
      </w:r>
      <w:r>
        <w:rPr>
          <w:rFonts w:ascii="Times New Roman" w:cs="Times New Roman" w:eastAsia="Times New Roman" w:hAnsi="Times New Roman"/>
          <w:sz w:val="18"/>
          <w:szCs w:val="18"/>
          <w:color w:val="auto"/>
        </w:rPr>
        <w:t>. Any awards that settle in shares of stock, other than such awards representing a maximum of five percent of the shares reserved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2018 Plan (subject to adjustment as a result of any reorganization, recapitalization, reclassification, stock dividend, stock split, reverse stock split or other similar change in the our capital stock), will be granted subject to a minimum time-vesting period of at least 12 months, such that no such awards can vest prior to the first anniversary of the applicable grant date.</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2018 Plan will be administered by the Compensation Committee. The Compensation Committee has full power to select, from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individuals eligible for awards, the individuals to whom awards will be granted, to make any combination of awards to participants, and to determine the specific terms and conditions of each award, subject to the provisions of the 2018 Plan. The Compensation Committee may delegate to a committee consisting of one or more officers of the Company the authority to grant awards to employees who are not subject to the reporting and other provisions of Section 16 of the Exchange Act, subject to certain limitations and guidelines.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All full-time and part-time officers, employees, non-employee directors and consultants are eligible to participate in the 2018 Plan,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of the administrator. As of December 31, 2021, approximately 133 individuals were eligible to participate in the 2018 Plan, which includes six executive officers, 116 employees who are not executive officers, seven non-employee directors, and four consultants. There are certain limits on the number of awards that may be granted under the 2018 Plan.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0" w:name="page21"/>
    <w:bookmarkEnd w:id="20"/>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 Compensation Limit. </w:t>
      </w:r>
      <w:r>
        <w:rPr>
          <w:rFonts w:ascii="Times New Roman" w:cs="Times New Roman" w:eastAsia="Times New Roman" w:hAnsi="Times New Roman"/>
          <w:sz w:val="18"/>
          <w:szCs w:val="18"/>
          <w:color w:val="auto"/>
        </w:rPr>
        <w:t>The 2018 Plan provides that the value of all awards awarded under the 2018 Plan and all other cash compensation paid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any non-employee director in any calendar year shall not exceed $1,000,000.</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2018 Plan permits the granting of (i) options to purchase common stock intended to qualify as incentive stock options under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422 of the Internal Revenue Code, as amended, or the Code, and (ii) options that do not so qualify. Options granted under the 2018 Plan will be non-qualified options if they fail to qualify as incentive options or exceed the annual limit on incentive stock options. Incentive stock options may only be granted to employees of the Company and its subsidiaries. Non-qualified options may be granted to any persons eligible to receive incentive options and to non-employee directors and consultants. The option exercise price of each option will be determined by the Compensation Committee. Except in the case of options granted pursuant to a transaction described in, and in a manner consistent with, Section 424(a) of the Code, the exercise price of an option may not be less than 100% of the fair market value of the common stock on the date of grant. Fair market value for this purpose will be determined by reference to the price of the shares of common stock on the Nasdaq Global Select Market.</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 of each option will be fixed by the Compensation Committee and may not exceed ten years from the date of grant. The Compensation Committee will determine at what time or times each option may be exercised. Options may be made exercisable in installments and the exercisability of options may be accelerated by the Compensation Committee. In general, unless otherwise permitted by the Compensation Committee, no option granted under the 2018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Compensation Committee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exercise price.</w:t>
      </w:r>
    </w:p>
    <w:p>
      <w:pPr>
        <w:spacing w:after="0" w:line="18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To qualify as incentive options, options must meet additional federal tax requirements, including a $100,000 limit on the value of shares subject to incentive options that first become exercisable by a participant in any one calendar year.</w:t>
      </w:r>
    </w:p>
    <w:p>
      <w:pPr>
        <w:spacing w:after="0" w:line="1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Compensation Committee may award stock appreciation rights subject to such conditions and restrictions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may determine. Stock appreciation rights entitle the recipient to shares of common stock or cash equal to the value of the appreciation in the stock price over the exercise price. The exercise price is the fair market value of the common stock on the date of grant. The term of a stock appreciation right may not exceed ten years.</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Compensation Committee may award shares of common stock to participants subject to such conditions and restrictions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may determine. These conditions and restrictions may include the achievement of certain performance goals and/or continued employment with us through a specified restricted period. During the vesting period, restricted stock awards may be credited with dividends or dividend equivalent rights (but dividends and dividend equivalents payable with respect to unvested restricted stock awards shall not be paid unless and until such vesting conditions are satisfied).</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Compensation Committee may award restricted stock units to participants. Restricted stock units are ultimately payable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shares of common stock or cash subject to such conditions and restrictions as the Compensation Committee may determine. These conditions and restrictions may include the achievement of certain performance goals and/or continued employment with the Company through a specified vesting period. In the Compensation Committee’s sole discretion, it may permit a participant to make an advance election to receive a portion of his or her future cash compensation otherwise due in the form of a restricted stock unit award, subject to the participant’s compliance with the procedures established by the Compensation Committee and requirements of Section 409A of the Code. During the vesting and/or deferral period, the deferred stock awards may be credited with dividends or dividend equivalent rights (but dividends and dividend equivalents payable with respect to unvested restricted stock units shall not be paid unless and until such vesting conditions are satisfied).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1" w:right="379" w:bottom="1440" w:gutter="0" w:footer="0" w:header="0"/>
        </w:sectPr>
      </w:pPr>
    </w:p>
    <w:bookmarkStart w:id="21" w:name="page22"/>
    <w:bookmarkEnd w:id="21"/>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Unrestricted Stock Awards. </w:t>
      </w:r>
      <w:r>
        <w:rPr>
          <w:rFonts w:ascii="Times New Roman" w:cs="Times New Roman" w:eastAsia="Times New Roman" w:hAnsi="Times New Roman"/>
          <w:sz w:val="18"/>
          <w:szCs w:val="18"/>
          <w:color w:val="auto"/>
        </w:rPr>
        <w:t>The Compensation Committee may also grant shares of common stock which are free from any restrictions under the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Unrestricted stock may be granted to any participant in recognition of past services or other valid consideration and may be issued in lieu of cash compensation due to such participant.</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Compensation Committee may grant dividend equivalent rights to participants (other than with respect to options 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which entitle the recipient to receive credits 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w:t>
      </w:r>
    </w:p>
    <w:p>
      <w:pPr>
        <w:spacing w:after="0" w:line="18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Cash-Based Awards. </w:t>
      </w:r>
      <w:r>
        <w:rPr>
          <w:rFonts w:ascii="Times New Roman" w:cs="Times New Roman" w:eastAsia="Times New Roman" w:hAnsi="Times New Roman"/>
          <w:sz w:val="18"/>
          <w:szCs w:val="18"/>
          <w:color w:val="auto"/>
        </w:rPr>
        <w:t>The Compensation Committee may grant cash bonuses under the 2018 Plan to participants. The cash bonuses may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certain performance goals.</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Change of Control Provisions. </w:t>
      </w:r>
      <w:r>
        <w:rPr>
          <w:rFonts w:ascii="Times New Roman" w:cs="Times New Roman" w:eastAsia="Times New Roman" w:hAnsi="Times New Roman"/>
          <w:sz w:val="18"/>
          <w:szCs w:val="18"/>
          <w:color w:val="auto"/>
        </w:rPr>
        <w:t>In the event of a “sale event,” as defined in the 2018 Plan, awards under the 2018 Plan may be assumed, continued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substituted. In the event that awards are not assumed, continued or substituted, except as otherwise provided by the Compensation Committee in the award agreement, upon the effective time of the sale event, all awards with time-based conditions will become vested and exercisable upon the sale event, and awards with conditions and restrictions relating to the attainment of performance goals may become vested and non-forfeitable in connection with a sale event in the Compensation Committee’s discretion or to the extent specified in the relevant award agreement.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less than the per share cash consideration, such option or stock appreciation right shall be cancelled for no consideration). The Compensation Committee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spacing w:after="0" w:line="192"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Adjustments for Changes in Capitalization. </w:t>
      </w:r>
      <w:r>
        <w:rPr>
          <w:rFonts w:ascii="Times New Roman" w:cs="Times New Roman" w:eastAsia="Times New Roman" w:hAnsi="Times New Roman"/>
          <w:sz w:val="18"/>
          <w:szCs w:val="18"/>
          <w:color w:val="auto"/>
        </w:rPr>
        <w:t>The 2018 Plan requires the Compensation Committee to make appropriate adjustments to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that are subject to the 2018 Plan, to certain limits in the 2018 Plan, and to any outstanding awards to reflect stock dividends, stock splits, extraordinary cash dividends and similar events.</w:t>
      </w:r>
    </w:p>
    <w:p>
      <w:pPr>
        <w:spacing w:after="0" w:line="1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Participants in the 2018 Plan are responsible for the payment of any federal, state or local taxes that the Company is required by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 upon the exercise of options or stock appreciation rights or vesting of other awards. The Compensation Committee may require that tax withholding obligations satisfied by withholding shares of common stock to be issued pursuant to exercise or vesting. The Compensation Committee may also require the Company’s tax withholding obligation to be satisfied, in whole or in part, by an arrangement whereby a certain number of shares issued pursuant to any award are immediately sold and proceeds from such sale are remitted to the Company in an amount that would satisfy the withholding amount due.</w:t>
      </w:r>
    </w:p>
    <w:p>
      <w:pPr>
        <w:spacing w:after="0" w:line="1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The board of directors may at any time amend or discontinue the 2018 Plan and the Compensation Committee may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amend or cancel any outstanding award for the purpose of satisfying changes in the law or for any other lawful purpose. However, no such action may adversely affect any rights under any outstanding award without the holder’s consent. To the extent required under Nasdaq rules, any amendments that materially change the terms of the 2018 Plan will be subject to approval by our stockholders. Amendments shall also be subject to approval by our stockholders if and to the extent determined by the Compensation Committee to be required by the Code to preserve the qualified status of incentive options. Other than in connection with a change in control or change in our capitalization, without prior stockholder approval, in no event may the Compensation Committee or the board of directors exercise its discretion to reduce the exercise price of outstanding stock options or stock appreciation rights or effect a repricing through cancellation and re-grants or cancellation of stock options or stock appreciation rights in exchange for cash or other awards.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Effective Date of Plan. </w:t>
      </w:r>
      <w:r>
        <w:rPr>
          <w:rFonts w:ascii="Times New Roman" w:cs="Times New Roman" w:eastAsia="Times New Roman" w:hAnsi="Times New Roman"/>
          <w:sz w:val="18"/>
          <w:szCs w:val="18"/>
          <w:color w:val="auto"/>
        </w:rPr>
        <w:t>The Plan was originally approved by our board of directors on June 1, 2018. No awards may be granted under the 2018 Plan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tenth anniversary of the date of stockholder approval of the 2018 Plan or stockholder approval of any amendment to add shares to the 2018 Plan, and no awards of incentive stock options may be granted after the tenth anniversary of the date the Second Amendment (or most recent amendment to add shares to the 2018 Plan) is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the grant of awards under the 2018 Plan is within the discretion of the Compensation Committee, the Company cannot determine the dollar value or number of shares of common stock that will in the future be received by or allocated to any participant in the 2018 Plan.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Granted under the 2018 Plan</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various groups indicated, the total number of shares subject to awards that have been granted under the 2018 Plan as of March 31, 2022, even if not currently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184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r>
      <w:tr>
        <w:trPr>
          <w:trHeight w:val="237"/>
        </w:trPr>
        <w:tc>
          <w:tcPr>
            <w:tcW w:w="6440" w:type="dxa"/>
            <w:vAlign w:val="bottom"/>
          </w:tcPr>
          <w:p>
            <w:pPr>
              <w:spacing w:after="0"/>
              <w:rPr>
                <w:sz w:val="20"/>
                <w:szCs w:val="20"/>
                <w:color w:val="auto"/>
              </w:rPr>
            </w:pPr>
          </w:p>
        </w:tc>
        <w:tc>
          <w:tcPr>
            <w:tcW w:w="13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644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8"/>
        </w:trPr>
        <w:tc>
          <w:tcPr>
            <w:tcW w:w="644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Shares (#)</w:t>
            </w: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Shares (#)</w:t>
            </w:r>
          </w:p>
        </w:tc>
      </w:tr>
      <w:tr>
        <w:trPr>
          <w:trHeight w:val="223"/>
        </w:trPr>
        <w:tc>
          <w:tcPr>
            <w:tcW w:w="6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Geoff MacKay, </w:t>
            </w:r>
            <w:r>
              <w:rPr>
                <w:rFonts w:ascii="Times New Roman" w:cs="Times New Roman" w:eastAsia="Times New Roman" w:hAnsi="Times New Roman"/>
                <w:sz w:val="18"/>
                <w:szCs w:val="18"/>
                <w:i w:val="1"/>
                <w:iCs w:val="1"/>
                <w:color w:val="auto"/>
              </w:rPr>
              <w:t>President and Chief Executive Officer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1,594,650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Christopher Mason, </w:t>
            </w:r>
            <w:r>
              <w:rPr>
                <w:rFonts w:ascii="Times New Roman" w:cs="Times New Roman" w:eastAsia="Times New Roman" w:hAnsi="Times New Roman"/>
                <w:sz w:val="18"/>
                <w:szCs w:val="18"/>
                <w:i w:val="1"/>
                <w:iCs w:val="1"/>
                <w:color w:val="auto"/>
              </w:rPr>
              <w:t>Chief Scientific Officer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Erik Ostrowski, </w:t>
            </w:r>
            <w:r>
              <w:rPr>
                <w:rFonts w:ascii="Times New Roman" w:cs="Times New Roman" w:eastAsia="Times New Roman" w:hAnsi="Times New Roman"/>
                <w:sz w:val="18"/>
                <w:szCs w:val="18"/>
                <w:i w:val="1"/>
                <w:iCs w:val="1"/>
                <w:color w:val="auto"/>
              </w:rPr>
              <w:t>Chief Financial Officer and Treasurer</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846,000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r>
      <w:tr>
        <w:trPr>
          <w:trHeight w:val="22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329,602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for election as a director</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Gail Farfel, Ph.D.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Christopher Paige, Ph.D.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Philip J. Vickers, Ph.D.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Each associate of any executive officers, current</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directors or director nominees</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awards</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employees who are not executive officers,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as a group</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44"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for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259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Tax Aspects Under the Code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of certain transactions under the 2018 Plan. It does not describe all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tax consequences under the 2018 Plan, nor does it describe state, local or foreign tax consequences.</w:t>
      </w:r>
    </w:p>
    <w:p>
      <w:pPr>
        <w:spacing w:after="0" w:line="20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Incentive Options. </w:t>
      </w:r>
      <w:r>
        <w:rPr>
          <w:rFonts w:ascii="Times New Roman" w:cs="Times New Roman" w:eastAsia="Times New Roman" w:hAnsi="Times New Roman"/>
          <w:sz w:val="18"/>
          <w:szCs w:val="18"/>
          <w:color w:val="auto"/>
        </w:rPr>
        <w:t>No taxable income is generally realized by the optionee upon the grant or exercise of an incentive option. If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to an optionee pursuant to the exercise of an incentive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the Company will not be entitled to any deduction for federal income tax purposes. The exercise of an incentive option will give rise to an item of tax preference that may result in alternative minimum tax liability for the optionee.</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price thereof, and (ii) we will be entitled to deduct such amount. Special rules will apply where all or a portion of the exercise price of the incentive option is paid by tendering shares of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realized by the optionee at the time a non-qualified option is granted. Generally (i) at exercise, ordinary income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by the optionee in an amount equal to the difference between the option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8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Company generally will be entitled to a tax deduction in connection with other awards under the 2018 Plan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Parachute Payments. </w:t>
      </w:r>
      <w:r>
        <w:rPr>
          <w:rFonts w:ascii="Times New Roman" w:cs="Times New Roman" w:eastAsia="Times New Roman" w:hAnsi="Times New Roman"/>
          <w:sz w:val="18"/>
          <w:szCs w:val="18"/>
          <w:color w:val="auto"/>
        </w:rPr>
        <w:t>The vesting of any portion of an award that is accelerated due to the occurrence of a change in control (such as a sale event)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8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Limitation on Deductions. </w:t>
      </w:r>
      <w:r>
        <w:rPr>
          <w:rFonts w:ascii="Times New Roman" w:cs="Times New Roman" w:eastAsia="Times New Roman" w:hAnsi="Times New Roman"/>
          <w:sz w:val="18"/>
          <w:szCs w:val="18"/>
          <w:color w:val="auto"/>
        </w:rPr>
        <w:t>Under Section 162(m) of the Code, the Company’s deduction for awards under the 2018 Plan may be limited to the extent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“covered employee” (as defined in Section 162(m) of the Code) receives compensation in excess of $1 million a year.</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2021 regarding shares of common stock that may be issued under our equity compensation plans, consisting of our 2018 Plan, our 2015 Plan, our 2019 Inducement Plan, our 2020 Inducement Plan, and our Employee Stock Purchase Plan (“ESPP”).</w:t>
      </w:r>
    </w:p>
    <w:tbl>
      <w:tblPr>
        <w:tblLayout w:type="fixed"/>
        <w:tblInd w:w="1140" w:type="dxa"/>
        <w:tblCellMar>
          <w:top w:w="0" w:type="dxa"/>
          <w:left w:w="0" w:type="dxa"/>
          <w:bottom w:w="0" w:type="dxa"/>
          <w:right w:w="0" w:type="dxa"/>
        </w:tblCellMar>
      </w:tblPr>
      <w:tr>
        <w:trPr>
          <w:trHeight w:val="13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300"/>
              <w:spacing w:after="0" w:line="13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280" w:type="dxa"/>
            <w:vAlign w:val="bottom"/>
          </w:tcPr>
          <w:p>
            <w:pPr>
              <w:spacing w:after="0"/>
              <w:rPr>
                <w:sz w:val="12"/>
                <w:szCs w:val="12"/>
                <w:color w:val="auto"/>
              </w:rPr>
            </w:pPr>
          </w:p>
        </w:tc>
        <w:tc>
          <w:tcPr>
            <w:tcW w:w="1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80" w:type="dxa"/>
            <w:vAlign w:val="bottom"/>
          </w:tcPr>
          <w:p>
            <w:pPr>
              <w:spacing w:after="0"/>
              <w:rPr>
                <w:sz w:val="12"/>
                <w:szCs w:val="12"/>
                <w:color w:val="auto"/>
              </w:rPr>
            </w:pPr>
          </w:p>
        </w:tc>
        <w:tc>
          <w:tcPr>
            <w:tcW w:w="1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80" w:type="dxa"/>
            <w:vAlign w:val="bottom"/>
          </w:tcPr>
          <w:p>
            <w:pPr>
              <w:spacing w:after="0"/>
              <w:rPr>
                <w:sz w:val="12"/>
                <w:szCs w:val="12"/>
                <w:color w:val="auto"/>
              </w:rPr>
            </w:pPr>
          </w:p>
        </w:tc>
        <w:tc>
          <w:tcPr>
            <w:tcW w:w="1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w:t>
            </w:r>
          </w:p>
        </w:tc>
        <w:tc>
          <w:tcPr>
            <w:tcW w:w="0" w:type="dxa"/>
            <w:vAlign w:val="bottom"/>
          </w:tcPr>
          <w:p>
            <w:pPr>
              <w:spacing w:after="0"/>
              <w:rPr>
                <w:sz w:val="1"/>
                <w:szCs w:val="1"/>
                <w:color w:val="auto"/>
              </w:rPr>
            </w:pPr>
          </w:p>
        </w:tc>
      </w:tr>
      <w:tr>
        <w:trPr>
          <w:trHeight w:val="173"/>
        </w:trPr>
        <w:tc>
          <w:tcPr>
            <w:tcW w:w="3640" w:type="dxa"/>
            <w:vAlign w:val="bottom"/>
            <w:gridSpan w:val="2"/>
            <w:vMerge w:val="continue"/>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RSUs (#)</w:t>
            </w:r>
          </w:p>
        </w:tc>
        <w:tc>
          <w:tcPr>
            <w:tcW w:w="28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 ($)</w:t>
            </w:r>
            <w:r>
              <w:rPr>
                <w:rFonts w:ascii="Times New Roman" w:cs="Times New Roman" w:eastAsia="Times New Roman" w:hAnsi="Times New Roman"/>
                <w:sz w:val="12"/>
                <w:szCs w:val="12"/>
                <w:b w:val="1"/>
                <w:bCs w:val="1"/>
                <w:color w:val="auto"/>
              </w:rPr>
              <w:t>(1)</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First Column) (#)</w:t>
            </w:r>
          </w:p>
        </w:tc>
        <w:tc>
          <w:tcPr>
            <w:tcW w:w="0" w:type="dxa"/>
            <w:vAlign w:val="bottom"/>
          </w:tcPr>
          <w:p>
            <w:pPr>
              <w:spacing w:after="0"/>
              <w:rPr>
                <w:sz w:val="1"/>
                <w:szCs w:val="1"/>
                <w:color w:val="auto"/>
              </w:rPr>
            </w:pPr>
          </w:p>
        </w:tc>
      </w:tr>
      <w:tr>
        <w:trPr>
          <w:trHeight w:val="205"/>
        </w:trPr>
        <w:tc>
          <w:tcPr>
            <w:tcW w:w="356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8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15"/>
                <w:szCs w:val="15"/>
                <w:color w:val="auto"/>
              </w:rPr>
              <w:t>(2)</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6,088,613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13.39</w:t>
            </w: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3,734,746</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1,935,014</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20"/>
                <w:szCs w:val="20"/>
                <w:color w:val="auto"/>
              </w:rPr>
            </w:pPr>
          </w:p>
        </w:tc>
        <w:tc>
          <w:tcPr>
            <w:tcW w:w="1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xml:space="preserve">2,049,686 </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8,023,627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5,784,432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restricted stock units do not have any exercise price, such units are not included in the weighted average exercise price calculations.</w:t>
      </w:r>
    </w:p>
    <w:p>
      <w:pPr>
        <w:spacing w:after="0" w:line="27" w:lineRule="exact"/>
        <w:rPr>
          <w:rFonts w:ascii="Times New Roman" w:cs="Times New Roman" w:eastAsia="Times New Roman" w:hAnsi="Times New Roman"/>
          <w:sz w:val="18"/>
          <w:szCs w:val="18"/>
          <w:color w:val="auto"/>
        </w:rPr>
      </w:pPr>
    </w:p>
    <w:p>
      <w:pPr>
        <w:ind w:left="540" w:right="220" w:hanging="532"/>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2021, there were 1,777,657 shares of common stock available for grant under our 2018 Plan, no shares available for grant under our 2015 Plan, and 1,544,308 shares of common stock available for grant under our ESPP.</w:t>
      </w:r>
    </w:p>
    <w:p>
      <w:pPr>
        <w:ind w:left="540" w:right="80" w:hanging="532"/>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5,488,763 shares of common stock issuable upon the exercise of outstanding options and (ii) 599,850 shares of common stock issuable upon vesting of restricted stock units.</w:t>
      </w:r>
    </w:p>
    <w:p>
      <w:pPr>
        <w:ind w:left="540" w:right="180" w:hanging="532"/>
        <w:spacing w:after="0" w:line="255"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484,700 shares of common stock underlying non-qualified stock options that were granted prior to the adoption of our Inducement Plans as one-time awards to various new employees in accordance with Nasdaq Listing Rule 5635(c)(4), (ii) 1,387,314 shares of common stock issuable upon exercise of outstanding options granted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15259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4" w:name="page25"/>
    <w:bookmarkEnd w:id="24"/>
    <w:p>
      <w:pPr>
        <w:ind w:left="540" w:right="720"/>
        <w:spacing w:after="0" w:line="261" w:lineRule="auto"/>
        <w:rPr>
          <w:sz w:val="20"/>
          <w:szCs w:val="20"/>
          <w:color w:val="auto"/>
        </w:rPr>
      </w:pPr>
      <w:r>
        <w:rPr>
          <w:rFonts w:ascii="Times New Roman" w:cs="Times New Roman" w:eastAsia="Times New Roman" w:hAnsi="Times New Roman"/>
          <w:sz w:val="18"/>
          <w:szCs w:val="18"/>
          <w:color w:val="auto"/>
        </w:rPr>
        <w:t>our 2019 Inducement Plan and (iii) 63,000 shares of common stock issuable upon exercise of outstanding options granted under our 2020 Inducement Plan.</w:t>
      </w:r>
    </w:p>
    <w:p>
      <w:pPr>
        <w:ind w:left="540" w:right="140" w:hanging="532"/>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412,686 shares of common stock issuable under our 2019 Inducement Plan and (ii) 1,637,000 issuable under our 2020 Inducement Plan.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shares of common stock present in person or represented by proxy at the meeting and entitled to vote on this proposal is required for the approval of the Second Amendment.</w:t>
      </w:r>
    </w:p>
    <w:p>
      <w:pPr>
        <w:spacing w:after="0" w:line="77"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voting “FOR” Proposal No. 3 to approve an amendment to the AVROBIO, Inc. 2018 Stock Option and Incentive Plan.</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minimum qualifications, qualities and skills that our Nominating and Corporate Governance Committee believes must be met by a committee-recommended nominee for a position on our board of directors are as follows:</w:t>
      </w:r>
    </w:p>
    <w:p>
      <w:pPr>
        <w:spacing w:after="0" w:line="75" w:lineRule="exact"/>
        <w:rPr>
          <w:sz w:val="20"/>
          <w:szCs w:val="20"/>
          <w:color w:val="auto"/>
        </w:rPr>
      </w:pPr>
    </w:p>
    <w:p>
      <w:pPr>
        <w:ind w:left="940" w:hanging="392"/>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experience at a strategic or policymaking level in a business, government, non-profit or academic organization of high standing.</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highly accomplished in his or her respective field, with superior credentials and recognition.</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well regarded in the community and shall have a long-term reputation for the high ethical and moral standards.</w:t>
      </w:r>
    </w:p>
    <w:p>
      <w:pPr>
        <w:spacing w:after="0" w:line="144" w:lineRule="exact"/>
        <w:rPr>
          <w:rFonts w:ascii="Times New Roman" w:cs="Times New Roman" w:eastAsia="Times New Roman" w:hAnsi="Times New Roman"/>
          <w:sz w:val="18"/>
          <w:szCs w:val="18"/>
          <w:color w:val="auto"/>
        </w:rPr>
      </w:pPr>
    </w:p>
    <w:p>
      <w:pPr>
        <w:ind w:left="940" w:hanging="392"/>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sufficient time and availability to devote to the affairs of the Company, particularly in light of the number of boards of directors on which such nominee may serve.</w:t>
      </w:r>
    </w:p>
    <w:p>
      <w:pPr>
        <w:spacing w:after="0" w:line="53" w:lineRule="exact"/>
        <w:rPr>
          <w:rFonts w:ascii="Times New Roman" w:cs="Times New Roman" w:eastAsia="Times New Roman" w:hAnsi="Times New Roman"/>
          <w:sz w:val="18"/>
          <w:szCs w:val="18"/>
          <w:color w:val="auto"/>
        </w:rPr>
      </w:pPr>
    </w:p>
    <w:p>
      <w:pPr>
        <w:ind w:left="940" w:right="580" w:hanging="392"/>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nominee serves or has previously served on other boards, the nominee shall have a demonstrated history of actively contributing at board meetings.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foregoing, the Nominating and Corporate Governance Committee will consider other facts and circumstances that it deems appropriate or advisable, as outlined in the Company’s Corporate Governance Guidelines.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AVROBIO, Inc., One Kendall Square, Building 300, Suite 201, Cambridge, Massachusetts 02139,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Applicable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Mr. MacKay and Dr. Farfel,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MacKay is not an independent director under these rules because he is an executive officer of the Company. Dr. Farfel is not an independent director under these rules because an immediate family member is employed by Ernst &amp; Young LLP, our independent registered public accounting firm.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 xml:space="preserve">Our board of directors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 Corporate Governance section of our website, </w:t>
      </w:r>
      <w:r>
        <w:rPr>
          <w:rFonts w:ascii="Times New Roman" w:cs="Times New Roman" w:eastAsia="Times New Roman" w:hAnsi="Times New Roman"/>
          <w:sz w:val="18"/>
          <w:szCs w:val="18"/>
          <w:b w:val="1"/>
          <w:bCs w:val="1"/>
          <w:i w:val="1"/>
          <w:iCs w:val="1"/>
          <w:color w:val="auto"/>
        </w:rPr>
        <w:t>www.avrobio.com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Phillip Donenberg, Annalisa Jenkins and Christopher Paige serve on the Audit Committee, which is chaired by Mr. Donenberg.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During the fiscal year ended December 31, 2021, the Audit Committee met eight times. The report of the Audit Committee is included in this proxy statement under “Report of the Audit Committee.” The Audit Committee’s responsibilities include:</w:t>
      </w:r>
    </w:p>
    <w:p>
      <w:pPr>
        <w:spacing w:after="0" w:line="79" w:lineRule="exact"/>
        <w:rPr>
          <w:sz w:val="20"/>
          <w:szCs w:val="20"/>
          <w:color w:val="auto"/>
        </w:rPr>
      </w:pPr>
    </w:p>
    <w:p>
      <w:pPr>
        <w:ind w:left="940" w:hanging="392"/>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44" w:lineRule="exact"/>
        <w:rPr>
          <w:rFonts w:ascii="Times New Roman" w:cs="Times New Roman" w:eastAsia="Times New Roman" w:hAnsi="Times New Roman"/>
          <w:sz w:val="18"/>
          <w:szCs w:val="18"/>
          <w:color w:val="auto"/>
        </w:rPr>
      </w:pPr>
    </w:p>
    <w:p>
      <w:pPr>
        <w:ind w:left="940" w:right="20" w:hanging="392"/>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53" w:lineRule="exact"/>
        <w:rPr>
          <w:rFonts w:ascii="Times New Roman" w:cs="Times New Roman" w:eastAsia="Times New Roman" w:hAnsi="Times New Roman"/>
          <w:sz w:val="18"/>
          <w:szCs w:val="18"/>
          <w:color w:val="auto"/>
        </w:rPr>
      </w:pPr>
    </w:p>
    <w:p>
      <w:pPr>
        <w:ind w:left="940" w:right="700" w:hanging="392"/>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53" w:lineRule="exact"/>
        <w:rPr>
          <w:rFonts w:ascii="Times New Roman" w:cs="Times New Roman" w:eastAsia="Times New Roman" w:hAnsi="Times New Roman"/>
          <w:sz w:val="18"/>
          <w:szCs w:val="18"/>
          <w:color w:val="auto"/>
        </w:rPr>
      </w:pPr>
    </w:p>
    <w:p>
      <w:pPr>
        <w:ind w:left="940" w:right="700" w:hanging="392"/>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44" w:lineRule="exact"/>
        <w:rPr>
          <w:rFonts w:ascii="Times New Roman" w:cs="Times New Roman" w:eastAsia="Times New Roman" w:hAnsi="Times New Roman"/>
          <w:sz w:val="18"/>
          <w:szCs w:val="18"/>
          <w:color w:val="auto"/>
        </w:rPr>
      </w:pPr>
    </w:p>
    <w:p>
      <w:pPr>
        <w:ind w:left="940" w:right="20" w:hanging="392"/>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ind w:left="940" w:right="160" w:hanging="392"/>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quarterly earnings releases.</w:t>
      </w:r>
    </w:p>
    <w:p>
      <w:pPr>
        <w:spacing w:after="0" w:line="25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Ian Clark, Bruce Booth and Philip Vickers serve on the Compensation Committee, which is chaired by Mr. Clark. Our board of directors has determined that each member of the Compensation Committee is “independent” as defined in the applicable Nasdaq rules. During the fiscal year ended December 31, 2021, the Compensation Committee met six times. The Compensation Committee’s responsibilities include:</w:t>
      </w:r>
    </w:p>
    <w:p>
      <w:pPr>
        <w:spacing w:after="0" w:line="68" w:lineRule="exact"/>
        <w:rPr>
          <w:sz w:val="20"/>
          <w:szCs w:val="20"/>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the compensation of our chief executive officer;</w:t>
      </w:r>
    </w:p>
    <w:p>
      <w:pPr>
        <w:spacing w:after="0" w:line="144" w:lineRule="exact"/>
        <w:rPr>
          <w:rFonts w:ascii="Times New Roman" w:cs="Times New Roman" w:eastAsia="Times New Roman" w:hAnsi="Times New Roman"/>
          <w:sz w:val="18"/>
          <w:szCs w:val="18"/>
          <w:color w:val="auto"/>
        </w:rPr>
      </w:pPr>
    </w:p>
    <w:p>
      <w:pPr>
        <w:ind w:left="940" w:hanging="392"/>
        <w:spacing w:after="0" w:line="277"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our chief executive officer in light of such corporate goals and objectives, and based on such evaluation, reviewing and approving the proposed compensation for our chief executive officer, including (i) the cash compensation of our chief executive officer, (ii) grants and awards to our chief executive officer under equity-based plans, (iii) amendments to or extensions of our chief executive officer’s employment agreement or other similar arrangements, (iv) any severance or change in control arrangement, (v) any supplemental or retirement benefits, and (vi) any other compensation matters as may be directed by the Compensation Committee or our board of directors;</w:t>
      </w:r>
    </w:p>
    <w:p>
      <w:pPr>
        <w:spacing w:after="0" w:line="59" w:lineRule="exact"/>
        <w:rPr>
          <w:rFonts w:ascii="Times New Roman" w:cs="Times New Roman" w:eastAsia="Times New Roman" w:hAnsi="Times New Roman"/>
          <w:sz w:val="17"/>
          <w:szCs w:val="17"/>
          <w:color w:val="auto"/>
        </w:rPr>
      </w:pPr>
    </w:p>
    <w:p>
      <w:pPr>
        <w:ind w:left="940" w:right="240" w:hanging="392"/>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or reviewing our chief executive officer’s assessment of, our other executive officers in light of the corporate goals and objectives relevant to their compensation;</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cash compensation of our other executive officers;</w:t>
      </w:r>
    </w:p>
    <w:p>
      <w:pPr>
        <w:spacing w:after="0" w:line="144" w:lineRule="exact"/>
        <w:rPr>
          <w:rFonts w:ascii="Times New Roman" w:cs="Times New Roman" w:eastAsia="Times New Roman" w:hAnsi="Times New Roman"/>
          <w:sz w:val="18"/>
          <w:szCs w:val="18"/>
          <w:color w:val="auto"/>
        </w:rPr>
      </w:pPr>
    </w:p>
    <w:p>
      <w:pPr>
        <w:ind w:left="940" w:right="540" w:hanging="392"/>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periodically reviewing any policies and programs concerning perquisite benefits and non-cash or other benefits for our executive officers;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44" w:lineRule="exact"/>
        <w:rPr>
          <w:rFonts w:ascii="Times New Roman" w:cs="Times New Roman" w:eastAsia="Times New Roman" w:hAnsi="Times New Roman"/>
          <w:sz w:val="18"/>
          <w:szCs w:val="18"/>
          <w:color w:val="auto"/>
        </w:rPr>
      </w:pPr>
    </w:p>
    <w:p>
      <w:pPr>
        <w:ind w:left="940" w:right="560" w:hanging="392"/>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policies and practices, and assessing whether any risks arising from such policies and practices are reasonably likely to have a material adverse effect on the Company;</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44" w:lineRule="exact"/>
        <w:rPr>
          <w:rFonts w:ascii="Times New Roman" w:cs="Times New Roman" w:eastAsia="Times New Roman" w:hAnsi="Times New Roman"/>
          <w:sz w:val="18"/>
          <w:szCs w:val="18"/>
          <w:color w:val="auto"/>
        </w:rPr>
      </w:pPr>
    </w:p>
    <w:p>
      <w:pPr>
        <w:ind w:left="940" w:right="680" w:hanging="392"/>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advisors in accordance with the independence standards identified in the applicable Nasdaq rules;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Compensation Committee report if and when required by SEC rules;</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corporate succession plans for our chief executive officer and our other key officers;</w:t>
      </w:r>
    </w:p>
    <w:p>
      <w:pPr>
        <w:spacing w:after="0" w:line="144" w:lineRule="exact"/>
        <w:rPr>
          <w:rFonts w:ascii="Times New Roman" w:cs="Times New Roman" w:eastAsia="Times New Roman" w:hAnsi="Times New Roman"/>
          <w:sz w:val="18"/>
          <w:szCs w:val="18"/>
          <w:color w:val="auto"/>
        </w:rPr>
      </w:pPr>
    </w:p>
    <w:p>
      <w:pPr>
        <w:ind w:left="940" w:right="240" w:hanging="392"/>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if and when required, to be included in our annual proxy statement;</w:t>
      </w:r>
    </w:p>
    <w:p>
      <w:pPr>
        <w:spacing w:after="0" w:line="53" w:lineRule="exact"/>
        <w:rPr>
          <w:rFonts w:ascii="Times New Roman" w:cs="Times New Roman" w:eastAsia="Times New Roman" w:hAnsi="Times New Roman"/>
          <w:sz w:val="18"/>
          <w:szCs w:val="18"/>
          <w:color w:val="auto"/>
        </w:rPr>
      </w:pPr>
    </w:p>
    <w:p>
      <w:pPr>
        <w:ind w:left="940" w:right="560" w:hanging="392"/>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board of directors management proposals to our stockholders as well as proposals received from our stockholders that relate to executive compensation matters;</w:t>
      </w:r>
    </w:p>
    <w:p>
      <w:pPr>
        <w:spacing w:after="0" w:line="53" w:lineRule="exact"/>
        <w:rPr>
          <w:rFonts w:ascii="Times New Roman" w:cs="Times New Roman" w:eastAsia="Times New Roman" w:hAnsi="Times New Roman"/>
          <w:sz w:val="18"/>
          <w:szCs w:val="18"/>
          <w:color w:val="auto"/>
        </w:rPr>
      </w:pPr>
    </w:p>
    <w:p>
      <w:pPr>
        <w:ind w:left="940" w:right="380" w:hanging="392"/>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8" w:name="page29"/>
    <w:bookmarkEnd w:id="28"/>
    <w:p>
      <w:pPr>
        <w:ind w:left="940" w:hanging="392"/>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Annalisa Jenkins, Phillip Donenberg and Christopher Paige serve on the Nominating and Corporate Governance Committee, which is chaired by</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Dr. Jenkins. Our board of directors has determined that each member of the Nominating and Corporate Governance Committee is “independent” as defined in the applicable Nasdaq rules. During the fiscal year ended December 31, 2021, the Nominating and Corporate Governance Committee met three times. The Nominating and Corporate Governance Committee’s responsibilities include:</w:t>
      </w:r>
    </w:p>
    <w:p>
      <w:pPr>
        <w:spacing w:after="0" w:line="78" w:lineRule="exact"/>
        <w:rPr>
          <w:sz w:val="20"/>
          <w:szCs w:val="20"/>
          <w:color w:val="auto"/>
        </w:rPr>
      </w:pPr>
    </w:p>
    <w:p>
      <w:pPr>
        <w:ind w:left="940" w:hanging="392"/>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44" w:lineRule="exact"/>
        <w:rPr>
          <w:rFonts w:ascii="Times New Roman" w:cs="Times New Roman" w:eastAsia="Times New Roman" w:hAnsi="Times New Roman"/>
          <w:sz w:val="18"/>
          <w:szCs w:val="18"/>
          <w:color w:val="auto"/>
        </w:rPr>
      </w:pPr>
    </w:p>
    <w:p>
      <w:pPr>
        <w:ind w:left="940" w:right="300" w:hanging="392"/>
        <w:spacing w:after="0" w:line="282"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size and composition of the board of directors to ensure that it is composed of members containing the appropriate skills and expertise to advise us;</w:t>
      </w:r>
    </w:p>
    <w:p>
      <w:pPr>
        <w:spacing w:after="0" w:line="53"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 set of corporate governance guidelines; and</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w:t>
      </w:r>
    </w:p>
    <w:p>
      <w:pPr>
        <w:spacing w:after="0" w:line="2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Identifying and Evaluating Director Nominees. </w:t>
      </w:r>
      <w:r>
        <w:rPr>
          <w:rFonts w:ascii="Times New Roman" w:cs="Times New Roman" w:eastAsia="Times New Roman" w:hAnsi="Times New Roman"/>
          <w:sz w:val="18"/>
          <w:szCs w:val="18"/>
          <w:color w:val="auto"/>
        </w:rPr>
        <w:t>Our board of directors is responsible for filling vacancies on our board of directors and for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&amp; Technology Committee</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Philip Vickers, Bruce Booth, Gail Farfel, Annalisa Jenkins and Christopher Paige serve on the Science &amp; Technology Committee, which is chaired by Dr. Vickers. During the fiscal year ended December 31, 2021, the Science &amp; Technology Committee met six times. The Science &amp; Technology Committee’s responsibilities include:</w:t>
      </w:r>
    </w:p>
    <w:p>
      <w:pPr>
        <w:spacing w:after="0" w:line="68" w:lineRule="exact"/>
        <w:rPr>
          <w:sz w:val="20"/>
          <w:szCs w:val="20"/>
          <w:color w:val="auto"/>
        </w:rPr>
      </w:pPr>
    </w:p>
    <w:p>
      <w:pPr>
        <w:ind w:left="940" w:right="40" w:hanging="392"/>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advising the board of directors on our research and development, or R&amp;D, programs and progress in achieving R&amp;D goals and objectives;</w:t>
      </w:r>
    </w:p>
    <w:p>
      <w:pPr>
        <w:spacing w:after="0" w:line="53" w:lineRule="exact"/>
        <w:rPr>
          <w:rFonts w:ascii="Times New Roman" w:cs="Times New Roman" w:eastAsia="Times New Roman" w:hAnsi="Times New Roman"/>
          <w:sz w:val="18"/>
          <w:szCs w:val="18"/>
          <w:color w:val="auto"/>
        </w:rPr>
      </w:pPr>
    </w:p>
    <w:p>
      <w:pPr>
        <w:ind w:left="940" w:right="20" w:hanging="392"/>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on the scientific and R&amp;D aspects of licensing, collaboration and acquisition transactions that require approval by the board of directors;</w:t>
      </w:r>
    </w:p>
    <w:p>
      <w:pPr>
        <w:spacing w:after="0" w:line="53" w:lineRule="exact"/>
        <w:rPr>
          <w:rFonts w:ascii="Times New Roman" w:cs="Times New Roman" w:eastAsia="Times New Roman" w:hAnsi="Times New Roman"/>
          <w:sz w:val="18"/>
          <w:szCs w:val="18"/>
          <w:color w:val="auto"/>
        </w:rPr>
      </w:pPr>
    </w:p>
    <w:p>
      <w:pPr>
        <w:ind w:left="940" w:right="180" w:hanging="392"/>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exercise of its responsibility to assess and manage risks associated with our R&amp;D activities, clinical development and intellectual property; and</w:t>
      </w:r>
    </w:p>
    <w:p>
      <w:pPr>
        <w:spacing w:after="0" w:line="53" w:lineRule="exact"/>
        <w:rPr>
          <w:rFonts w:ascii="Times New Roman" w:cs="Times New Roman" w:eastAsia="Times New Roman" w:hAnsi="Times New Roman"/>
          <w:sz w:val="18"/>
          <w:szCs w:val="18"/>
          <w:color w:val="auto"/>
        </w:rPr>
      </w:pPr>
    </w:p>
    <w:p>
      <w:pPr>
        <w:ind w:left="940" w:right="160" w:hanging="392"/>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recommendations to the board of directors that the Science &amp; Technology Committee deems appropriate on any areas within its responsibility, including where action or improvement is needed.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Attendance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full board of directors met seven times during 2021. During 2021, each member of the board of directors attended in person or participated in 75% or more of the aggregate of (i) the total number of meetings of the board of directors (held during the period for which such person has been a director) and</w:t>
      </w:r>
    </w:p>
    <w:p>
      <w:pPr>
        <w:ind w:right="620" w:firstLine="8"/>
        <w:spacing w:after="0" w:line="260"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meetings held by all committees of the board of directors on which such person served (during the periods that such person served).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not have a policy with regard to our board members’ attendance at our annual meetings of stockholders, but all our directors, other than Ian Clark, attended the 2021 Annual Meeting of Stockholders which was held on June 10,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our executive officers, directors and designated employees and consultants from engaging in certain prohibited transactions, including short sales, purchases or sales of derivative securities or hedging transactions, the use of our securities as collateral in a margin account, and pledging of our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Investors &amp; Media – Corporate Governance section of our website, which is located at </w:t>
      </w:r>
      <w:r>
        <w:rPr>
          <w:rFonts w:ascii="Times New Roman" w:cs="Times New Roman" w:eastAsia="Times New Roman" w:hAnsi="Times New Roman"/>
          <w:sz w:val="18"/>
          <w:szCs w:val="18"/>
          <w:b w:val="1"/>
          <w:bCs w:val="1"/>
          <w:i w:val="1"/>
          <w:iCs w:val="1"/>
          <w:color w:val="auto"/>
        </w:rPr>
        <w:t>www.avrobio.com</w:t>
      </w:r>
      <w:r>
        <w:rPr>
          <w:rFonts w:ascii="Times New Roman" w:cs="Times New Roman" w:eastAsia="Times New Roman" w:hAnsi="Times New Roman"/>
          <w:sz w:val="18"/>
          <w:szCs w:val="18"/>
          <w:color w:val="auto"/>
        </w:rPr>
        <w:t>.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Currently, the role of chairperson of the board is separated from the role of chief executive officer. We believe that separating these positions allows our chief executive officer to focus on our day-to-day business, while allowing the chairperson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bylaws and our corporate governance guidelines do not require that our chairperson and chief executive officer positions be separate, our board of</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30" w:name="page31"/>
    <w:bookmarkEnd w:id="30"/>
    <w:p>
      <w:pPr>
        <w:ind w:right="600"/>
        <w:spacing w:after="0" w:line="282" w:lineRule="auto"/>
        <w:rPr>
          <w:sz w:val="20"/>
          <w:szCs w:val="20"/>
          <w:color w:val="auto"/>
        </w:rPr>
      </w:pPr>
      <w:r>
        <w:rPr>
          <w:rFonts w:ascii="Times New Roman" w:cs="Times New Roman" w:eastAsia="Times New Roman" w:hAnsi="Times New Roman"/>
          <w:sz w:val="18"/>
          <w:szCs w:val="18"/>
          <w:color w:val="auto"/>
        </w:rPr>
        <w:t>directors believes that having separate positions is the appropriate leadership structure for us at this time and demonstrates our commitment to good corporate governance.</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Generally, the role of the board of directors in overseeing the management of our risks is conducted primarily through committees of the board of directors, as disclosed in the descriptions of each of the committees above and in the charters of each of the committees. However, at least annually management provides to the full board of directors an overview of potential risks to the Company, which is then updated and presented to the Audit Committee on a periodic (currently quarterly) basis.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Directors of AVROBIO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chairperson of our board of directors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and Corporate Governance Committee, by submitting a written communication to the attention of such director at the following address: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AVROBIO,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One Kendall Square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Building 300, Suite 201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may submit your concern anonymously or confidentially by postal mail. You may also indicate whether you are a stockholder, customer, supplier, or other interested party.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for the reporting of such activity, which is 1-866-569-1843.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Evaluations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oversees and establishes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right="32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annually establishes the board and committee evaluation process and may determine to use an independent third party evaluation process from time to time in the future. For example, in 2020 the Company engaged an independent third-party consultant to interview board members on board performance and then provided feedback to the Nominating and Corporate Governance Committee for review and consideration.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member of our board of directors and received compensation for such service during the fiscal year ended December 31, 2021. Other than as set forth in the table and described more fully below, we did not pay any compensation, make any equity awards or non-equity awards to, or pay any other compensation to any of the non-employee members of our board of directors in 2021. We reimburse non-employee members of our board of directors for reasonable travel expenses. Mr. MacKay, our President and Chief Executive Officer, did not receive any compensation for his service as a member of our board of directors in 2021. Mr. MacKay’s compensation for service as an employee for fiscal year 2021 is presented in “Executive Compensation—Summary Compensation Table.”</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5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40" w:type="dxa"/>
            <w:vAlign w:val="bottom"/>
          </w:tcPr>
          <w:p>
            <w:pPr>
              <w:spacing w:after="0"/>
              <w:rPr>
                <w:sz w:val="15"/>
                <w:szCs w:val="15"/>
                <w:color w:val="auto"/>
              </w:rPr>
            </w:pPr>
          </w:p>
        </w:tc>
        <w:tc>
          <w:tcPr>
            <w:tcW w:w="12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Bruce Booth, D.Phil.</w:t>
            </w:r>
            <w:r>
              <w:rPr>
                <w:rFonts w:ascii="Times New Roman" w:cs="Times New Roman" w:eastAsia="Times New Roman" w:hAnsi="Times New Roman"/>
                <w:sz w:val="15"/>
                <w:szCs w:val="15"/>
                <w:color w:val="auto"/>
              </w:rPr>
              <w:t>(2)</w:t>
            </w: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79,500</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274"/>
              <w:spacing w:after="0"/>
              <w:rPr>
                <w:sz w:val="20"/>
                <w:szCs w:val="20"/>
                <w:color w:val="auto"/>
              </w:rPr>
            </w:pPr>
            <w:r>
              <w:rPr>
                <w:rFonts w:ascii="Times New Roman" w:cs="Times New Roman" w:eastAsia="Times New Roman" w:hAnsi="Times New Roman"/>
                <w:sz w:val="18"/>
                <w:szCs w:val="18"/>
                <w:color w:val="auto"/>
              </w:rPr>
              <w:t>118,326</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197,826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Clark</w:t>
            </w:r>
            <w:r>
              <w:rPr>
                <w:rFonts w:ascii="Times New Roman" w:cs="Times New Roman" w:eastAsia="Times New Roman" w:hAnsi="Times New Roman"/>
                <w:sz w:val="15"/>
                <w:szCs w:val="15"/>
                <w:color w:val="auto"/>
              </w:rPr>
              <w:t>(3)</w:t>
            </w: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47,500</w:t>
            </w:r>
          </w:p>
        </w:tc>
        <w:tc>
          <w:tcPr>
            <w:tcW w:w="240" w:type="dxa"/>
            <w:vAlign w:val="bottom"/>
          </w:tcPr>
          <w:p>
            <w:pPr>
              <w:spacing w:after="0"/>
              <w:rPr>
                <w:sz w:val="19"/>
                <w:szCs w:val="19"/>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118,326</w:t>
            </w:r>
          </w:p>
        </w:tc>
        <w:tc>
          <w:tcPr>
            <w:tcW w:w="240" w:type="dxa"/>
            <w:vAlign w:val="bottom"/>
          </w:tcPr>
          <w:p>
            <w:pPr>
              <w:spacing w:after="0"/>
              <w:rPr>
                <w:sz w:val="19"/>
                <w:szCs w:val="19"/>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165,826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Phillip Donenberg</w:t>
            </w:r>
            <w:r>
              <w:rPr>
                <w:rFonts w:ascii="Times New Roman" w:cs="Times New Roman" w:eastAsia="Times New Roman" w:hAnsi="Times New Roman"/>
                <w:sz w:val="15"/>
                <w:szCs w:val="15"/>
                <w:color w:val="auto"/>
              </w:rPr>
              <w:t>(4)</w:t>
            </w:r>
          </w:p>
        </w:tc>
        <w:tc>
          <w:tcPr>
            <w:tcW w:w="134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55,500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8"/>
                <w:szCs w:val="18"/>
                <w:color w:val="auto"/>
              </w:rPr>
              <w:t>118,326</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173,826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Gail Farfel</w:t>
            </w:r>
            <w:r>
              <w:rPr>
                <w:rFonts w:ascii="Times New Roman" w:cs="Times New Roman" w:eastAsia="Times New Roman" w:hAnsi="Times New Roman"/>
                <w:sz w:val="15"/>
                <w:szCs w:val="15"/>
                <w:color w:val="auto"/>
              </w:rPr>
              <w:t>(5)</w:t>
            </w: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43,250</w:t>
            </w:r>
          </w:p>
        </w:tc>
        <w:tc>
          <w:tcPr>
            <w:tcW w:w="240" w:type="dxa"/>
            <w:vAlign w:val="bottom"/>
          </w:tcPr>
          <w:p>
            <w:pPr>
              <w:spacing w:after="0"/>
              <w:rPr>
                <w:sz w:val="19"/>
                <w:szCs w:val="19"/>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118,326</w:t>
            </w:r>
          </w:p>
        </w:tc>
        <w:tc>
          <w:tcPr>
            <w:tcW w:w="240" w:type="dxa"/>
            <w:vAlign w:val="bottom"/>
          </w:tcPr>
          <w:p>
            <w:pPr>
              <w:spacing w:after="0"/>
              <w:rPr>
                <w:sz w:val="19"/>
                <w:szCs w:val="19"/>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161,576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Annalisa Jenkins, M.B.B.S., F.R.C.P.</w:t>
            </w:r>
            <w:r>
              <w:rPr>
                <w:rFonts w:ascii="Times New Roman" w:cs="Times New Roman" w:eastAsia="Times New Roman" w:hAnsi="Times New Roman"/>
                <w:sz w:val="15"/>
                <w:szCs w:val="15"/>
                <w:color w:val="auto"/>
              </w:rPr>
              <w:t>(6)</w:t>
            </w:r>
          </w:p>
        </w:tc>
        <w:tc>
          <w:tcPr>
            <w:tcW w:w="134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58,750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8"/>
                <w:szCs w:val="18"/>
                <w:color w:val="auto"/>
              </w:rPr>
              <w:t>118,326</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177,076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Paige, Ph.D.</w:t>
            </w:r>
            <w:r>
              <w:rPr>
                <w:rFonts w:ascii="Times New Roman" w:cs="Times New Roman" w:eastAsia="Times New Roman" w:hAnsi="Times New Roman"/>
                <w:sz w:val="15"/>
                <w:szCs w:val="15"/>
                <w:color w:val="auto"/>
              </w:rPr>
              <w:t>(7)</w:t>
            </w:r>
          </w:p>
        </w:tc>
        <w:tc>
          <w:tcPr>
            <w:tcW w:w="13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54,750</w:t>
            </w:r>
          </w:p>
        </w:tc>
        <w:tc>
          <w:tcPr>
            <w:tcW w:w="240" w:type="dxa"/>
            <w:vAlign w:val="bottom"/>
          </w:tcPr>
          <w:p>
            <w:pPr>
              <w:spacing w:after="0"/>
              <w:rPr>
                <w:sz w:val="19"/>
                <w:szCs w:val="19"/>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118,326</w:t>
            </w:r>
          </w:p>
        </w:tc>
        <w:tc>
          <w:tcPr>
            <w:tcW w:w="240" w:type="dxa"/>
            <w:vAlign w:val="bottom"/>
          </w:tcPr>
          <w:p>
            <w:pPr>
              <w:spacing w:after="0"/>
              <w:rPr>
                <w:sz w:val="19"/>
                <w:szCs w:val="19"/>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173,076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Philip Vickers, Ph.D.</w:t>
            </w:r>
            <w:r>
              <w:rPr>
                <w:rFonts w:ascii="Times New Roman" w:cs="Times New Roman" w:eastAsia="Times New Roman" w:hAnsi="Times New Roman"/>
                <w:sz w:val="15"/>
                <w:szCs w:val="15"/>
                <w:color w:val="auto"/>
              </w:rPr>
              <w:t>(8)</w:t>
            </w:r>
          </w:p>
        </w:tc>
        <w:tc>
          <w:tcPr>
            <w:tcW w:w="1340" w:type="dxa"/>
            <w:vAlign w:val="bottom"/>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54,000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8"/>
                <w:szCs w:val="18"/>
                <w:color w:val="auto"/>
              </w:rPr>
              <w:t>118,326</w:t>
            </w: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172,326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1" w:lineRule="exact"/>
        <w:rPr>
          <w:sz w:val="20"/>
          <w:szCs w:val="20"/>
          <w:color w:val="auto"/>
        </w:rPr>
      </w:pPr>
    </w:p>
    <w:p>
      <w:pPr>
        <w:ind w:left="540" w:hanging="532"/>
        <w:spacing w:after="0" w:line="25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option awards granted or modified in 2021 in accordance with the Financial Accounting Standards Board’s Accounting Standards Codification Topic 718, or ASC 718. Such grant date fair value does not take into account any estimated forfeitures related to service-vesting conditions. See Note 9 of “Notes to Consolidated Financial Statements” in our Annual Report on Form 10-K filed with the SEC on March 17, 2022 for a discussion of assumptions made by us in determining the aggregate grant date fair value of our option awards. These amounts do not correspond to the actual value that may be recognized by the director upon vesting of applicable awards.</w:t>
      </w:r>
    </w:p>
    <w:p>
      <w:pPr>
        <w:spacing w:after="0" w:line="7" w:lineRule="exact"/>
        <w:rPr>
          <w:rFonts w:ascii="Times New Roman" w:cs="Times New Roman" w:eastAsia="Times New Roman" w:hAnsi="Times New Roman"/>
          <w:sz w:val="18"/>
          <w:szCs w:val="18"/>
          <w:color w:val="auto"/>
        </w:rPr>
      </w:pPr>
    </w:p>
    <w:p>
      <w:pPr>
        <w:ind w:left="540" w:right="100" w:hanging="532"/>
        <w:spacing w:after="0" w:line="273"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Dr. Booth held options to purchase a total of 41,113 shares of our common stock, of which 23,675 shares were vested as of such date.</w:t>
      </w:r>
    </w:p>
    <w:p>
      <w:pPr>
        <w:spacing w:after="0" w:line="1" w:lineRule="exact"/>
        <w:rPr>
          <w:rFonts w:ascii="Times New Roman" w:cs="Times New Roman" w:eastAsia="Times New Roman" w:hAnsi="Times New Roman"/>
          <w:sz w:val="18"/>
          <w:szCs w:val="18"/>
          <w:color w:val="auto"/>
        </w:rPr>
      </w:pPr>
    </w:p>
    <w:p>
      <w:pPr>
        <w:ind w:left="540" w:right="140" w:hanging="532"/>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Clark held options to purchase an aggregate of 120,135 shares of our common stock, of which 100,804 shares were vested as of such date.</w:t>
      </w:r>
    </w:p>
    <w:p>
      <w:pPr>
        <w:ind w:left="540" w:right="320" w:hanging="532"/>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Donenberg held options to purchase an aggregate of 59,856 shares of our common stock, of which 42,418 shares were vested as of such date.</w:t>
      </w:r>
    </w:p>
    <w:p>
      <w:pPr>
        <w:ind w:left="540" w:right="180" w:hanging="532"/>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Dr. Farfel held an option to purchase an aggregate of 45,438 shares of our common stock, of which 10,889 shares were vested as of such date.</w:t>
      </w:r>
    </w:p>
    <w:p>
      <w:pPr>
        <w:ind w:left="540" w:right="220" w:hanging="532"/>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Dr. Jenkins held options to purchase an aggregate of 80,624 shares of our common stock, of which 60,717 shares were vested as of such date.</w:t>
      </w:r>
    </w:p>
    <w:p>
      <w:pPr>
        <w:ind w:left="540" w:right="240" w:hanging="532"/>
        <w:spacing w:after="0" w:line="25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Dr. Paige held options to purchase 41,113 shares of our common stock, of which 23,675 shares were vested as of such date.</w:t>
      </w:r>
    </w:p>
    <w:p>
      <w:pPr>
        <w:ind w:left="540" w:right="220" w:hanging="532"/>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Dr. Vickers held options to purchase an aggregate of 59,856 shares of our common stock, of which 41,897 shares were vested as of such date.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Our board of directors has adopted a non-employee director compensation policy that is designed to enable us to attract and retain, on a long-term basis, highly qualified non-employee directors. Pursuant to the policy, each director who is not an employee will be paid cash compensation as set forth below:</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7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NON-</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CHAIRPERSON</w:t>
            </w:r>
          </w:p>
        </w:tc>
        <w:tc>
          <w:tcPr>
            <w:tcW w:w="1300" w:type="dxa"/>
            <w:vAlign w:val="bottom"/>
            <w:gridSpan w:val="3"/>
            <w:vMerge w:val="restart"/>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MEMBER</w:t>
            </w: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2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 FEE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72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2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0" w:right="140" w:hanging="592"/>
        <w:spacing w:after="0" w:line="261"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2021, following discussion with the Company’s compensation consultant, the board of directors amended the non-employee director compensation policy to increase the non-chairperson member annual fee from $35,000 to $40,000, effective July 1, 2021.</w:t>
      </w:r>
    </w:p>
    <w:p>
      <w:pPr>
        <w:ind w:left="600" w:right="140" w:hanging="592"/>
        <w:spacing w:after="0" w:line="250"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2021, following discussion with the Company’s compensation consultant, the board of directors amended the non-employee director compensation policy to increase the chairperson annual fee from $65,000 to $72,500, effective July 1, 2021.</w:t>
      </w:r>
    </w:p>
    <w:p>
      <w:pPr>
        <w:ind w:left="600" w:right="60" w:hanging="592"/>
        <w:spacing w:after="0" w:line="250"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10, 2021, following discussion with the Company’s compensation consultant, the board of directors amended the non-employee director compensation policy to increase the non-chairperson Science and Technology Committee member annual fee from $4,000 to $7,500, effective July 1, 2021.</w:t>
      </w:r>
    </w:p>
    <w:p>
      <w:pPr>
        <w:spacing w:after="0" w:line="1" w:lineRule="exact"/>
        <w:rPr>
          <w:rFonts w:ascii="Times New Roman" w:cs="Times New Roman" w:eastAsia="Times New Roman" w:hAnsi="Times New Roman"/>
          <w:sz w:val="18"/>
          <w:szCs w:val="18"/>
          <w:color w:val="auto"/>
        </w:rPr>
      </w:pPr>
    </w:p>
    <w:p>
      <w:pPr>
        <w:ind w:left="600" w:right="180" w:hanging="592"/>
        <w:spacing w:after="0" w:line="290" w:lineRule="auto"/>
        <w:tabs>
          <w:tab w:leader="none" w:pos="6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10, 2021, following discussion with the Company’s compensation consultant, the board of directors amended the non-employee director compensation policy to increase the chairperson Science and Technology Committee annual fee from $8,000 to $15,000, effective July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1525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10, 2021, following discussion with the Company’s compensation consultant, the board of directors amended the non-employee director compensation policy with respect to equity compensation. Prior to such amendment, each non-employee director first elected to or appointed to serve on our board of directors was granted an option award for 28,000 shares of common stock which would vest in 36 equal monthly installments, and on each annual meeting of stockholders of our Company each continuing non-employee director would be granted an option award for 14,000 shares of our common stock which would vest in full upon the earlier to occur of the first anniversary of the date of grant or the date of our following annual meeting of stockholders. Pursuant to the amendment adopted by our board of directors on June 10, 2021, each non-employee director first elected or appointed to serve on our board of directors is now granted an option award for a number of shares of our common stock equivalent to 0.08% of the total number of common stock shares outstanding on the date of grant, which vests in 36 equal monthly installments over a three-year period, subject to the director’s continued service through such vesting dates. In addition, on the date of each annual meeting of stockholders of our Company, each continuing non-employee director is now granted an option award for a number of shares of our common stock equivalent to 0.04% of the total number of common stock shares outstanding on the date of grant, which vests in full upon the earlier to occur of the first anniversary of the date of grant or the date of our following annual meeting of stockholders, subject to continued service as a director through such vesting date.</w:t>
      </w:r>
    </w:p>
    <w:p>
      <w:pPr>
        <w:spacing w:after="0" w:line="190" w:lineRule="exact"/>
        <w:rPr>
          <w:sz w:val="20"/>
          <w:szCs w:val="20"/>
          <w:color w:val="auto"/>
        </w:rPr>
      </w:pPr>
    </w:p>
    <w:p>
      <w:pPr>
        <w:ind w:right="2320"/>
        <w:spacing w:after="0" w:line="282" w:lineRule="auto"/>
        <w:rPr>
          <w:sz w:val="20"/>
          <w:szCs w:val="20"/>
          <w:color w:val="auto"/>
        </w:rPr>
      </w:pPr>
      <w:r>
        <w:rPr>
          <w:rFonts w:ascii="Times New Roman" w:cs="Times New Roman" w:eastAsia="Times New Roman" w:hAnsi="Times New Roman"/>
          <w:sz w:val="18"/>
          <w:szCs w:val="18"/>
          <w:color w:val="auto"/>
        </w:rPr>
        <w:t>The board of directors, in consultation with the Company’s compensation consultant, will continue to review non-employee director compensation from time to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2021 and up to two additional individuals for whom disclosure would have been provided but for the fact that the individual was not serving as an executive officer as of December 31, 2021. We refer to these individuals as our 2021 named executive officers. Our 2021 named executive officers are:</w:t>
      </w:r>
    </w:p>
    <w:p>
      <w:pPr>
        <w:spacing w:after="0" w:line="79" w:lineRule="exact"/>
        <w:rPr>
          <w:sz w:val="20"/>
          <w:szCs w:val="20"/>
          <w:color w:val="auto"/>
        </w:rPr>
      </w:pPr>
    </w:p>
    <w:p>
      <w:pPr>
        <w:ind w:left="940" w:hanging="392"/>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Geoff MacKay, our Chief Executive Officer and President;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ind w:left="940" w:hanging="392"/>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Mason, our Chief Scientific Officer; and</w:t>
      </w:r>
    </w:p>
    <w:p>
      <w:pPr>
        <w:spacing w:after="0" w:line="144" w:lineRule="exact"/>
        <w:rPr>
          <w:rFonts w:ascii="Times New Roman" w:cs="Times New Roman" w:eastAsia="Times New Roman" w:hAnsi="Times New Roman"/>
          <w:sz w:val="18"/>
          <w:szCs w:val="18"/>
          <w:color w:val="auto"/>
        </w:rPr>
      </w:pPr>
    </w:p>
    <w:p>
      <w:pPr>
        <w:ind w:left="940" w:hanging="392"/>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Erik Ostrowski, our Chief Financial Officer and Treasurer.</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each of our named executive officers for services rendered to us in all capacities during the fiscal year ended December 31, 2021. The following table also presents information regarding the compensation awarded to, and earned by, and paid to each such individual during the fiscal year ended December 31, 2020, to the extent such individual was a named executive officer for such year.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40" w:type="dxa"/>
            <w:vAlign w:val="bottom"/>
          </w:tcPr>
          <w:p>
            <w:pPr>
              <w:spacing w:after="0"/>
              <w:rPr>
                <w:sz w:val="12"/>
                <w:szCs w:val="12"/>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80" w:type="dxa"/>
            <w:vAlign w:val="bottom"/>
            <w:gridSpan w:val="2"/>
            <w:vMerge w:val="continue"/>
          </w:tcPr>
          <w:p>
            <w:pPr>
              <w:spacing w:after="0"/>
              <w:rPr>
                <w:sz w:val="12"/>
                <w:szCs w:val="12"/>
                <w:color w:val="auto"/>
              </w:rPr>
            </w:pPr>
          </w:p>
        </w:tc>
        <w:tc>
          <w:tcPr>
            <w:tcW w:w="8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108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Geoff MacKay</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559,702</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4,608,631</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5"/>
              </w:rPr>
              <w:t>184,702</w:t>
            </w:r>
          </w:p>
        </w:tc>
        <w:tc>
          <w:tcPr>
            <w:tcW w:w="2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420" w:type="dxa"/>
            <w:vAlign w:val="bottom"/>
            <w:tcBorders>
              <w:top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5,363,022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0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543,400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258,115</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4,093,165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4,904,395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Mason</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419,350</w:t>
            </w:r>
          </w:p>
        </w:tc>
        <w:tc>
          <w:tcPr>
            <w:tcW w:w="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2,215,463</w:t>
            </w:r>
          </w:p>
        </w:tc>
        <w:tc>
          <w:tcPr>
            <w:tcW w:w="240" w:type="dxa"/>
            <w:vAlign w:val="bottom"/>
          </w:tcPr>
          <w:p>
            <w:pPr>
              <w:spacing w:after="0"/>
              <w:rPr>
                <w:sz w:val="19"/>
                <w:szCs w:val="19"/>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100,644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2,736,744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Scientific Officer</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Erik Ostrowski</w:t>
            </w:r>
          </w:p>
        </w:tc>
        <w:tc>
          <w:tcPr>
            <w:tcW w:w="10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439,254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2,150,945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5"/>
              </w:rPr>
              <w:t>105,421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2,705,607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10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424,400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162,969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1,412,933</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2,010,017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amounts reflect the discretionary bonus paid in 2021 for performance during 2020.</w:t>
      </w:r>
    </w:p>
    <w:p>
      <w:pPr>
        <w:spacing w:after="0" w:line="27" w:lineRule="exact"/>
        <w:rPr>
          <w:rFonts w:ascii="Times New Roman" w:cs="Times New Roman" w:eastAsia="Times New Roman" w:hAnsi="Times New Roman"/>
          <w:sz w:val="18"/>
          <w:szCs w:val="18"/>
          <w:color w:val="auto"/>
        </w:rPr>
      </w:pPr>
    </w:p>
    <w:p>
      <w:pPr>
        <w:ind w:left="540" w:right="100" w:hanging="532"/>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equity awards granted or modified in 2021 and 2020 in accordance with ASC 718. Such grant date fair value does not take into account any estimated forfeitures related to service-vesting conditions. See Note 9 of “Notes to Consolidated Financial Statements” in our Annual Report on Form 10-K filed with the SEC on March 17, 2022 for a discussion of assumptions made by us in determining the aggregate grant date fair value of our equity awards. These amounts do not correspond to the actual value that may be recognized by the 2021 named executive officers upon vesting of applicable awards.</w:t>
      </w:r>
    </w:p>
    <w:p>
      <w:pPr>
        <w:spacing w:after="0" w:line="1" w:lineRule="exact"/>
        <w:rPr>
          <w:rFonts w:ascii="Times New Roman" w:cs="Times New Roman" w:eastAsia="Times New Roman" w:hAnsi="Times New Roman"/>
          <w:sz w:val="18"/>
          <w:szCs w:val="18"/>
          <w:color w:val="auto"/>
        </w:rPr>
      </w:pPr>
    </w:p>
    <w:p>
      <w:pPr>
        <w:ind w:left="540" w:right="280" w:hanging="532"/>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bonuses paid with respect to performance during the 2021 fiscal year, as discussed under “Narrative to Summary Compensation Table – Annual Bonus.”</w:t>
      </w: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401(k) contributions and life insurance premiums paid by us on behalf of Mr. MacKay.</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life insurance premiums paid by us on behalf of Dr. Mason.</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dollar value of 401(k) contributions and life insurance premiums paid by us on behalf of Mr.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-1510665</wp:posOffset>
            </wp:positionV>
            <wp:extent cx="1525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board of directors and Compensation Committee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ind w:right="20"/>
        <w:spacing w:after="0" w:line="253" w:lineRule="auto"/>
        <w:rPr>
          <w:sz w:val="20"/>
          <w:szCs w:val="20"/>
          <w:color w:val="auto"/>
        </w:rPr>
      </w:pPr>
      <w:r>
        <w:rPr>
          <w:rFonts w:ascii="Times New Roman" w:cs="Times New Roman" w:eastAsia="Times New Roman" w:hAnsi="Times New Roman"/>
          <w:sz w:val="18"/>
          <w:szCs w:val="18"/>
          <w:color w:val="auto"/>
        </w:rPr>
        <w:t>Our Compensation Committee reviews and approves the compensation to be paid to our chief executive officer and our other executive officers. Our Compensation Committee typically reviews and discusses management’s proposed compensation with the chief executive officer for all executives other than the chief executive officer. Based on those discussions and its discretion, taking into account the factors noted above, the Compensation Committee then approves the compensation of our chief executive officer and other executive officers without the chief executive officers or other members of management present. Frederic W. Cook &amp; Co., Inc., or FW Cook, advised the board of directors and the Compensation Committee on certain compensation matters and decisions during fiscal year 2021. FW Cook served at the discretion of the Compensation Committee and did not provide any other services to the Company during fiscal year 2021 other than those for which they were engaged by the Compensation Committee. Our Compensation Committee requires that its compensation consultants be independent of Company management and performs an annual assessment of the compensation consultants’ independence to determine whether the consultants are independent. Our Compensation Committee has determined that FW Cook is independent and that its respective work has not raised any conflicts of interest.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2021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2021 named executive officers is currently party to an employment agreement or other agreement or arrangement that provides for automatic or scheduled increases in base salary.</w:t>
      </w:r>
    </w:p>
    <w:p>
      <w:pPr>
        <w:spacing w:after="0" w:line="18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During 2021, the annual base salaries for each of Mr. MacKay, Dr. Mason and Mr. Ostrowski were $559,701.96, $419,350.08, and $439,254.00,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currently have a Senior Executive Cash Incentive Bonus Plan, which is intended to reward our executive officers, including our named executive officers, for meeting objective and/or subjective performance goals for a fiscal year. From time to time, our board of directors or Compensation Committee may approve annual bonuses for our executive officers, including our named executive officers, based on individual performance, company performance or as otherwise determined appropriate.</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Performance goals for each new fiscal year are approved by our Board of Directors. The Compensation Committee then reviews and determines the Company’s performance and level of attainment of such goals following the completion of the applicable fiscal year. For 2021, annual bonuses were based on achievement of Company goals related to achievement of preclinical and clinical program objectives and milestones, manufacturing development objectives, and regulatory objectives.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performance in fiscal year 2021, the target bonus opportunity as a percentage of base salary for each of Mr. MacKay, Dr. Mason and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Ostrowski were 55%, 40% and 40%,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typically grant stock option awards to each of our executives in connection with their start of employment. Such stock option awards are typically granted on the first trading day of the month after the employees’ start date. We set the option exercise price and grant date fair value based on the value of our common stock on the date of grant. For grants in connection with initial employment, vesting begins on the initial date of employment. For our employees other than our executives, in 2021 we began granting restricted stock units in connection with their start of employment, which are typically granted on the first trading day of the month after the employees’ start date and begin vesting on their initial date of employment.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Internal Revenue Code of 1986, as amended, or the Code. Matching contributions to the plan are made at the discretion of our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Our Named Executive Officers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Geoff MacKay, Christopher Mason and Erik Ostrowski which set forth the initial terms and conditions of each executive’s employment with us, including base salary, target annual bonus opportunity and standard employee benefit plan participation. These employment agreements provide for “at will” employment. The material terms of the employment agreements with our 2021 named executive officers are described below. The terms “change of control,” “cause” and “good reason” referred to below are defined in the applicable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Geoff MacKay</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upon the closing of our initial public offering in June 2018, we entered into an amended employment agreement with Geoff MacKay, our President and Chief Executive Officer. Under the terms of the employment agreement, Mr. MacKay is entitled to receive an annual base salary of $500,000 and an annual target bonus of 50% of his annual base salary based upon our board of directors’ assessment of Mr. MacKay’s performance and our attainment of targeted goals as set by the board of directors in its sole discretion. Mr. MacKay also previously entered into a Confidentiality and IP Assignment Agreement with us, the terms of which are incorporated into his employment agreement.</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MacKay’s employment agreement provides that, in the event that his employment is terminated by us without “cause” or Mr. MacKay resigned with “good reason,” subject to the execution and effectiveness of a separation agreement and release, he will be entitled to receive (i) an amount equal to 100% of his base salary, provided that Mr. MacKay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12 months. Additionally, all stock options and other stock based awards held by Mr. MacKay that would have vested if he had remained employed by us for an additional 12 months following the date of termination will vest and become exercisable or non-forfeitable as of the date of termination.</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employment agreement, in the event of a “change in control” all time-based stock options and other stock-based awards granted to Mr. MacKay at least 12 months prior to the effective date of the employment agreement shall accelerate and become fully exercisable or non-forfeitable immediately prior to the change in control. In addition, in the event that Mr. MacKay is terminated by us without “cause” or Mr. MacKay resigns for “good reason” within three months prior to or 18 months after a change in control, subject to the execution and effectiveness of a separation agreement and release, he will be entitled to receive (i) an amount equal to 150% of the sum of his base salary plus target bonus for that year, and (ii) reimbursement of COBRA premiums for health benefit coverage, up to an amount equal to the monthly employer contribution that we would have made to provide health insurance to Mr. MacKay had he remained employed with us for up to 18 months. Additionally, all then unvested time-based stock options and other stock-based awards granted to Mr. MacKay will vest and become exercisable or non-forfeitable as of the date of termination.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Christopher Mason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1, 2018, we entered into an employment agreement with Dr. Mason for the position of Chief Science Officer. Under the terms of the employment agreement, Dr. Mason is entitled to receive an annual base salary of $303,850 and, effective July 1, 2018, an annual target bonus of 35% of his annual base salary based upon our board of directors’ assessment of Dr. Mason’s performance and our attainment of targeted goals as set by the board of directors in its sole discretion. Dr. Mason also entered into a Confidentiality and IP Assignment Agreement with us, the terms of which are incorporated into his employment agreement.</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25, 2022, we entered into an amendment to Dr. Mason’s employment agreement, or the Amendment. Pursuant to the Amendment, Dr. Mason will devote 50% of his full working time and efforts to the business and affairs of AVROBIO during the period of April 1, 2022 through June 30, 2022, and he will receive an annual base salary rate of $215,000.04 during such period. Dr. Mason will not be eligible for any cash or equity incentive compensation for 2022, and he will not be eligible for severance payments upon the termination of his employment. Dr. Mason’s employment with us is expected to end on June 30, 2022.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Employment Agreement with Erik Ostrowski</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17, 2018, we entered into an employment agreement with Erik Ostrowski for the position of Chief Financial Officer. Under the terms of the employment agreement, Mr. Ostrowski is entitled to receive an annual base salary of $412,000 and an annual target bonus of 40% of his annual base salary based upon our board of directors’ assessment of Mr. Ostrowski’s performance and our attainment of targeted goals as set by the board of directors in its sole discretion. Mr. Ostrowski also received a signing bonus in the form of (i) a one-time cash bonus of $170,000 and (ii) a restricted stock unit for 2,300 shares of our common stock, or the Signing Bonus Award. In addition, pursuant to the terms of the employment agreement, Mr. Ostrowski was granted an option to purchase 186,000 shares of our common stock, or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our Company through the applicable vesting date. Mr. Ostrowski also entered into an Employee Confidentiality, Assignment and Noncompetition Agreement with us, the terms of which are incorporated into his employment agreement.</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Ostrowski’s employment agreement provides that, in the event that his employment is terminated by us without “cause” or Mr. Ostrowski resigns with “good reason,”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on our normal payroll cycle, and (ii) reimbursement of COBRA premiums for health benefit coverage, up to an amount equal to the monthly employer contribution that we would have made to provide health insurance to Mr. Ostrowski had he remained employed with us for up to nine months. Additionally, all stock options and other stock based awards held by Mr. Ostrowski that would have vested if he had remained employed by us for an additional nine months following the date of termination will vest and become exercisable or non-forfeitable as of the date of termination.</w:t>
      </w:r>
    </w:p>
    <w:p>
      <w:pPr>
        <w:spacing w:after="0" w:line="18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the employment agreement, in the event of a “change in control”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 is terminated by us without “cause” or Mr. Ostrowski resigns for “good reason” within three months prior to or 18 months after a “change in control,” subject to the execution and effectiveness of a separation agreement and release, he will be entitled to receive (i) an amount equal to 100% of the sum of his base salary plus target bonus for that year, less any amount paid to Mr. Ostrowski in the same calendar year under the Employee Confidentiality, Assignment and Noncompetition Agreement, and (ii) reimbursement of COBRA premiums for health benefit coverage, up to an amount equal to the monthly employer contribution that we would have made to provide health insurance to Mr. Ostrowski had he remained employed with us for up to 12 months. Additionally, all then unvested time-based stock options and other stock-based awards granted to Mr. Ostrowski will vest and become exercisable or non-forfeitable as of the date of termination.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our 2021 named executive officers as of December 31, 2021. All equity awards set forth in the table below were granted under either our 2015 Plan or our 2018 Plan.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1"/>
                <w:szCs w:val="11"/>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5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6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52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5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520" w:type="dxa"/>
            <w:vAlign w:val="bottom"/>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0" w:type="dxa"/>
            <w:vAlign w:val="bottom"/>
          </w:tcPr>
          <w:p>
            <w:pPr>
              <w:spacing w:after="0"/>
              <w:rPr>
                <w:sz w:val="1"/>
                <w:szCs w:val="1"/>
                <w:color w:val="auto"/>
              </w:rPr>
            </w:pPr>
          </w:p>
        </w:tc>
      </w:tr>
      <w:tr>
        <w:trPr>
          <w:trHeight w:val="148"/>
        </w:trPr>
        <w:tc>
          <w:tcPr>
            <w:tcW w:w="1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52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6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520" w:type="dxa"/>
            <w:vAlign w:val="bottom"/>
          </w:tcPr>
          <w:p>
            <w:pPr>
              <w:spacing w:after="0"/>
              <w:rPr>
                <w:sz w:val="15"/>
                <w:szCs w:val="15"/>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1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Geoff MacKay</w:t>
            </w:r>
          </w:p>
        </w:tc>
        <w:tc>
          <w:tcPr>
            <w:tcW w:w="1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142,013</w:t>
            </w:r>
          </w:p>
        </w:tc>
        <w:tc>
          <w:tcPr>
            <w:tcW w:w="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4/12/2026</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45,999</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6/12/2027</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288,927</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96,309</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3/15/2028</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56,250</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3/5/2029</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127,881</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292,300</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3/3/2030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343,850</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2/3/2031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6/9/2031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Mason</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4/12/2026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10/24/2026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6/12/2027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5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3/15/2028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35,417</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5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2/24/2029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34,833</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41,167</w:t>
            </w:r>
          </w:p>
        </w:tc>
        <w:tc>
          <w:tcPr>
            <w:tcW w:w="5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3/3/2030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5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2/3/2031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5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6/9/2031</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Erik Ostrowski</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135,625</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50,375</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(9)</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1/1/2029</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52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44,144</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56,756</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3/3/2030</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2/3/2031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5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(7)</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6/9/2031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40" w:right="340" w:hanging="532"/>
        <w:spacing w:after="0" w:line="26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is based on the fair market value of our common stock as of December 31, 2021, the last trading day of 2021, which was $3.85 per share.</w:t>
      </w:r>
    </w:p>
    <w:p>
      <w:pPr>
        <w:ind w:left="540" w:right="540" w:hanging="532"/>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June 13, 2018 and the remainder vest in equal monthly installments until the option is fully vested on June 13, 2021,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540" w:right="400" w:hanging="532"/>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March 16, 2019 and the remainder vest in equal monthly installments until the option is fully vested on March 16, 2022,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540" w:right="480" w:hanging="532"/>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March 5, 2020 and the remainder vest in equal monthly installments until the option is fully vested on March 5, 2023,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540" w:right="480" w:hanging="532"/>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March 4, 2021 and the remainder vest in equal monthly installments until the option is fully vested on March 4, 2024,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540" w:right="300" w:hanging="532"/>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February 4, 2022 and the remainder vest in equal monthly installments until the option is fully vested on February 4, 2025,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540" w:right="100" w:hanging="532"/>
        <w:spacing w:after="0" w:line="25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50% of the shares will vest on June 10, 2023 and the remainder will vest on June 10, 2024, subject to the continued employment of the executive officer through each such vesting date.</w:t>
      </w:r>
    </w:p>
    <w:p>
      <w:pPr>
        <w:ind w:left="540" w:right="320" w:hanging="532"/>
        <w:spacing w:after="0" w:line="260"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February 25, 2020 and the remainder vest in equal monthly installments until the option is fully vested on February 25, 2023, subject to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ind w:left="540"/>
        <w:spacing w:after="0"/>
        <w:rPr>
          <w:sz w:val="20"/>
          <w:szCs w:val="20"/>
          <w:color w:val="auto"/>
        </w:rPr>
      </w:pPr>
      <w:r>
        <w:rPr>
          <w:rFonts w:ascii="Times New Roman" w:cs="Times New Roman" w:eastAsia="Times New Roman" w:hAnsi="Times New Roman"/>
          <w:sz w:val="18"/>
          <w:szCs w:val="18"/>
          <w:color w:val="auto"/>
        </w:rPr>
        <w:t>continued employment of the executive officer through each such vesting date.</w:t>
      </w:r>
    </w:p>
    <w:p>
      <w:pPr>
        <w:spacing w:after="0" w:line="27" w:lineRule="exact"/>
        <w:rPr>
          <w:sz w:val="20"/>
          <w:szCs w:val="20"/>
          <w:color w:val="auto"/>
        </w:rPr>
      </w:pPr>
    </w:p>
    <w:p>
      <w:pPr>
        <w:ind w:left="540" w:right="280" w:hanging="532"/>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25% of the shares vested on January 2, 2020 and the remainder vest in equal monthly installments until the option is fully vested on January 2, 2023, subject to the continued employment of the executive officer through each such vesting date.</w:t>
      </w:r>
    </w:p>
    <w:p>
      <w:pPr>
        <w:spacing w:after="0" w:line="1" w:lineRule="exact"/>
        <w:rPr>
          <w:rFonts w:ascii="Times New Roman" w:cs="Times New Roman" w:eastAsia="Times New Roman" w:hAnsi="Times New Roman"/>
          <w:sz w:val="18"/>
          <w:szCs w:val="18"/>
          <w:color w:val="auto"/>
        </w:rPr>
      </w:pPr>
    </w:p>
    <w:p>
      <w:pPr>
        <w:ind w:left="540" w:right="160" w:hanging="532"/>
        <w:spacing w:after="0" w:line="255"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restricted stock unit award for 2,300 shares, which vests as follows: 25% of the shares vested on January 2, 2020 and the remainder vest in equal monthly installments until the restricted stock unit is fully vested on January 2, 2023, subject to the continued employment of the executive officer through each such vesting date.</w:t>
      </w: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9" w:name="page40"/>
    <w:bookmarkEnd w:id="39"/>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than the compensation agreements and other arrangements described under “Executive compensation” and “Director compensation” in this proxy statement and the transactions described below, since January 1, 2020, there has not been and there is not currently proposed, any transaction or series of similar transactions to which we were, or will be, a party in which the amount involved exceeded, or will exceed, $120,000 (or, if less, 1% of the average of our total assets amounts at December 31, 2020 and 2021)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Related Agreements with University Health Network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January 27, 2016, we entered into an option agreement with University Health Network, or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In connection with this agreement, we have also entered into three separate letter agreements with UHN, dated November 4, 2016, June 2, 2017 and December 11, 2019, pursuant to which we agreed to provide certain funding and costs and expenses associated with a clinical trial conducted by UHN for the treatment of Fabry disease. For the years ended December 31, 2020 and 2021, we paid $344 and $209, respectively, to UHN in connection with these agreements, which consists of reimbursable funded study trial costs and license maintenance fees.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Interleukin-12 Agreement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January 27, 2016, we entered into an exclusive license agreement with UHN pursuant to which UHN granted us an exclusive license to certain intellectual property rights relating to Interleukin-12 proteins, or IL-12. We entered into an amendment to this agreement on September 28, 2017. Under this agreement, we paid an upfront license fee and reimbursement of certain patent expenses, and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2020 and 2021, we paid $37 and $39 to UHN under this agreement, respectively, which consists of license maintenance fees.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above agreements, we have also entered into two separate sponsored research agreements with UHN, one in March 2017 and one in July 2017. The March 2017 agreement was amended and 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t>At the time we entered into each of the above agreements with UHN, other than the letter agreement dated December 11, 2019,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our prior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IPO, except for the registration rights granted under our investors’ rights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or as an officer of the Company to the maximum extent allowed under Delaware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directors, officers and holders of five percent or more of our voting securities and their affiliates, each a related party. We adopted a written related person transaction policy that requires related party transactions to be approved by our Audit Committee. Pursuant to this policy, the Audit Committee has the primary responsibility for reviewing and approving or disapproving “related party transactions,” which are transactions between us and related persons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to the extent known by us or ascertainable from public filings, with respect to the beneficial ownership of our common stock as of April 11, 2022 by:</w:t>
      </w:r>
    </w:p>
    <w:p>
      <w:pPr>
        <w:spacing w:after="0" w:line="54" w:lineRule="exact"/>
        <w:rPr>
          <w:sz w:val="20"/>
          <w:szCs w:val="20"/>
          <w:color w:val="auto"/>
        </w:rPr>
      </w:pPr>
    </w:p>
    <w:p>
      <w:pPr>
        <w:ind w:left="1100" w:hanging="390"/>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100" w:hanging="390"/>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100" w:hanging="390"/>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 and</w:t>
      </w:r>
    </w:p>
    <w:p>
      <w:pPr>
        <w:spacing w:after="0" w:line="117" w:lineRule="exact"/>
        <w:rPr>
          <w:rFonts w:ascii="Times New Roman" w:cs="Times New Roman" w:eastAsia="Times New Roman" w:hAnsi="Times New Roman"/>
          <w:sz w:val="18"/>
          <w:szCs w:val="18"/>
          <w:color w:val="auto"/>
        </w:rPr>
      </w:pPr>
    </w:p>
    <w:p>
      <w:pPr>
        <w:ind w:left="1100" w:hanging="390"/>
        <w:spacing w:after="0"/>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 than 5.0%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entitled “Shares Beneficially Owned” is based on a total of 43,696,470 shares of our common stock outstanding as of April 11, 2022.</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11, 2022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AVROBIO, Inc., One Kendall Square, Building 300, Suite 201, Cambridge, Massachusetts 02139.</w:t>
      </w:r>
    </w:p>
    <w:p>
      <w:pPr>
        <w:spacing w:after="0" w:line="27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40" w:type="dxa"/>
            <w:vAlign w:val="bottom"/>
            <w:gridSpan w:val="3"/>
            <w:vMerge w:val="continue"/>
          </w:tcPr>
          <w:p>
            <w:pPr>
              <w:spacing w:after="0"/>
              <w:rPr>
                <w:sz w:val="13"/>
                <w:szCs w:val="13"/>
                <w:color w:val="auto"/>
              </w:rPr>
            </w:pPr>
          </w:p>
        </w:tc>
        <w:tc>
          <w:tcPr>
            <w:tcW w:w="126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160" w:type="dxa"/>
            <w:vAlign w:val="bottom"/>
            <w:gridSpan w:val="2"/>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Affiliates of Atlas Venture Fund</w:t>
            </w:r>
            <w:r>
              <w:rPr>
                <w:rFonts w:ascii="Times New Roman" w:cs="Times New Roman" w:eastAsia="Times New Roman" w:hAnsi="Times New Roman"/>
                <w:sz w:val="15"/>
                <w:szCs w:val="15"/>
                <w:color w:val="auto"/>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4,541,381</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15"/>
                <w:szCs w:val="15"/>
                <w:color w:val="auto"/>
              </w:rPr>
              <w:t>(2)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3,456,088</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Federated Hermes, Inc.</w:t>
            </w:r>
            <w:r>
              <w:rPr>
                <w:rFonts w:ascii="Times New Roman" w:cs="Times New Roman" w:eastAsia="Times New Roman" w:hAnsi="Times New Roman"/>
                <w:sz w:val="15"/>
                <w:szCs w:val="15"/>
                <w:color w:val="auto"/>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2,595,453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GMT Capital Corp.</w:t>
            </w:r>
            <w:r>
              <w:rPr>
                <w:rFonts w:ascii="Times New Roman" w:cs="Times New Roman" w:eastAsia="Times New Roman" w:hAnsi="Times New Roman"/>
                <w:sz w:val="15"/>
                <w:szCs w:val="15"/>
                <w:color w:val="auto"/>
              </w:rPr>
              <w:t>(4)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2,594,914</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Geoff MacKay</w:t>
            </w:r>
            <w:r>
              <w:rPr>
                <w:rFonts w:ascii="Times New Roman" w:cs="Times New Roman" w:eastAsia="Times New Roman" w:hAnsi="Times New Roman"/>
                <w:sz w:val="15"/>
                <w:szCs w:val="15"/>
                <w:color w:val="auto"/>
              </w:rPr>
              <w:t>(5)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1,446,817</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Mason, MD, PhD, FRCS, FMedSci</w:t>
            </w:r>
            <w:r>
              <w:rPr>
                <w:rFonts w:ascii="Times New Roman" w:cs="Times New Roman" w:eastAsia="Times New Roman" w:hAnsi="Times New Roman"/>
                <w:sz w:val="15"/>
                <w:szCs w:val="15"/>
                <w:color w:val="auto"/>
              </w:rPr>
              <w:t>(6)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560,576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Erik Ostrowski</w:t>
            </w:r>
            <w:r>
              <w:rPr>
                <w:rFonts w:ascii="Times New Roman" w:cs="Times New Roman" w:eastAsia="Times New Roman" w:hAnsi="Times New Roman"/>
                <w:sz w:val="15"/>
                <w:szCs w:val="15"/>
                <w:color w:val="auto"/>
              </w:rPr>
              <w:t>(7)</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257,295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Booth, DPhil</w:t>
            </w:r>
            <w:r>
              <w:rPr>
                <w:rFonts w:ascii="Times New Roman" w:cs="Times New Roman" w:eastAsia="Times New Roman" w:hAnsi="Times New Roman"/>
                <w:sz w:val="15"/>
                <w:szCs w:val="15"/>
                <w:color w:val="auto"/>
              </w:rPr>
              <w:t>(8)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T. Clark</w:t>
            </w:r>
            <w:r>
              <w:rPr>
                <w:rFonts w:ascii="Times New Roman" w:cs="Times New Roman" w:eastAsia="Times New Roman" w:hAnsi="Times New Roman"/>
                <w:sz w:val="15"/>
                <w:szCs w:val="15"/>
                <w:color w:val="auto"/>
              </w:rPr>
              <w:t>(9)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120,135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Donenberg</w:t>
            </w:r>
            <w:r>
              <w:rPr>
                <w:rFonts w:ascii="Times New Roman" w:cs="Times New Roman" w:eastAsia="Times New Roman" w:hAnsi="Times New Roman"/>
                <w:sz w:val="15"/>
                <w:szCs w:val="15"/>
                <w:color w:val="auto"/>
              </w:rPr>
              <w:t>(10)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Gail M. Farfel, PhD</w:t>
            </w:r>
            <w:r>
              <w:rPr>
                <w:rFonts w:ascii="Times New Roman" w:cs="Times New Roman" w:eastAsia="Times New Roman" w:hAnsi="Times New Roman"/>
                <w:sz w:val="15"/>
                <w:szCs w:val="15"/>
                <w:color w:val="auto"/>
              </w:rPr>
              <w:t>(11)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Annalisa Jenkins, MBBS, FRCP</w:t>
            </w:r>
            <w:r>
              <w:rPr>
                <w:rFonts w:ascii="Times New Roman" w:cs="Times New Roman" w:eastAsia="Times New Roman" w:hAnsi="Times New Roman"/>
                <w:sz w:val="15"/>
                <w:szCs w:val="15"/>
                <w:color w:val="auto"/>
              </w:rPr>
              <w:t>(12)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Christopher Paige, PhD</w:t>
            </w:r>
            <w:r>
              <w:rPr>
                <w:rFonts w:ascii="Times New Roman" w:cs="Times New Roman" w:eastAsia="Times New Roman" w:hAnsi="Times New Roman"/>
                <w:sz w:val="15"/>
                <w:szCs w:val="15"/>
                <w:color w:val="auto"/>
              </w:rPr>
              <w:t>(13)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293,625</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J. Vickers, PhD</w:t>
            </w:r>
            <w:r>
              <w:rPr>
                <w:rFonts w:ascii="Times New Roman" w:cs="Times New Roman" w:eastAsia="Times New Roman" w:hAnsi="Times New Roman"/>
                <w:sz w:val="15"/>
                <w:szCs w:val="15"/>
                <w:color w:val="auto"/>
              </w:rPr>
              <w:t>(14)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64,656</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(13 persons)</w:t>
            </w:r>
            <w:r>
              <w:rPr>
                <w:rFonts w:ascii="Times New Roman" w:cs="Times New Roman" w:eastAsia="Times New Roman" w:hAnsi="Times New Roman"/>
                <w:sz w:val="15"/>
                <w:szCs w:val="15"/>
                <w:b w:val="1"/>
                <w:bCs w:val="1"/>
                <w:color w:val="auto"/>
              </w:rPr>
              <w:t>(15)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3,550,890</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259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151" w:lineRule="exact"/>
        <w:rPr>
          <w:sz w:val="20"/>
          <w:szCs w:val="20"/>
          <w:color w:val="auto"/>
        </w:rPr>
      </w:pPr>
    </w:p>
    <w:p>
      <w:pPr>
        <w:ind w:left="540" w:hanging="532"/>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right="20" w:hanging="532"/>
        <w:spacing w:after="0" w:line="25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13D filed with the SEC on July 30, 2019 and a Form 4 filed with the SEC on February 18, 2020. 3,710,052 shares are held directly by Atlas Venture Fund X, L.P. (“Atlas Venture X”), 810,811 shares are held directly by Atlas Venture Opportunity Fund I, L.P. (“Atlas Venture Opportunity”) and 20,518 shares are held directly by Atlas Venture Associates X, L.P. (“AVA X LP”). AVA X LP is the general partner of Atlas Venture X, and Atlas Venture Associates X, LLC (“AVA X LLC”) is the general partner of AVA X LP. Atlas Venture Associates Opportunity I, L.P. (“AVA Opportunity LP”) is the general partner of Atlas Venture Opportunity and Atlas Venture Associates Opportunity I, LLC (“AVA Opportunity LLC”) is the general partner of AVA Opportunity LP. Bruce Booth is a member of AVA X LLC and AVA Opportunity LLC and a member of our board of directors. Dr. Booth disclaims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42" w:name="page43"/>
    <w:bookmarkEnd w:id="42"/>
    <w:p>
      <w:pPr>
        <w:ind w:left="532" w:right="220"/>
        <w:spacing w:after="0" w:line="261" w:lineRule="auto"/>
        <w:rPr>
          <w:sz w:val="20"/>
          <w:szCs w:val="20"/>
          <w:color w:val="auto"/>
        </w:rPr>
      </w:pPr>
      <w:r>
        <w:rPr>
          <w:rFonts w:ascii="Times New Roman" w:cs="Times New Roman" w:eastAsia="Times New Roman" w:hAnsi="Times New Roman"/>
          <w:sz w:val="18"/>
          <w:szCs w:val="18"/>
          <w:color w:val="auto"/>
        </w:rPr>
        <w:t>beneficial ownership of such shares, except to the extent of his proportionate pecuniary interest therein, if any. The address for Atlas Venture X is 300 Technology Square,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02139.</w:t>
      </w:r>
    </w:p>
    <w:p>
      <w:pPr>
        <w:ind w:left="532" w:hanging="532"/>
        <w:spacing w:after="0" w:line="250"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3, 2022. The report was filed by Blackrock, Inc. on behalf of itself and its wholly owned subsidiaries, BlackRock Advisors, LLC; BlackRock Investment Management (UK) Limited; BlackRock Asset Management Canada Limited; BlackRock Fund Advisors; BlackRock Asset Management Ireland Limited; BlackRock Institutional Trust Company, National Association; BlackRock Financial Management, Inc.; BlackRock Japan Co., Ltd.; and BlackRock Investment Management, LLC. The address for these entities is 55 East 52nd Street, New York, NY 10055.</w:t>
      </w:r>
    </w:p>
    <w:p>
      <w:pPr>
        <w:spacing w:after="0" w:line="1" w:lineRule="exact"/>
        <w:rPr>
          <w:rFonts w:ascii="Times New Roman" w:cs="Times New Roman" w:eastAsia="Times New Roman" w:hAnsi="Times New Roman"/>
          <w:sz w:val="18"/>
          <w:szCs w:val="18"/>
          <w:color w:val="auto"/>
        </w:rPr>
      </w:pPr>
    </w:p>
    <w:p>
      <w:pPr>
        <w:ind w:left="532" w:right="340" w:hanging="532"/>
        <w:spacing w:after="0" w:line="250"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14, 2022. The report was filed by Federated Hermes, Inc. on behalf of itself as parent holding company and Federated Hermes Equity Funds; Federated Hermes Insurance Series; Federated Hermes MDT Series; Federated Equity Management Company of Pennsylvania; Federated Global Investment Management Corp.; Federated Investment Counseling; Federated MDTA LLC; FII Holdings, Inc.; Voting Shares Irrevocable Trust; Thomas R. Donahue; Rhodora J. Donahue; and J. Christopher Donahue. The address for these entities is 1001 Liberty Avenue, Pittsburgh, PA 15222.</w:t>
      </w:r>
    </w:p>
    <w:p>
      <w:pPr>
        <w:spacing w:after="0" w:line="1" w:lineRule="exact"/>
        <w:rPr>
          <w:rFonts w:ascii="Times New Roman" w:cs="Times New Roman" w:eastAsia="Times New Roman" w:hAnsi="Times New Roman"/>
          <w:sz w:val="18"/>
          <w:szCs w:val="18"/>
          <w:color w:val="auto"/>
        </w:rPr>
      </w:pPr>
    </w:p>
    <w:p>
      <w:pPr>
        <w:jc w:val="both"/>
        <w:ind w:left="532" w:right="200" w:hanging="532"/>
        <w:spacing w:after="0" w:line="250"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with the SEC on February 10, 2022. The report was filed by GMT Capital Corp. on behalf of itself and Bay Resource Partners, L.P.; Bay II Resource Partners, L.P.; Bay Resource Partners Offshore Master Fund, L.P.; Thomas E. Claugus; and certain sub-advisory and separate account clients advised by GMT. The address for these entities is 2300 Windy Ridge Parkway, Ste. 550 South, Atlanta, GA 30339.</w:t>
      </w:r>
    </w:p>
    <w:p>
      <w:pPr>
        <w:spacing w:after="0" w:line="1" w:lineRule="exact"/>
        <w:rPr>
          <w:rFonts w:ascii="Times New Roman" w:cs="Times New Roman" w:eastAsia="Times New Roman" w:hAnsi="Times New Roman"/>
          <w:sz w:val="18"/>
          <w:szCs w:val="18"/>
          <w:color w:val="auto"/>
        </w:rPr>
      </w:pPr>
    </w:p>
    <w:p>
      <w:pPr>
        <w:ind w:left="532" w:right="140" w:hanging="532"/>
        <w:spacing w:after="0" w:line="250"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245,123 shares of common stock, (ii) 72,604 shares of common stock held by Mac MacKay, (iii) 72,604 shares of common stock held by Kali MacKay, (iv) 200,000 shares held by the Geoff R. MacKay Irrevocable Trust, and (v) 856,486 shares of common stock issuable upon exercise of options within 60 days of April 11, 2022. Mr. MacKay is the father of Mac MacKay and Kali MacKay. Mr. MacKay may be deemed to have voting and investment power over shares held by Mac MacKay and Kali MacKay.</w:t>
      </w:r>
    </w:p>
    <w:p>
      <w:pPr>
        <w:spacing w:after="0" w:line="1" w:lineRule="exact"/>
        <w:rPr>
          <w:rFonts w:ascii="Times New Roman" w:cs="Times New Roman" w:eastAsia="Times New Roman" w:hAnsi="Times New Roman"/>
          <w:sz w:val="18"/>
          <w:szCs w:val="18"/>
          <w:color w:val="auto"/>
        </w:rPr>
      </w:pPr>
    </w:p>
    <w:p>
      <w:pPr>
        <w:ind w:left="532" w:right="120" w:hanging="532"/>
        <w:spacing w:after="0" w:line="250"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284,365 shares of common stock and (ii) 276,211 shares of common stock issuable upon exercise of options within 60 days of April 11, 2022.</w:t>
      </w:r>
    </w:p>
    <w:p>
      <w:pPr>
        <w:ind w:left="532" w:right="160" w:hanging="532"/>
        <w:spacing w:after="0" w:line="250"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1,868 shares of common stock, (ii) 96 shares of common stock issuable upon the vesting of a restricted stock unit within 60 days of April 11, 2022 and (iii) 255,331 shares of common stock issuable upon exercise of options within 60 days of April 11, 2022.</w:t>
      </w:r>
    </w:p>
    <w:p>
      <w:pPr>
        <w:ind w:left="532" w:hanging="532"/>
        <w:spacing w:after="0"/>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41,113 shares of common stock issuable upon exercise of options within 60 days of April 11, 2022.</w:t>
      </w:r>
    </w:p>
    <w:p>
      <w:pPr>
        <w:spacing w:after="0" w:line="9"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120,135 shares of common stock issuable upon exercise of options within 60 days of April 11, 2022.</w:t>
      </w:r>
    </w:p>
    <w:p>
      <w:pPr>
        <w:spacing w:after="0" w:line="9" w:lineRule="exact"/>
        <w:rPr>
          <w:rFonts w:ascii="Times New Roman" w:cs="Times New Roman" w:eastAsia="Times New Roman" w:hAnsi="Times New Roman"/>
          <w:sz w:val="18"/>
          <w:szCs w:val="18"/>
          <w:color w:val="auto"/>
        </w:rPr>
      </w:pPr>
    </w:p>
    <w:p>
      <w:pPr>
        <w:ind w:left="532" w:right="120" w:hanging="532"/>
        <w:spacing w:after="0" w:line="250" w:lineRule="auto"/>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 shares of common stock and (ii) 59,856 shares of common stock issuable upon exercise of options within 60 days of April 11, 2022.</w:t>
      </w:r>
    </w:p>
    <w:p>
      <w:pPr>
        <w:ind w:left="532" w:hanging="532"/>
        <w:spacing w:after="0"/>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32,216 shares of common stock issuable upon exercise of options within 60 days of April 11, 2022.</w:t>
      </w:r>
    </w:p>
    <w:p>
      <w:pPr>
        <w:spacing w:after="0" w:line="9"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80,624 shares of common stock issuable upon exercise of options within 60 days of April 11, 2022.</w:t>
      </w:r>
    </w:p>
    <w:p>
      <w:pPr>
        <w:spacing w:after="0" w:line="9" w:lineRule="exact"/>
        <w:rPr>
          <w:rFonts w:ascii="Times New Roman" w:cs="Times New Roman" w:eastAsia="Times New Roman" w:hAnsi="Times New Roman"/>
          <w:sz w:val="18"/>
          <w:szCs w:val="18"/>
          <w:color w:val="auto"/>
        </w:rPr>
      </w:pPr>
    </w:p>
    <w:p>
      <w:pPr>
        <w:ind w:left="552" w:right="20" w:hanging="526"/>
        <w:spacing w:after="0" w:line="250" w:lineRule="auto"/>
        <w:tabs>
          <w:tab w:leader="none" w:pos="4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252,512 shares of common stock and (ii) 41,113 shares of common stock issuable upon exercise of options within 60 days of April 11, 2022.</w:t>
      </w:r>
    </w:p>
    <w:p>
      <w:pPr>
        <w:ind w:left="552" w:right="200" w:hanging="526"/>
        <w:spacing w:after="0" w:line="250" w:lineRule="auto"/>
        <w:tabs>
          <w:tab w:leader="none" w:pos="4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4,800 shares of common stock and (ii) 59,856 shares of common stock issuable upon exercise of options within 60 days of April 11, 2022.</w:t>
      </w:r>
    </w:p>
    <w:p>
      <w:pPr>
        <w:spacing w:after="0" w:line="1" w:lineRule="exact"/>
        <w:rPr>
          <w:sz w:val="20"/>
          <w:szCs w:val="20"/>
          <w:color w:val="auto"/>
        </w:rPr>
      </w:pPr>
    </w:p>
    <w:p>
      <w:pPr>
        <w:ind w:left="532" w:right="180" w:hanging="532"/>
        <w:spacing w:after="0" w:line="260" w:lineRule="auto"/>
        <w:tabs>
          <w:tab w:leader="none" w:pos="5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2,263,672 shares issuable upon exercise of stock options and a restricted stock unit within 60 days of April 11, 2022 held by our current executive officers and directors as a group.</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Audit Committee is appointed by the board of directors to assist the board of directors in fulfilling its oversight responsibilities with respect to (1) the integrity of AVROBIO’s consolidated financial statements and financial reporting process and systems of internal controls regarding finance, accounting, and compliance with legal and regulatory requirements, (2) the qualifications, independence, and performance of AVROBIO’s independent registered public accounting firm, (3) the performance of AVROBIO’s internal audit function, if any, and (4) other matters as set forth in the charter of the Audit Committee approved by the board of directors.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of AVROBIO’s consolidated financial statements and the financial reporting process, including its system of internal control over financial reporting and its disclosure controls and procedures. The independent registered public accounting firm is responsible for performing an audit of AVROBIO’s consolidated financial statements in accordance with the standards of the Public Company Accounting Oversight Board (PCAOB) and issuing a report thereon. The Audit Committee’s responsibility is to monitor and oversee these processes.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reviewed and discussed with management and the independent registered public accounting firm the audited consolidated financial statements of AVROBIO for the fiscal year ended December 31, 2021. The Audit Committee also discussed with the independent registered public accounting firm the matters required to be discussed by the applicable requirements of the PCAOB and the SEC.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consolidated financial statements of AVROBIO be included in AVROBIO’s Annual Report on Form 10-K for the fiscal year ended December 31, 2021,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AUDIT COMMITTEE OF THE BOARD OF</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DIRECTORS OF AVROBIO, INC.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Phillip Donenberg, Chairperson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Annalisa Jenkins, M.B.B.S., F.R.C.P.</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Christopher Paige, Ph.D.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AVROBIO, Inc., One Kendall Square, Building 300, Suite 201, Cambridge, Massachusetts 02139, Attention: Corporate Secretary, telephone: 617-752-7011.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 stockholder who would like to have a proposal considered for inclusion in our 2023 proxy statement must submit the proposal in accordance with the procedures outlined in Rule 14a-8 of the Exchange Act so that it is received by us no later than December 22, 2022. However, if the date of the 2023 Annual Meeting of Stockholders is changed by more than 30 days from the date of the previous year’s meeting, then the deadline is a reasonable time before we begin to print and send our proxy statement for the 2023 Annual Meeting of Stockholders. If that happens, we will publicly announce the deadline for submitting a proposal in a press release or in a document filed with the SEC. SEC rules set standards for eligibility and specify the types of stockholder proposals that may be excluded from a proxy statement. Stockholder proposals should be addressed to AVROBIO, Inc., One Kendall Square, Building 300, Suite 201, Cambridge, Massachusetts 02139, Attention: Corporate Secretary.</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 For stockholder proposals to be brought before the 2023 Annual Meeting of Stockholders, the required notice must be received by our Corporate Secretary at our principal executive offices no earlier than February 8, 2023 and no later than March 10, 2023. Stockholder proposals and the required notice should be addressed to AVROBIO, Inc., One Kendall Square, Building 300, Suite 201, Cambridge, Massachusetts 02139, Attention: Corporate Secretary.</w:t>
      </w:r>
    </w:p>
    <w:p>
      <w:pPr>
        <w:spacing w:after="0" w:line="18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To comply with the universal proxy rules (once effective), stockholders who intend to solicit proxies in support of director nominees other than the Company’s nominees must provide notice that sets forth the information required by Rule 14a-19 under the Exchange Act no later than April 7, 2023. Stockholder proposals and the required notice should be addressed to AVROBIO, Inc., One Kendall Square, Building 300, Suite 201, Cambridge, Massachusetts 02139, Attention: Corporate Secretary.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2018 STOCK OPTION AND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right="60" w:firstLine="546"/>
        <w:spacing w:after="0" w:line="258" w:lineRule="auto"/>
        <w:rPr>
          <w:sz w:val="20"/>
          <w:szCs w:val="20"/>
          <w:color w:val="auto"/>
        </w:rPr>
      </w:pPr>
      <w:r>
        <w:rPr>
          <w:rFonts w:ascii="Times New Roman" w:cs="Times New Roman" w:eastAsia="Times New Roman" w:hAnsi="Times New Roman"/>
          <w:sz w:val="18"/>
          <w:szCs w:val="18"/>
          <w:color w:val="auto"/>
        </w:rPr>
        <w:t>The name of the plan is the AVROBIO, Inc. 2018 Stock Option and Incentive Plan (the “Plan”). The purpose of the Plan is to encourage and enable the officers, employees, Non-Employee Directors and Consultants of AVROBIO,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25" w:lineRule="exact"/>
        <w:rPr>
          <w:sz w:val="20"/>
          <w:szCs w:val="20"/>
          <w:color w:val="auto"/>
        </w:rPr>
      </w:pPr>
    </w:p>
    <w:p>
      <w:pPr>
        <w:ind w:right="56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Non-Employee Directors who are independent.</w:t>
      </w:r>
    </w:p>
    <w:p>
      <w:pPr>
        <w:spacing w:after="0" w:line="158" w:lineRule="exact"/>
        <w:rPr>
          <w:sz w:val="20"/>
          <w:szCs w:val="20"/>
          <w:color w:val="auto"/>
        </w:rPr>
      </w:pPr>
    </w:p>
    <w:p>
      <w:pPr>
        <w:jc w:val="both"/>
        <w:ind w:firstLine="5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25" w:lineRule="exact"/>
        <w:rPr>
          <w:sz w:val="20"/>
          <w:szCs w:val="20"/>
          <w:color w:val="auto"/>
        </w:rPr>
      </w:pPr>
    </w:p>
    <w:p>
      <w:pPr>
        <w:ind w:right="18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any natural person that provides bona fide services to the Company, and such services are not in connection with the offer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securities in a capital-raising transaction and do not directly or indirectly promote or maintain a market for the Company’s securities.</w:t>
      </w:r>
    </w:p>
    <w:p>
      <w:pPr>
        <w:spacing w:after="0" w:line="158" w:lineRule="exact"/>
        <w:rPr>
          <w:sz w:val="20"/>
          <w:szCs w:val="20"/>
          <w:color w:val="auto"/>
        </w:rPr>
      </w:pPr>
    </w:p>
    <w:p>
      <w:pPr>
        <w:jc w:val="both"/>
        <w:ind w:right="30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 dividends that would have been paid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Stock specified in the Dividend Equivalent Right (or other award to which it relates) if such shares had been issued to and held by the grantee.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25" w:lineRule="exact"/>
        <w:rPr>
          <w:sz w:val="20"/>
          <w:szCs w:val="20"/>
          <w:color w:val="auto"/>
        </w:rPr>
      </w:pPr>
    </w:p>
    <w:p>
      <w:pPr>
        <w:ind w:right="40" w:firstLine="54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admitted to quotation on the National Association of Securities Dealers Automated Quotation System, Nasdaq Global Market, The New York Stock Exchange or another national securities exchange, the determination shall be made by reference to the Stock’s closing price on such exchange. If there is no closing price for such date, the determination shall be made by reference to the last date preceding such date for which there is a closing price; provided further, however, that if the date for which Fair Market Value is determined is the Registration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ind w:right="60"/>
        <w:spacing w:after="0" w:line="282" w:lineRule="auto"/>
        <w:rPr>
          <w:sz w:val="20"/>
          <w:szCs w:val="20"/>
          <w:color w:val="auto"/>
        </w:rPr>
      </w:pPr>
      <w:r>
        <w:rPr>
          <w:rFonts w:ascii="Times New Roman" w:cs="Times New Roman" w:eastAsia="Times New Roman" w:hAnsi="Times New Roman"/>
          <w:sz w:val="18"/>
          <w:szCs w:val="18"/>
          <w:color w:val="auto"/>
        </w:rPr>
        <w:t>the Fair Market Value shall be the “Price to the Public” (or equivalent) set forth on the cover page for the final prospectus relating to the Company’s Initial Public Offering.</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5" w:lineRule="exact"/>
        <w:rPr>
          <w:sz w:val="20"/>
          <w:szCs w:val="20"/>
          <w:color w:val="auto"/>
        </w:rPr>
      </w:pPr>
    </w:p>
    <w:p>
      <w:pPr>
        <w:jc w:val="both"/>
        <w:ind w:right="240" w:firstLine="5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“Initial Public Offering” </w:t>
      </w:r>
      <w:r>
        <w:rPr>
          <w:rFonts w:ascii="Times New Roman" w:cs="Times New Roman" w:eastAsia="Times New Roman" w:hAnsi="Times New Roman"/>
          <w:sz w:val="18"/>
          <w:szCs w:val="18"/>
          <w:color w:val="auto"/>
        </w:rPr>
        <w:t>means the first underwritten, firm commitment public offering pursuant to an effective registration statement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covering the offer and sale by the Company of its equity securities, or such other event as a result of or following which the Stock shall be publicly held.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25" w:lineRule="exact"/>
        <w:rPr>
          <w:sz w:val="20"/>
          <w:szCs w:val="20"/>
          <w:color w:val="auto"/>
        </w:rPr>
      </w:pPr>
    </w:p>
    <w:p>
      <w:pPr>
        <w:ind w:right="40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“Registration Date” </w:t>
      </w:r>
      <w:r>
        <w:rPr>
          <w:rFonts w:ascii="Times New Roman" w:cs="Times New Roman" w:eastAsia="Times New Roman" w:hAnsi="Times New Roman"/>
          <w:sz w:val="18"/>
          <w:szCs w:val="18"/>
          <w:color w:val="auto"/>
        </w:rPr>
        <w:t>means the date upon which the registration statement on Form S-1 that is filed by the Company with respect to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 is declared effective by the Securities and Exchange Commission.</w:t>
      </w:r>
    </w:p>
    <w:p>
      <w:pPr>
        <w:spacing w:after="0" w:line="158" w:lineRule="exact"/>
        <w:rPr>
          <w:sz w:val="20"/>
          <w:szCs w:val="20"/>
          <w:color w:val="auto"/>
        </w:rPr>
      </w:pPr>
    </w:p>
    <w:p>
      <w:pPr>
        <w:ind w:right="30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 a risk of forfeiture 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repurchase.</w:t>
      </w:r>
    </w:p>
    <w:p>
      <w:pPr>
        <w:spacing w:after="0" w:line="158" w:lineRule="exact"/>
        <w:rPr>
          <w:sz w:val="20"/>
          <w:szCs w:val="20"/>
          <w:color w:val="auto"/>
        </w:rPr>
      </w:pPr>
    </w:p>
    <w:p>
      <w:pPr>
        <w:ind w:right="18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w:t>
      </w:r>
    </w:p>
    <w:p>
      <w:pPr>
        <w:spacing w:after="0" w:line="158" w:lineRule="exact"/>
        <w:rPr>
          <w:sz w:val="20"/>
          <w:szCs w:val="20"/>
          <w:color w:val="auto"/>
        </w:rPr>
      </w:pPr>
    </w:p>
    <w:p>
      <w:pPr>
        <w:ind w:right="10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 Administrator may determine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w:t>
      </w:r>
    </w:p>
    <w:p>
      <w:pPr>
        <w:spacing w:after="0" w:line="29" w:lineRule="exact"/>
        <w:rPr>
          <w:sz w:val="20"/>
          <w:szCs w:val="20"/>
          <w:color w:val="auto"/>
        </w:rPr>
      </w:pPr>
    </w:p>
    <w:p>
      <w:pPr>
        <w:ind w:right="20" w:firstLine="8"/>
        <w:spacing w:after="0" w:line="252"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8" w:lineRule="exact"/>
        <w:rPr>
          <w:sz w:val="20"/>
          <w:szCs w:val="20"/>
          <w:color w:val="auto"/>
        </w:rPr>
      </w:pPr>
    </w:p>
    <w:p>
      <w:pPr>
        <w:ind w:right="320" w:firstLine="54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ind w:firstLine="5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 full-time employee, part-time employee, director or other advisor (including Consultants)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Subsidiary or any successor entity (e.g., a Service Relationship shall be deemed to continue without interruption in the event an individual’s status changes from full-time employee to part-time employee or Consultant).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 pursuant to Section 3.</w:t>
      </w:r>
    </w:p>
    <w:p>
      <w:pPr>
        <w:spacing w:after="0" w:line="225" w:lineRule="exact"/>
        <w:rPr>
          <w:sz w:val="20"/>
          <w:szCs w:val="20"/>
          <w:color w:val="auto"/>
        </w:rPr>
      </w:pPr>
    </w:p>
    <w:p>
      <w:pPr>
        <w:ind w:right="60" w:firstLine="54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 the extent explicitly provided for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9" w:name="page50"/>
    <w:bookmarkEnd w:id="49"/>
    <w:p>
      <w:pPr>
        <w:ind w:right="56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58" w:lineRule="exact"/>
        <w:rPr>
          <w:sz w:val="20"/>
          <w:szCs w:val="20"/>
          <w:color w:val="auto"/>
        </w:rPr>
      </w:pPr>
    </w:p>
    <w:p>
      <w:pPr>
        <w:ind w:right="240" w:firstLine="5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or subsidiary corporation.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800" w:hanging="246"/>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17" w:lineRule="exact"/>
        <w:rPr>
          <w:rFonts w:ascii="Times New Roman" w:cs="Times New Roman" w:eastAsia="Times New Roman" w:hAnsi="Times New Roman"/>
          <w:sz w:val="18"/>
          <w:szCs w:val="18"/>
          <w:color w:val="auto"/>
        </w:rPr>
      </w:pPr>
    </w:p>
    <w:p>
      <w:pPr>
        <w:ind w:right="80" w:firstLine="554"/>
        <w:spacing w:after="0" w:line="282" w:lineRule="auto"/>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53" w:lineRule="exact"/>
        <w:rPr>
          <w:rFonts w:ascii="Times New Roman" w:cs="Times New Roman" w:eastAsia="Times New Roman" w:hAnsi="Times New Roman"/>
          <w:sz w:val="18"/>
          <w:szCs w:val="18"/>
          <w:color w:val="auto"/>
        </w:rPr>
      </w:pPr>
    </w:p>
    <w:p>
      <w:pPr>
        <w:ind w:left="1460" w:hanging="224"/>
        <w:spacing w:after="0"/>
        <w:tabs>
          <w:tab w:leader="none" w:pos="14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17" w:lineRule="exact"/>
        <w:rPr>
          <w:rFonts w:ascii="Times New Roman" w:cs="Times New Roman" w:eastAsia="Times New Roman" w:hAnsi="Times New Roman"/>
          <w:sz w:val="18"/>
          <w:szCs w:val="18"/>
          <w:color w:val="auto"/>
        </w:rPr>
      </w:pPr>
    </w:p>
    <w:p>
      <w:pPr>
        <w:ind w:firstLine="1236"/>
        <w:spacing w:after="0" w:line="266" w:lineRule="auto"/>
        <w:tabs>
          <w:tab w:leader="none" w:pos="149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67" w:lineRule="exact"/>
        <w:rPr>
          <w:rFonts w:ascii="Times New Roman" w:cs="Times New Roman" w:eastAsia="Times New Roman" w:hAnsi="Times New Roman"/>
          <w:sz w:val="18"/>
          <w:szCs w:val="18"/>
          <w:color w:val="auto"/>
        </w:rPr>
      </w:pPr>
    </w:p>
    <w:p>
      <w:pPr>
        <w:ind w:left="1560" w:hanging="324"/>
        <w:spacing w:after="0"/>
        <w:tabs>
          <w:tab w:leader="none" w:pos="15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17" w:lineRule="exact"/>
        <w:rPr>
          <w:rFonts w:ascii="Times New Roman" w:cs="Times New Roman" w:eastAsia="Times New Roman" w:hAnsi="Times New Roman"/>
          <w:sz w:val="18"/>
          <w:szCs w:val="18"/>
          <w:color w:val="auto"/>
        </w:rPr>
      </w:pPr>
    </w:p>
    <w:p>
      <w:pPr>
        <w:ind w:right="20" w:firstLine="1236"/>
        <w:spacing w:after="0" w:line="282" w:lineRule="auto"/>
        <w:tabs>
          <w:tab w:leader="none" w:pos="153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53" w:lineRule="exact"/>
        <w:rPr>
          <w:rFonts w:ascii="Times New Roman" w:cs="Times New Roman" w:eastAsia="Times New Roman" w:hAnsi="Times New Roman"/>
          <w:sz w:val="18"/>
          <w:szCs w:val="18"/>
          <w:color w:val="auto"/>
        </w:rPr>
      </w:pPr>
    </w:p>
    <w:p>
      <w:pPr>
        <w:ind w:left="1500" w:hanging="264"/>
        <w:spacing w:after="0"/>
        <w:tabs>
          <w:tab w:leader="none" w:pos="15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7" w:lineRule="exact"/>
        <w:rPr>
          <w:rFonts w:ascii="Times New Roman" w:cs="Times New Roman" w:eastAsia="Times New Roman" w:hAnsi="Times New Roman"/>
          <w:sz w:val="18"/>
          <w:szCs w:val="18"/>
          <w:color w:val="auto"/>
        </w:rPr>
      </w:pPr>
    </w:p>
    <w:p>
      <w:pPr>
        <w:ind w:left="1540" w:hanging="304"/>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117" w:lineRule="exact"/>
        <w:rPr>
          <w:rFonts w:ascii="Times New Roman" w:cs="Times New Roman" w:eastAsia="Times New Roman" w:hAnsi="Times New Roman"/>
          <w:sz w:val="18"/>
          <w:szCs w:val="18"/>
          <w:color w:val="auto"/>
        </w:rPr>
      </w:pPr>
    </w:p>
    <w:p>
      <w:pPr>
        <w:ind w:right="120" w:firstLine="1236"/>
        <w:spacing w:after="0" w:line="261" w:lineRule="auto"/>
        <w:tabs>
          <w:tab w:leader="none" w:pos="158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17" w:lineRule="exact"/>
        <w:rPr>
          <w:sz w:val="20"/>
          <w:szCs w:val="20"/>
          <w:color w:val="auto"/>
        </w:rPr>
      </w:pPr>
    </w:p>
    <w:p>
      <w:pPr>
        <w:ind w:right="20" w:firstLine="554"/>
        <w:spacing w:after="0" w:line="255" w:lineRule="auto"/>
        <w:tabs>
          <w:tab w:leader="none" w:pos="7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80" w:lineRule="exact"/>
        <w:rPr>
          <w:rFonts w:ascii="Times New Roman" w:cs="Times New Roman" w:eastAsia="Times New Roman" w:hAnsi="Times New Roman"/>
          <w:sz w:val="18"/>
          <w:szCs w:val="18"/>
          <w:color w:val="auto"/>
        </w:rPr>
      </w:pPr>
    </w:p>
    <w:p>
      <w:pPr>
        <w:ind w:right="200" w:firstLine="554"/>
        <w:spacing w:after="0" w:line="282"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53" w:lineRule="exact"/>
        <w:rPr>
          <w:rFonts w:ascii="Times New Roman" w:cs="Times New Roman" w:eastAsia="Times New Roman" w:hAnsi="Times New Roman"/>
          <w:sz w:val="18"/>
          <w:szCs w:val="18"/>
          <w:color w:val="auto"/>
        </w:rPr>
      </w:pPr>
    </w:p>
    <w:p>
      <w:pPr>
        <w:ind w:right="20" w:firstLine="554"/>
        <w:spacing w:after="0" w:line="256" w:lineRule="auto"/>
        <w:tabs>
          <w:tab w:leader="none" w:pos="7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0" w:name="page51"/>
    <w:bookmarkEnd w:id="50"/>
    <w:p>
      <w:pPr>
        <w:ind w:right="60" w:firstLine="554"/>
        <w:spacing w:after="0" w:line="253" w:lineRule="auto"/>
        <w:tabs>
          <w:tab w:leader="none" w:pos="7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117" w:lineRule="exact"/>
        <w:rPr>
          <w:sz w:val="20"/>
          <w:szCs w:val="20"/>
          <w:color w:val="auto"/>
        </w:rPr>
      </w:pPr>
    </w:p>
    <w:p>
      <w:pPr>
        <w:ind w:right="20" w:firstLine="554"/>
        <w:spacing w:after="0" w:line="253" w:lineRule="auto"/>
        <w:tabs>
          <w:tab w:leader="none" w:pos="7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616,300 shares (the “Initial Limit”), subject to adjustment as provided in Section 3(c), plus on January 1, 2019 and each January 1 thereafter, the number of shares of Stock reserved and available for issuance under the Plan shall be cumulatively increased by 4 percent of the number of shares of Stock issued and outstanding on the immediately preceding December 31 or such lesser number of shares as determined by the Administrator (the “Annual Increase”). Subject to such overall limitation, the maximum aggregate number of shares of Stock that may be issued in the form of Incentive Stock Options shall not exceed the Initial Limit cumulatively increased on January 1, 2019 and on each January 1 thereafter by the lesser of the Annual Increase for such year or 1,785,100 shares of Stock, subject in all cases to adjustment as provided in Section 3(c).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79" w:lineRule="exact"/>
        <w:rPr>
          <w:rFonts w:ascii="Times New Roman" w:cs="Times New Roman" w:eastAsia="Times New Roman" w:hAnsi="Times New Roman"/>
          <w:sz w:val="18"/>
          <w:szCs w:val="18"/>
          <w:color w:val="auto"/>
        </w:rPr>
      </w:pPr>
    </w:p>
    <w:p>
      <w:pPr>
        <w:jc w:val="both"/>
        <w:ind w:right="220" w:firstLine="554"/>
        <w:spacing w:after="0" w:line="261" w:lineRule="auto"/>
        <w:tabs>
          <w:tab w:leader="none" w:pos="8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shall not exceed $1,000,000.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71" w:lineRule="exact"/>
        <w:rPr>
          <w:rFonts w:ascii="Times New Roman" w:cs="Times New Roman" w:eastAsia="Times New Roman" w:hAnsi="Times New Roman"/>
          <w:sz w:val="18"/>
          <w:szCs w:val="18"/>
          <w:color w:val="auto"/>
        </w:rPr>
      </w:pPr>
    </w:p>
    <w:p>
      <w:pPr>
        <w:ind w:firstLine="554"/>
        <w:spacing w:after="0" w:line="253" w:lineRule="auto"/>
        <w:tabs>
          <w:tab w:leader="none" w:pos="7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2" w:lineRule="exact"/>
        <w:rPr>
          <w:rFonts w:ascii="Times New Roman" w:cs="Times New Roman" w:eastAsia="Times New Roman" w:hAnsi="Times New Roman"/>
          <w:sz w:val="18"/>
          <w:szCs w:val="18"/>
          <w:color w:val="auto"/>
        </w:rPr>
      </w:pPr>
    </w:p>
    <w:p>
      <w:pPr>
        <w:ind w:right="20" w:firstLine="8"/>
        <w:spacing w:after="0" w:line="251"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firstLine="554"/>
        <w:spacing w:after="0" w:line="252"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right="120" w:firstLine="546"/>
        <w:spacing w:after="0" w:line="282" w:lineRule="auto"/>
        <w:rPr>
          <w:sz w:val="20"/>
          <w:szCs w:val="20"/>
          <w:color w:val="auto"/>
        </w:rPr>
      </w:pPr>
      <w:r>
        <w:rPr>
          <w:rFonts w:ascii="Times New Roman" w:cs="Times New Roman" w:eastAsia="Times New Roman" w:hAnsi="Times New Roman"/>
          <w:sz w:val="18"/>
          <w:szCs w:val="18"/>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ind w:right="120" w:firstLine="554"/>
        <w:spacing w:after="0" w:line="282" w:lineRule="auto"/>
        <w:tabs>
          <w:tab w:leader="none" w:pos="7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ind w:right="260" w:firstLine="546"/>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6" w:lineRule="exact"/>
        <w:rPr>
          <w:sz w:val="20"/>
          <w:szCs w:val="20"/>
          <w:color w:val="auto"/>
        </w:rPr>
      </w:pPr>
    </w:p>
    <w:p>
      <w:pPr>
        <w:ind w:right="40" w:firstLine="546"/>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68" w:lineRule="exact"/>
        <w:rPr>
          <w:sz w:val="20"/>
          <w:szCs w:val="20"/>
          <w:color w:val="auto"/>
        </w:rPr>
      </w:pPr>
    </w:p>
    <w:p>
      <w:pPr>
        <w:ind w:right="140" w:firstLine="554"/>
        <w:spacing w:after="0" w:line="258"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pursuant to a transaction described in, and in a manner consistent with, Section 424(a) of the Code.</w:t>
      </w:r>
    </w:p>
    <w:p>
      <w:pPr>
        <w:spacing w:after="0" w:line="75" w:lineRule="exact"/>
        <w:rPr>
          <w:rFonts w:ascii="Times New Roman" w:cs="Times New Roman" w:eastAsia="Times New Roman" w:hAnsi="Times New Roman"/>
          <w:sz w:val="18"/>
          <w:szCs w:val="18"/>
          <w:color w:val="auto"/>
        </w:rPr>
      </w:pPr>
    </w:p>
    <w:p>
      <w:pPr>
        <w:jc w:val="both"/>
        <w:ind w:right="200" w:firstLine="554"/>
        <w:spacing w:after="0" w:line="266" w:lineRule="auto"/>
        <w:tabs>
          <w:tab w:leader="none" w:pos="7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67" w:lineRule="exact"/>
        <w:rPr>
          <w:rFonts w:ascii="Times New Roman" w:cs="Times New Roman" w:eastAsia="Times New Roman" w:hAnsi="Times New Roman"/>
          <w:sz w:val="18"/>
          <w:szCs w:val="18"/>
          <w:color w:val="auto"/>
        </w:rPr>
      </w:pPr>
    </w:p>
    <w:p>
      <w:pPr>
        <w:jc w:val="both"/>
        <w:ind w:firstLine="554"/>
        <w:spacing w:after="0" w:line="261"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ind w:right="40" w:firstLine="554"/>
        <w:spacing w:after="0" w:line="266" w:lineRule="auto"/>
        <w:tabs>
          <w:tab w:leader="none" w:pos="7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67" w:lineRule="exact"/>
        <w:rPr>
          <w:rFonts w:ascii="Times New Roman" w:cs="Times New Roman" w:eastAsia="Times New Roman" w:hAnsi="Times New Roman"/>
          <w:sz w:val="18"/>
          <w:szCs w:val="18"/>
          <w:color w:val="auto"/>
        </w:rPr>
      </w:pPr>
    </w:p>
    <w:p>
      <w:pPr>
        <w:ind w:left="1460" w:hanging="224"/>
        <w:spacing w:after="0"/>
        <w:tabs>
          <w:tab w:leader="none" w:pos="14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17" w:lineRule="exact"/>
        <w:rPr>
          <w:rFonts w:ascii="Times New Roman" w:cs="Times New Roman" w:eastAsia="Times New Roman" w:hAnsi="Times New Roman"/>
          <w:sz w:val="18"/>
          <w:szCs w:val="18"/>
          <w:color w:val="auto"/>
        </w:rPr>
      </w:pPr>
    </w:p>
    <w:p>
      <w:pPr>
        <w:ind w:firstLine="1236"/>
        <w:spacing w:after="0" w:line="282" w:lineRule="auto"/>
        <w:tabs>
          <w:tab w:leader="none" w:pos="14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53" w:lineRule="exact"/>
        <w:rPr>
          <w:rFonts w:ascii="Times New Roman" w:cs="Times New Roman" w:eastAsia="Times New Roman" w:hAnsi="Times New Roman"/>
          <w:sz w:val="18"/>
          <w:szCs w:val="18"/>
          <w:color w:val="auto"/>
        </w:rPr>
      </w:pPr>
    </w:p>
    <w:p>
      <w:pPr>
        <w:jc w:val="both"/>
        <w:ind w:right="260" w:firstLine="1236"/>
        <w:spacing w:after="0" w:line="261" w:lineRule="auto"/>
        <w:tabs>
          <w:tab w:leader="none" w:pos="154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71" w:lineRule="exact"/>
        <w:rPr>
          <w:rFonts w:ascii="Times New Roman" w:cs="Times New Roman" w:eastAsia="Times New Roman" w:hAnsi="Times New Roman"/>
          <w:sz w:val="18"/>
          <w:szCs w:val="18"/>
          <w:color w:val="auto"/>
        </w:rPr>
      </w:pPr>
    </w:p>
    <w:p>
      <w:pPr>
        <w:jc w:val="both"/>
        <w:ind w:right="160" w:firstLine="1236"/>
        <w:spacing w:after="0" w:line="266" w:lineRule="auto"/>
        <w:tabs>
          <w:tab w:leader="none" w:pos="153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80" w:lineRule="exact"/>
        <w:rPr>
          <w:sz w:val="20"/>
          <w:szCs w:val="20"/>
          <w:color w:val="auto"/>
        </w:rPr>
      </w:pPr>
    </w:p>
    <w:p>
      <w:pPr>
        <w:ind w:right="140" w:firstLine="554"/>
        <w:spacing w:after="0" w:line="261" w:lineRule="auto"/>
        <w:tabs>
          <w:tab w:leader="none" w:pos="7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117" w:lineRule="exact"/>
        <w:rPr>
          <w:sz w:val="20"/>
          <w:szCs w:val="20"/>
          <w:color w:val="auto"/>
        </w:rPr>
      </w:pPr>
    </w:p>
    <w:p>
      <w:pPr>
        <w:ind w:right="100" w:firstLine="554"/>
        <w:spacing w:after="0" w:line="261" w:lineRule="auto"/>
        <w:tabs>
          <w:tab w:leader="none" w:pos="7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71" w:lineRule="exact"/>
        <w:rPr>
          <w:rFonts w:ascii="Times New Roman" w:cs="Times New Roman" w:eastAsia="Times New Roman" w:hAnsi="Times New Roman"/>
          <w:sz w:val="18"/>
          <w:szCs w:val="18"/>
          <w:color w:val="auto"/>
        </w:rPr>
      </w:pPr>
    </w:p>
    <w:p>
      <w:pPr>
        <w:ind w:right="400" w:firstLine="554"/>
        <w:spacing w:after="0" w:line="282" w:lineRule="auto"/>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53" w:lineRule="exact"/>
        <w:rPr>
          <w:rFonts w:ascii="Times New Roman" w:cs="Times New Roman" w:eastAsia="Times New Roman" w:hAnsi="Times New Roman"/>
          <w:sz w:val="18"/>
          <w:szCs w:val="18"/>
          <w:color w:val="auto"/>
        </w:rPr>
      </w:pPr>
    </w:p>
    <w:p>
      <w:pPr>
        <w:ind w:right="200" w:firstLine="554"/>
        <w:spacing w:after="0" w:line="282" w:lineRule="auto"/>
        <w:tabs>
          <w:tab w:leader="none" w:pos="7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53" w:lineRule="exact"/>
        <w:rPr>
          <w:rFonts w:ascii="Times New Roman" w:cs="Times New Roman" w:eastAsia="Times New Roman" w:hAnsi="Times New Roman"/>
          <w:sz w:val="18"/>
          <w:szCs w:val="18"/>
          <w:color w:val="auto"/>
        </w:rPr>
      </w:pPr>
    </w:p>
    <w:p>
      <w:pPr>
        <w:ind w:right="140" w:firstLine="554"/>
        <w:spacing w:after="0" w:line="266" w:lineRule="auto"/>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117" w:lineRule="exact"/>
        <w:rPr>
          <w:sz w:val="20"/>
          <w:szCs w:val="20"/>
          <w:color w:val="auto"/>
        </w:rPr>
      </w:pPr>
    </w:p>
    <w:p>
      <w:pPr>
        <w:ind w:right="400" w:firstLine="554"/>
        <w:spacing w:after="0" w:line="282" w:lineRule="auto"/>
        <w:tabs>
          <w:tab w:leader="none" w:pos="7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right="600"/>
        <w:spacing w:after="0" w:line="282" w:lineRule="auto"/>
        <w:rPr>
          <w:sz w:val="20"/>
          <w:szCs w:val="20"/>
          <w:color w:val="auto"/>
        </w:rPr>
      </w:pPr>
      <w:r>
        <w:rPr>
          <w:rFonts w:ascii="Times New Roman" w:cs="Times New Roman" w:eastAsia="Times New Roman" w:hAnsi="Times New Roman"/>
          <w:sz w:val="18"/>
          <w:szCs w:val="18"/>
          <w:color w:val="auto"/>
        </w:rPr>
        <w:t>may determine at the time of grant. Conditions may be based on continuing employment (or other Service Relationship) and/or achievement of pre-established performance goals and objectives.</w:t>
      </w:r>
    </w:p>
    <w:p>
      <w:pPr>
        <w:spacing w:after="0" w:line="54" w:lineRule="exact"/>
        <w:rPr>
          <w:sz w:val="20"/>
          <w:szCs w:val="20"/>
          <w:color w:val="auto"/>
        </w:rPr>
      </w:pPr>
    </w:p>
    <w:p>
      <w:pPr>
        <w:ind w:right="100" w:firstLine="554"/>
        <w:spacing w:after="0" w:line="254"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83" w:lineRule="exact"/>
        <w:rPr>
          <w:rFonts w:ascii="Times New Roman" w:cs="Times New Roman" w:eastAsia="Times New Roman" w:hAnsi="Times New Roman"/>
          <w:sz w:val="18"/>
          <w:szCs w:val="18"/>
          <w:color w:val="auto"/>
        </w:rPr>
      </w:pPr>
    </w:p>
    <w:p>
      <w:pPr>
        <w:ind w:right="120" w:firstLine="554"/>
        <w:spacing w:after="0" w:line="254" w:lineRule="auto"/>
        <w:tabs>
          <w:tab w:leader="none" w:pos="7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15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80" w:lineRule="exact"/>
        <w:rPr>
          <w:rFonts w:ascii="Times New Roman" w:cs="Times New Roman" w:eastAsia="Times New Roman" w:hAnsi="Times New Roman"/>
          <w:sz w:val="18"/>
          <w:szCs w:val="18"/>
          <w:color w:val="auto"/>
        </w:rPr>
      </w:pPr>
    </w:p>
    <w:p>
      <w:pPr>
        <w:ind w:right="20" w:firstLine="554"/>
        <w:spacing w:after="0" w:line="261" w:lineRule="auto"/>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firstLine="554"/>
        <w:spacing w:after="0" w:line="254" w:lineRule="auto"/>
        <w:tabs>
          <w:tab w:leader="none" w:pos="7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83" w:lineRule="exact"/>
        <w:rPr>
          <w:rFonts w:ascii="Times New Roman" w:cs="Times New Roman" w:eastAsia="Times New Roman" w:hAnsi="Times New Roman"/>
          <w:sz w:val="18"/>
          <w:szCs w:val="18"/>
          <w:color w:val="auto"/>
        </w:rPr>
      </w:pPr>
    </w:p>
    <w:p>
      <w:pPr>
        <w:ind w:firstLine="554"/>
        <w:spacing w:after="0" w:line="254" w:lineRule="auto"/>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83" w:lineRule="exact"/>
        <w:rPr>
          <w:rFonts w:ascii="Times New Roman" w:cs="Times New Roman" w:eastAsia="Times New Roman" w:hAnsi="Times New Roman"/>
          <w:sz w:val="18"/>
          <w:szCs w:val="18"/>
          <w:color w:val="auto"/>
        </w:rPr>
      </w:pPr>
    </w:p>
    <w:p>
      <w:pPr>
        <w:ind w:right="100" w:firstLine="554"/>
        <w:spacing w:after="0" w:line="266" w:lineRule="auto"/>
        <w:tabs>
          <w:tab w:leader="none" w:pos="79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4" w:name="page55"/>
    <w:bookmarkEnd w:id="54"/>
    <w:p>
      <w:pPr>
        <w:ind w:right="500" w:firstLine="554"/>
        <w:spacing w:after="0" w:line="266"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15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117" w:lineRule="exact"/>
        <w:rPr>
          <w:sz w:val="20"/>
          <w:szCs w:val="20"/>
          <w:color w:val="auto"/>
        </w:rPr>
      </w:pPr>
    </w:p>
    <w:p>
      <w:pPr>
        <w:ind w:right="20" w:firstLine="546"/>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17" w:lineRule="exact"/>
        <w:rPr>
          <w:sz w:val="20"/>
          <w:szCs w:val="20"/>
          <w:color w:val="auto"/>
        </w:rPr>
      </w:pPr>
    </w:p>
    <w:p>
      <w:pPr>
        <w:ind w:right="80" w:firstLine="546"/>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17" w:lineRule="exact"/>
        <w:rPr>
          <w:sz w:val="20"/>
          <w:szCs w:val="20"/>
          <w:color w:val="auto"/>
        </w:rPr>
      </w:pPr>
    </w:p>
    <w:p>
      <w:pPr>
        <w:ind w:right="60" w:firstLine="554"/>
        <w:spacing w:after="0" w:line="253" w:lineRule="auto"/>
        <w:tabs>
          <w:tab w:leader="none" w:pos="7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83" w:lineRule="exact"/>
        <w:rPr>
          <w:rFonts w:ascii="Times New Roman" w:cs="Times New Roman" w:eastAsia="Times New Roman" w:hAnsi="Times New Roman"/>
          <w:sz w:val="18"/>
          <w:szCs w:val="18"/>
          <w:color w:val="auto"/>
        </w:rPr>
      </w:pPr>
    </w:p>
    <w:p>
      <w:pPr>
        <w:jc w:val="both"/>
        <w:ind w:right="500" w:firstLine="554"/>
        <w:spacing w:after="0" w:line="266"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15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17" w:lineRule="exact"/>
        <w:rPr>
          <w:sz w:val="20"/>
          <w:szCs w:val="20"/>
          <w:color w:val="auto"/>
        </w:rPr>
      </w:pPr>
    </w:p>
    <w:p>
      <w:pPr>
        <w:ind w:firstLine="554"/>
        <w:spacing w:after="0" w:line="258" w:lineRule="auto"/>
        <w:tabs>
          <w:tab w:leader="none" w:pos="7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5" w:lineRule="exact"/>
        <w:rPr>
          <w:rFonts w:ascii="Times New Roman" w:cs="Times New Roman" w:eastAsia="Times New Roman" w:hAnsi="Times New Roman"/>
          <w:sz w:val="18"/>
          <w:szCs w:val="18"/>
          <w:color w:val="auto"/>
        </w:rPr>
      </w:pPr>
    </w:p>
    <w:p>
      <w:pPr>
        <w:ind w:right="60" w:firstLine="554"/>
        <w:spacing w:after="0" w:line="258"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5" w:name="page56"/>
    <w:bookmarkEnd w:id="55"/>
    <w:p>
      <w:pPr>
        <w:ind w:right="280" w:firstLine="554"/>
        <w:spacing w:after="0" w:line="258" w:lineRule="auto"/>
        <w:tabs>
          <w:tab w:leader="none" w:pos="7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75" w:lineRule="exact"/>
        <w:rPr>
          <w:rFonts w:ascii="Times New Roman" w:cs="Times New Roman" w:eastAsia="Times New Roman" w:hAnsi="Times New Roman"/>
          <w:sz w:val="18"/>
          <w:szCs w:val="18"/>
          <w:color w:val="auto"/>
        </w:rPr>
      </w:pPr>
    </w:p>
    <w:p>
      <w:pPr>
        <w:ind w:right="20" w:firstLine="554"/>
        <w:spacing w:after="0" w:line="258"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17" w:lineRule="exact"/>
        <w:rPr>
          <w:sz w:val="20"/>
          <w:szCs w:val="20"/>
          <w:color w:val="auto"/>
        </w:rPr>
      </w:pPr>
    </w:p>
    <w:p>
      <w:pPr>
        <w:ind w:right="60" w:firstLine="554"/>
        <w:spacing w:after="0" w:line="256" w:lineRule="auto"/>
        <w:tabs>
          <w:tab w:leader="none" w:pos="7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79" w:lineRule="exact"/>
        <w:rPr>
          <w:rFonts w:ascii="Times New Roman" w:cs="Times New Roman" w:eastAsia="Times New Roman" w:hAnsi="Times New Roman"/>
          <w:sz w:val="18"/>
          <w:szCs w:val="18"/>
          <w:color w:val="auto"/>
        </w:rPr>
      </w:pPr>
    </w:p>
    <w:p>
      <w:pPr>
        <w:ind w:right="60" w:firstLine="554"/>
        <w:spacing w:after="0" w:line="272" w:lineRule="auto"/>
        <w:tabs>
          <w:tab w:leader="none" w:pos="8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in Stock</w:t>
      </w:r>
      <w:r>
        <w:rPr>
          <w:rFonts w:ascii="Times New Roman" w:cs="Times New Roman" w:eastAsia="Times New Roman" w:hAnsi="Times New Roman"/>
          <w:sz w:val="17"/>
          <w:szCs w:val="17"/>
          <w:color w:val="auto"/>
        </w:rPr>
        <w:t>. Subject to approval by the Administrator, a grantee may elect to have the Company’s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 The required tax withholding obligation may also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17" w:lineRule="exact"/>
        <w:rPr>
          <w:sz w:val="20"/>
          <w:szCs w:val="20"/>
          <w:color w:val="auto"/>
        </w:rPr>
      </w:pPr>
    </w:p>
    <w:p>
      <w:pPr>
        <w:ind w:right="60" w:firstLine="546"/>
        <w:spacing w:after="0" w:line="255" w:lineRule="auto"/>
        <w:rPr>
          <w:sz w:val="20"/>
          <w:szCs w:val="20"/>
          <w:color w:val="auto"/>
        </w:rPr>
      </w:pPr>
      <w:r>
        <w:rPr>
          <w:rFonts w:ascii="Times New Roman" w:cs="Times New Roman" w:eastAsia="Times New Roman" w:hAnsi="Times New Roman"/>
          <w:sz w:val="18"/>
          <w:szCs w:val="18"/>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EMPLOYMENT, TRANSFER, LEAVE OF ABSENCE, ETC.</w:t>
      </w:r>
    </w:p>
    <w:p>
      <w:pPr>
        <w:spacing w:after="0" w:line="117" w:lineRule="exact"/>
        <w:rPr>
          <w:sz w:val="20"/>
          <w:szCs w:val="20"/>
          <w:color w:val="auto"/>
        </w:rPr>
      </w:pPr>
    </w:p>
    <w:p>
      <w:pPr>
        <w:ind w:firstLine="554"/>
        <w:spacing w:after="0" w:line="282" w:lineRule="auto"/>
        <w:tabs>
          <w:tab w:leader="none" w:pos="79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If the grantee’s Service Relationship is with a Subsidiary and such Subsidiary ceases to be a Subsidiary, the grantee shall be deemed to have terminated his or her Service Relationship for purposes of the Plan.</w:t>
      </w:r>
    </w:p>
    <w:p>
      <w:pPr>
        <w:spacing w:after="0" w:line="53" w:lineRule="exact"/>
        <w:rPr>
          <w:rFonts w:ascii="Times New Roman" w:cs="Times New Roman" w:eastAsia="Times New Roman" w:hAnsi="Times New Roman"/>
          <w:sz w:val="18"/>
          <w:szCs w:val="18"/>
          <w:color w:val="auto"/>
        </w:rPr>
      </w:pPr>
    </w:p>
    <w:p>
      <w:pPr>
        <w:ind w:left="800" w:hanging="246"/>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employment:</w:t>
      </w:r>
    </w:p>
    <w:p>
      <w:pPr>
        <w:spacing w:after="0" w:line="117" w:lineRule="exact"/>
        <w:rPr>
          <w:rFonts w:ascii="Times New Roman" w:cs="Times New Roman" w:eastAsia="Times New Roman" w:hAnsi="Times New Roman"/>
          <w:sz w:val="18"/>
          <w:szCs w:val="18"/>
          <w:color w:val="auto"/>
        </w:rPr>
      </w:pPr>
    </w:p>
    <w:p>
      <w:pPr>
        <w:ind w:left="1460" w:hanging="224"/>
        <w:spacing w:after="0"/>
        <w:tabs>
          <w:tab w:leader="none" w:pos="14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 Subsidiary or from the Company to a Subsidiary, or from one Subsidiary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or</w:t>
      </w:r>
    </w:p>
    <w:p>
      <w:pPr>
        <w:spacing w:after="0" w:line="98" w:lineRule="exact"/>
        <w:rPr>
          <w:rFonts w:ascii="Times New Roman" w:cs="Times New Roman" w:eastAsia="Times New Roman" w:hAnsi="Times New Roman"/>
          <w:sz w:val="18"/>
          <w:szCs w:val="18"/>
          <w:color w:val="auto"/>
        </w:rPr>
      </w:pPr>
    </w:p>
    <w:p>
      <w:pPr>
        <w:ind w:right="260" w:firstLine="1236"/>
        <w:spacing w:after="0" w:line="266" w:lineRule="auto"/>
        <w:tabs>
          <w:tab w:leader="none" w:pos="149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17" w:lineRule="exact"/>
        <w:rPr>
          <w:sz w:val="20"/>
          <w:szCs w:val="20"/>
          <w:color w:val="auto"/>
        </w:rPr>
      </w:pPr>
    </w:p>
    <w:p>
      <w:pPr>
        <w:ind w:right="60" w:firstLine="546"/>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the Company stockholders entitled to vote at a meeting of stockholders. Nothing in this Section 16 shall limit the Administrator’s authority to take any action permitted pursuant to Section 3(c) or 3(d).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17" w:lineRule="exact"/>
        <w:rPr>
          <w:sz w:val="20"/>
          <w:szCs w:val="20"/>
          <w:color w:val="auto"/>
        </w:rPr>
      </w:pPr>
    </w:p>
    <w:p>
      <w:pPr>
        <w:ind w:right="40" w:firstLine="546"/>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17" w:lineRule="exact"/>
        <w:rPr>
          <w:sz w:val="20"/>
          <w:szCs w:val="20"/>
          <w:color w:val="auto"/>
        </w:rPr>
      </w:pPr>
    </w:p>
    <w:p>
      <w:pPr>
        <w:ind w:right="120" w:firstLine="554"/>
        <w:spacing w:after="0" w:line="282" w:lineRule="auto"/>
        <w:tabs>
          <w:tab w:leader="none" w:pos="7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53" w:lineRule="exact"/>
        <w:rPr>
          <w:rFonts w:ascii="Times New Roman" w:cs="Times New Roman" w:eastAsia="Times New Roman" w:hAnsi="Times New Roman"/>
          <w:sz w:val="18"/>
          <w:szCs w:val="18"/>
          <w:color w:val="auto"/>
        </w:rPr>
      </w:pPr>
    </w:p>
    <w:p>
      <w:pPr>
        <w:ind w:firstLine="554"/>
        <w:spacing w:after="0" w:line="252" w:lineRule="auto"/>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86" w:lineRule="exact"/>
        <w:rPr>
          <w:rFonts w:ascii="Times New Roman" w:cs="Times New Roman" w:eastAsia="Times New Roman" w:hAnsi="Times New Roman"/>
          <w:sz w:val="18"/>
          <w:szCs w:val="18"/>
          <w:color w:val="auto"/>
        </w:rPr>
      </w:pPr>
    </w:p>
    <w:p>
      <w:pPr>
        <w:jc w:val="both"/>
        <w:ind w:right="140" w:firstLine="554"/>
        <w:spacing w:after="0" w:line="266" w:lineRule="auto"/>
        <w:tabs>
          <w:tab w:leader="none" w:pos="7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67" w:lineRule="exact"/>
        <w:rPr>
          <w:rFonts w:ascii="Times New Roman" w:cs="Times New Roman" w:eastAsia="Times New Roman" w:hAnsi="Times New Roman"/>
          <w:sz w:val="18"/>
          <w:szCs w:val="18"/>
          <w:color w:val="auto"/>
        </w:rPr>
      </w:pPr>
    </w:p>
    <w:p>
      <w:pPr>
        <w:ind w:right="60" w:firstLine="554"/>
        <w:spacing w:after="0" w:line="266" w:lineRule="auto"/>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67" w:lineRule="exact"/>
        <w:rPr>
          <w:rFonts w:ascii="Times New Roman" w:cs="Times New Roman" w:eastAsia="Times New Roman" w:hAnsi="Times New Roman"/>
          <w:sz w:val="18"/>
          <w:szCs w:val="18"/>
          <w:color w:val="auto"/>
        </w:rPr>
      </w:pPr>
    </w:p>
    <w:p>
      <w:pPr>
        <w:ind w:right="320" w:firstLine="554"/>
        <w:spacing w:after="0" w:line="282" w:lineRule="auto"/>
        <w:tabs>
          <w:tab w:leader="none" w:pos="79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left="56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17" w:lineRule="exact"/>
        <w:rPr>
          <w:sz w:val="20"/>
          <w:szCs w:val="20"/>
          <w:color w:val="auto"/>
        </w:rPr>
      </w:pPr>
    </w:p>
    <w:p>
      <w:pPr>
        <w:ind w:firstLine="546"/>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jc w:val="both"/>
        <w:ind w:firstLine="546"/>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JUNE 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JUNE 7,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THE AVROBIO,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OPTION AND INCENTIVE PLAN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First Amendment (this “Amendment”) to the AVROBIO, Inc. 2018 Stock Option and Incentive Plan (the “Plan”), of AVROBIO, Inc. (the “Company”) is effective as of the date of approval by the Company’s stockholders (the “Effective Date”). Capitalized terms used herein and not otherwise defined shall have the meanings ascribed to such terms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Effective Date, the Plan shall be amended as follows:</w:t>
      </w:r>
    </w:p>
    <w:p>
      <w:pPr>
        <w:spacing w:after="0" w:line="117" w:lineRule="exact"/>
        <w:rPr>
          <w:sz w:val="20"/>
          <w:szCs w:val="20"/>
          <w:color w:val="auto"/>
        </w:rPr>
      </w:pPr>
    </w:p>
    <w:p>
      <w:pPr>
        <w:ind w:left="400" w:hanging="392"/>
        <w:spacing w:after="0"/>
        <w:tabs>
          <w:tab w:leader="none" w:pos="4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 of the Plan is hereby deleted in its entirety and replaced with the following:</w:t>
      </w:r>
    </w:p>
    <w:p>
      <w:pPr>
        <w:spacing w:after="0" w:line="117" w:lineRule="exact"/>
        <w:rPr>
          <w:sz w:val="20"/>
          <w:szCs w:val="20"/>
          <w:color w:val="auto"/>
        </w:rPr>
      </w:pPr>
    </w:p>
    <w:p>
      <w:pPr>
        <w:ind w:left="560" w:firstLine="519"/>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6,349,279 shares (the “Initial Limit”), subject to adjustment as provided in Section 3(c), plus on each of January 1, 2021 and January 1, 2022, the number of shares of Stock reserved and available for issuance under the Plan shall be cumulatively increased by 4 percent of the number of shares of Stock issued and outstanding on the immediately preceding December 31 or such lesser number of shares as determined by the Administrator (the “Annual Increase”).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(including, for the avoidance of doubt, any such shares of Stock that are subject to such treatment between April 16, 2020 and the Effective Date)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the maximum aggregate number of shares of Stock that may be issued in the form of Incentive Stock Options shall not exceed the Initial Limit cumulatively increased on each of January 1, 2021 and January 1, 2022 by the lesser of the Annual Increase for such year or 19,047,837 shares of Stock, subject in all cases to adjustment as provided in Section 3(c).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96" w:lineRule="exact"/>
        <w:rPr>
          <w:sz w:val="20"/>
          <w:szCs w:val="20"/>
          <w:color w:val="auto"/>
        </w:rPr>
      </w:pPr>
    </w:p>
    <w:p>
      <w:pPr>
        <w:ind w:left="4700" w:right="820" w:hanging="4692"/>
        <w:spacing w:after="0" w:line="532" w:lineRule="auto"/>
        <w:tabs>
          <w:tab w:leader="none" w:pos="4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the Plan shall continue in full force and effect in accordance with the provisions thereof. [signature page to follow]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Amendment to be duly executed as of the date first written above.</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Geoff MacKay</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and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THE AVROBIO,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OPTION AND INCENTIVE PLAN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Second Amendment (this “Amendment”) to the AVROBIO, Inc. 2018 Stock Option and Incentive Plan (the “Plan”), of AVROBIO, Inc. (the “Company”) is effective as of the date of approval by the Company’s stockholders (the “Effective Date”). Capitalized terms used herein and not otherwise defined shall have the meanings ascribed to such terms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Effective Date, the Plan shall be amended as follows:</w:t>
      </w:r>
    </w:p>
    <w:p>
      <w:pPr>
        <w:spacing w:after="0" w:line="117" w:lineRule="exact"/>
        <w:rPr>
          <w:sz w:val="20"/>
          <w:szCs w:val="20"/>
          <w:color w:val="auto"/>
        </w:rPr>
      </w:pPr>
    </w:p>
    <w:p>
      <w:pPr>
        <w:ind w:left="800" w:hanging="792"/>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3(a) of the Plan is hereby deleted in its entirety and replaced with the following:</w:t>
      </w:r>
    </w:p>
    <w:p>
      <w:pPr>
        <w:spacing w:after="0" w:line="225" w:lineRule="exact"/>
        <w:rPr>
          <w:sz w:val="20"/>
          <w:szCs w:val="20"/>
          <w:color w:val="auto"/>
        </w:rPr>
      </w:pPr>
    </w:p>
    <w:p>
      <w:pPr>
        <w:ind w:left="560" w:right="20" w:firstLine="519"/>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13,486,099 shares, subject to adjustment as provided in Section 3(c).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(including, for the avoidance of doubt, any such shares of Stock that are subject to such treatment between March 2, 2022 and the Effective Date)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 the maximum aggregate number of shares of Stock that may be issued in the form of Incentive Stock Options shall not exceed 40,458,297, subject in all cases to adjustment as provided in Section 3(c).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90" w:lineRule="exact"/>
        <w:rPr>
          <w:sz w:val="20"/>
          <w:szCs w:val="20"/>
          <w:color w:val="auto"/>
        </w:rPr>
      </w:pPr>
    </w:p>
    <w:p>
      <w:pPr>
        <w:ind w:left="400" w:hanging="392"/>
        <w:spacing w:after="0"/>
        <w:tabs>
          <w:tab w:leader="none" w:pos="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3(e) of the Plan is hereby inserted as follows:</w:t>
      </w:r>
    </w:p>
    <w:p>
      <w:pPr>
        <w:spacing w:after="0" w:line="212"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Vesting.   Subject to Sections 2(b)(v) and 3(d), any Awards that settle in Stock (other than such Awards representing a</w:t>
            </w:r>
          </w:p>
        </w:tc>
      </w:tr>
      <w:tr>
        <w:trPr>
          <w:trHeight w:val="20"/>
        </w:trPr>
        <w:tc>
          <w:tcPr>
            <w:tcW w:w="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18"/>
        </w:trPr>
        <w:tc>
          <w:tcPr>
            <w:tcW w:w="50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of five percent (5%) of the Stock reserved for issuance under this Plan, subject to adjustment as provided in Section 3(c))</w:t>
            </w:r>
          </w:p>
        </w:tc>
      </w:tr>
      <w:tr>
        <w:trPr>
          <w:trHeight w:val="216"/>
        </w:trPr>
        <w:tc>
          <w:tcPr>
            <w:tcW w:w="50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shall be granted subject to a minimum time-vesting period of at least twelve (12) months, such that no such Awards shall vest prior to</w:t>
            </w:r>
          </w:p>
        </w:tc>
      </w:tr>
      <w:tr>
        <w:trPr>
          <w:trHeight w:val="234"/>
        </w:trPr>
        <w:tc>
          <w:tcPr>
            <w:tcW w:w="50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first anniversary of the applicable grant date.</w:t>
            </w:r>
          </w:p>
        </w:tc>
      </w:tr>
    </w:tbl>
    <w:p>
      <w:pPr>
        <w:spacing w:after="0" w:line="198" w:lineRule="exact"/>
        <w:rPr>
          <w:sz w:val="20"/>
          <w:szCs w:val="20"/>
          <w:color w:val="auto"/>
        </w:rPr>
      </w:pPr>
    </w:p>
    <w:p>
      <w:pPr>
        <w:ind w:left="400" w:hanging="392"/>
        <w:spacing w:after="0"/>
        <w:tabs>
          <w:tab w:leader="none" w:pos="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sentence of Section 19 of the Plan is hereby deleted in its entirety and replaced with the following:</w:t>
      </w:r>
    </w:p>
    <w:p>
      <w:pPr>
        <w:spacing w:after="0" w:line="225" w:lineRule="exact"/>
        <w:rPr>
          <w:sz w:val="20"/>
          <w:szCs w:val="20"/>
          <w:color w:val="auto"/>
        </w:rPr>
      </w:pPr>
    </w:p>
    <w:p>
      <w:pPr>
        <w:jc w:val="both"/>
        <w:ind w:left="1100" w:right="60"/>
        <w:spacing w:after="0" w:line="266" w:lineRule="auto"/>
        <w:rPr>
          <w:sz w:val="20"/>
          <w:szCs w:val="20"/>
          <w:color w:val="auto"/>
        </w:rPr>
      </w:pPr>
      <w:r>
        <w:rPr>
          <w:rFonts w:ascii="Times New Roman" w:cs="Times New Roman" w:eastAsia="Times New Roman" w:hAnsi="Times New Roman"/>
          <w:sz w:val="18"/>
          <w:szCs w:val="18"/>
          <w:color w:val="auto"/>
        </w:rPr>
        <w:t>No grants of Stock Options and other Awards may be made hereunder after the tenth anniversary of the Effective Date or the effective date of stockholder approval of any amendment to add shares to the Plan, and no grants of Incentive Stock Options may be made hereunder after the tenth anniversary of the date the Plan (or most recent amendment to add shares to the Plan) is approved by the Board.</w:t>
      </w:r>
    </w:p>
    <w:p>
      <w:pPr>
        <w:spacing w:after="0" w:line="176" w:lineRule="exact"/>
        <w:rPr>
          <w:sz w:val="20"/>
          <w:szCs w:val="20"/>
          <w:color w:val="auto"/>
        </w:rPr>
      </w:pPr>
    </w:p>
    <w:p>
      <w:pPr>
        <w:ind w:left="4700" w:right="820" w:hanging="4692"/>
        <w:spacing w:after="0" w:line="532" w:lineRule="auto"/>
        <w:tabs>
          <w:tab w:leader="none" w:pos="4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by this Amendment, the Plan shall continue in full force and effect in accordance with the provisions thereof. [signature page to follow]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Amendment to be duly executed as of March 2, 2022.</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Geoff MacKay</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CEO and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440690</wp:posOffset>
            </wp:positionV>
            <wp:extent cx="7174865" cy="79425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7942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440690</wp:posOffset>
            </wp:positionV>
            <wp:extent cx="5760720" cy="74491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5"/>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lowerRoman"/>
      <w:start w:val="2"/>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9"/>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2"/>
    </w:lvl>
    <w:lvl w:ilvl="1">
      <w:lvlJc w:val="left"/>
      <w:lvlText w:val="(%2)"/>
      <w:numFmt w:val="decimal"/>
      <w:start w:val="13"/>
    </w:lvl>
  </w:abstractNum>
  <w:abstractNum w:abstractNumId="32">
    <w:nsid w:val="6DE91B18"/>
    <w:multiLevelType w:val="hybridMultilevel"/>
    <w:lvl w:ilvl="0">
      <w:lvlJc w:val="left"/>
      <w:lvlText w:val="(%1)"/>
      <w:numFmt w:val="decimal"/>
      <w:start w:val="15"/>
    </w:lvl>
  </w:abstractNum>
  <w:abstractNum w:abstractNumId="33">
    <w:nsid w:val="38437FDB"/>
    <w:multiLevelType w:val="hybridMultilevel"/>
    <w:lvl w:ilvl="0">
      <w:lvlJc w:val="left"/>
      <w:lvlText w:val="(%1)"/>
      <w:numFmt w:val="lowerRoman"/>
      <w:start w:val="2"/>
    </w:lvl>
  </w:abstractNum>
  <w:abstractNum w:abstractNumId="34">
    <w:nsid w:val="7644A45C"/>
    <w:multiLevelType w:val="hybridMultilevel"/>
    <w:lvl w:ilvl="0">
      <w:lvlJc w:val="left"/>
      <w:lvlText w:val="(%1)"/>
      <w:numFmt w:val="lowerLetter"/>
      <w:start w:val="1"/>
    </w:lvl>
    <w:lvl w:ilvl="1">
      <w:lvlJc w:val="left"/>
      <w:lvlText w:val="(%2)"/>
      <w:numFmt w:val="lowerRoman"/>
      <w:start w:val="1"/>
    </w:lvl>
  </w:abstractNum>
  <w:abstractNum w:abstractNumId="35">
    <w:nsid w:val="32FFF902"/>
    <w:multiLevelType w:val="hybridMultilevel"/>
    <w:lvl w:ilvl="0">
      <w:lvlJc w:val="left"/>
      <w:lvlText w:val="(%1)"/>
      <w:numFmt w:val="lowerLetter"/>
      <w:start w:val="3"/>
    </w:lvl>
  </w:abstractNum>
  <w:abstractNum w:abstractNumId="36">
    <w:nsid w:val="684A481A"/>
    <w:multiLevelType w:val="hybridMultilevel"/>
    <w:lvl w:ilvl="0">
      <w:lvlJc w:val="left"/>
      <w:lvlText w:val="(%1)"/>
      <w:numFmt w:val="lowerLetter"/>
      <w:start w:val="6"/>
    </w:lvl>
  </w:abstractNum>
  <w:abstractNum w:abstractNumId="37">
    <w:nsid w:val="579478FE"/>
    <w:multiLevelType w:val="hybridMultilevel"/>
    <w:lvl w:ilvl="0">
      <w:lvlJc w:val="left"/>
      <w:lvlText w:val="%1"/>
      <w:numFmt w:val="lowerLetter"/>
      <w:start w:val="1"/>
    </w:lvl>
    <w:lvl w:ilvl="1">
      <w:lvlJc w:val="left"/>
      <w:lvlText w:val="(%2)"/>
      <w:numFmt w:val="lowerLetter"/>
      <w:start w:val="1"/>
    </w:lvl>
  </w:abstractNum>
  <w:abstractNum w:abstractNumId="38">
    <w:nsid w:val="749ABB43"/>
    <w:multiLevelType w:val="hybridMultilevel"/>
    <w:lvl w:ilvl="0">
      <w:lvlJc w:val="left"/>
      <w:lvlText w:val="(%1)"/>
      <w:numFmt w:val="lowerLetter"/>
      <w:start w:val="35"/>
    </w:lvl>
    <w:lvl w:ilvl="1">
      <w:lvlJc w:val="left"/>
      <w:lvlText w:val="%2"/>
      <w:numFmt w:val="lowerLetter"/>
      <w:start w:val="1"/>
    </w:lvl>
  </w:abstractNum>
  <w:abstractNum w:abstractNumId="39">
    <w:nsid w:val="3DC240FB"/>
    <w:multiLevelType w:val="hybridMultilevel"/>
    <w:lvl w:ilvl="0">
      <w:lvlJc w:val="left"/>
      <w:lvlText w:val="(%1)"/>
      <w:numFmt w:val="lowerLetter"/>
      <w:start w:val="4"/>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2"/>
    </w:lvl>
  </w:abstractNum>
  <w:abstractNum w:abstractNumId="42">
    <w:nsid w:val="75C6C33A"/>
    <w:multiLevelType w:val="hybridMultilevel"/>
    <w:lvl w:ilvl="0">
      <w:lvlJc w:val="left"/>
      <w:lvlText w:val="(%1)"/>
      <w:numFmt w:val="lowerLetter"/>
      <w:start w:val="5"/>
    </w:lvl>
    <w:lvl w:ilvl="1">
      <w:lvlJc w:val="left"/>
      <w:lvlText w:val="(%2)"/>
      <w:numFmt w:val="lowerRoman"/>
      <w:start w:val="1"/>
    </w:lvl>
  </w:abstractNum>
  <w:abstractNum w:abstractNumId="43">
    <w:nsid w:val="12E685FB"/>
    <w:multiLevelType w:val="hybridMultilevel"/>
    <w:lvl w:ilvl="0">
      <w:lvlJc w:val="left"/>
      <w:lvlText w:val="(%1)"/>
      <w:numFmt w:val="lowerLetter"/>
      <w:start w:val="6"/>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2"/>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4"/>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3"/>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lvl w:ilvl="1">
      <w:lvlJc w:val="left"/>
      <w:lvlText w:val="(%2)"/>
      <w:numFmt w:val="lowerRoman"/>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decimal"/>
      <w:start w:val="2"/>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2"/>
    </w:lvl>
  </w:abstractNum>
  <w:abstractNum w:abstractNumId="59">
    <w:nsid w:val="D34B6A8"/>
    <w:multiLevelType w:val="hybridMultilevel"/>
    <w:lvl w:ilvl="0">
      <w:lvlJc w:val="left"/>
      <w:lvlText w:val="%1."/>
      <w:numFmt w:val="decimal"/>
      <w:start w:val="3"/>
    </w:lvl>
  </w:abstractNum>
  <w:abstractNum w:abstractNumId="60">
    <w:nsid w:val="10233C9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2022-04-27T16:28:18Z</dcterms:created>
  <dcterms:modified xsi:type="dcterms:W3CDTF">2022-04-27T16:28:18Z</dcterms:modified>
</cp:coreProperties>
</file>