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Mason Christopher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06/10/2021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4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9.63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06/09/2031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50% of the shares shall vest and become exercisable on June 10, 2023, and the remaining 50% shall vest and become exercisable on June 10, 2024.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Christopher Gerry,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06/14/2021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 Fact for Christopher Mason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-2741930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440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2021-06-14T17:03:54Z</dcterms:created>
  <dcterms:modified xsi:type="dcterms:W3CDTF">2021-06-14T17:03:54Z</dcterms:modified>
</cp:coreProperties>
</file>