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001-38537</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81-0710585</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20" w:space="720"/>
            <w:col w:w="322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Technology Square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10"/>
        </w:trPr>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5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AVRO</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17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9, 2022, AVROBIO, Inc. (the “Company”) issued a press release containing information about the Company’s results of operations for the three and six months ended June 30, 2022. A copy of this press release is furnished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issued by AVROBIO, Inc., dated August 9, 2022.</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Geoff MacKay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Reports Second Quarter 2022 Financial Results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Provides Business Update</w:t>
      </w:r>
    </w:p>
    <w:p>
      <w:pPr>
        <w:spacing w:after="0" w:line="195" w:lineRule="exact"/>
        <w:rPr>
          <w:sz w:val="20"/>
          <w:szCs w:val="20"/>
          <w:color w:val="auto"/>
        </w:rPr>
      </w:pPr>
    </w:p>
    <w:p>
      <w:pPr>
        <w:jc w:val="center"/>
        <w:spacing w:after="0" w:line="205" w:lineRule="auto"/>
        <w:rPr>
          <w:sz w:val="20"/>
          <w:szCs w:val="20"/>
          <w:color w:val="auto"/>
        </w:rPr>
      </w:pPr>
      <w:r>
        <w:rPr>
          <w:rFonts w:ascii="Times New Roman" w:cs="Times New Roman" w:eastAsia="Times New Roman" w:hAnsi="Times New Roman"/>
          <w:sz w:val="18"/>
          <w:szCs w:val="18"/>
          <w:i w:val="1"/>
          <w:iCs w:val="1"/>
          <w:color w:val="auto"/>
        </w:rPr>
        <w:t>Presented positive data from first five patients in Phase 1/2 cystinosis trial</w:t>
      </w: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showing systemic gene therapy effect at the American Society of Gene and Cell Therapy Annual Meeting; all five patients remain off oral cysteamine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Comprehensive Gaucher disease franchise update planned for Q4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Regulatory interactions planned in 2H 2022 to inform clinical development strategies for cystinosis and Gaucher disease type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Hunter syndrome program received FDA Orphan Drug Designation (ODD)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Strong balance sheet with cash runway into Q1 2024</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CAMBRIDGE, Mass., Aug. 9, 2022 -- AVROBIO, Inc. (Nasdaq: AVRO), a leading clinical-stage gene therapy company working to free people from a lifetime of genetic disease, today reported financial results for the second quarter ended June 30, 2022 and provided a business update.</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“We’ve made significant progress advancing our pipeline this quarter,” said Geoff MacKay, president and CEO of AVROBIO. “We’re thrilled with the ongoing clinical data generated by the first and only gene therapy trial for cystinosis, showing hematopoietic stem cell (HSC) gene therapy’s potential to stabilize or reduce the impact of cystinosis on different tissues throughout the body. We’re preparing for regulatory agency interactions this fall to discuss our clinical development and regulatory strategy for this program, with the intent of initiating a company-sponsored clinical trial in 2023.</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multiple milestones planned for the second half of the year that will further inform the advancement of our pipeline. We plan to provide a comprehensive Gaucher disease franchise update in Q4 2022, including new clinical data from our Guard1 Phase 1/2 clinical trial for Gaucher disease type 1, and updates on the clinical development and regulatory strategy for our Gaucher disease type 3 program. In addition, our collaborators continue to make progress toward the initiation of the planned Phase 1/2 clinical trial for Hunter syndrome,” said MacKay.</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“More broadly in the gene therapy sector, the Food and Drug Administration (FDA) Advisory Committee unanimously voted in June to recommend approval of two new HSC gene therapies for two distinct genetic disorders, a potentially important milestone for patients and families. We believe the Advisory Committee’s discussions may provide a window into how future HSC gene therapies will be evaluated by the agency with the recognition that each vector-promoter-gene combination has its own benefit/risk profile,” MacKay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16459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500" w:firstLine="8"/>
        <w:spacing w:after="0" w:line="195"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Collaborator-sponsored Phase 1/2 clinical trial of AVR-RD-04 is funded in part by grants to University of California San Diego from the California Institute for Regenerative Medicine (CIRM), Cystinosis Research Foundation (CRF) and National Institutes of Health (NIH)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Program Updates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Presented clinical data on the first five patients dosed in the fully enrolled Phase 1/2 clinical trial for AVR-RD-04 in cystinosis, including new, early data showing key visual motor integration, visual perception and motor coordination measures impacted by cystinosis stabilized or improved post gene therapy, at the American Society of Gene and Cell Therapy (ASGCT) Annual Meeting</w:t>
      </w:r>
    </w:p>
    <w:p>
      <w:pPr>
        <w:spacing w:after="0" w:line="176" w:lineRule="exact"/>
        <w:rPr>
          <w:sz w:val="20"/>
          <w:szCs w:val="20"/>
          <w:color w:val="auto"/>
        </w:rPr>
      </w:pPr>
    </w:p>
    <w:p>
      <w:pPr>
        <w:ind w:left="340" w:right="12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data indicate that post HSC gene therapy, patients have been able to produce functional cystinosin protein throughout the body, as evidenced by measurements of blood, eye, skin and gastrointestinal mucosa, which indicate a reduction in the accumulation of cystine crystals or prevention of further pathological accumulation</w:t>
      </w:r>
    </w:p>
    <w:p>
      <w:pPr>
        <w:spacing w:after="0" w:line="17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engraftment demonstrated by stable vector copy number (VCN) in patients beyond 12 months with all five dosed patients remaining off oral cysteamine post gene therapy</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the five patients dosed to date indicate no adverse events (AEs) related to drug product. All AEs were related to myeloablative conditioning, stem cell mobilization, underlying disease or pre-existing conditions</w:t>
      </w:r>
    </w:p>
    <w:p>
      <w:pPr>
        <w:spacing w:after="0" w:line="161"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Collaborator-sponsored Phase 1/2 clinical trial is funded in part by grants to University of California San Diego from the California Institute for Regenerative Medicine (CIRM), Cystinosis Research Foundation (CRF) and National Institutes of Health (NIH)</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 full press release 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Received Orphan Drug Designation (ODD) from FDA for AVR-RD-05 for Hunter syndrome (Mucopolysaccharidosis Type II (MPSII))</w:t>
      </w:r>
    </w:p>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 full press release 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Presented preclinical data demonstrating that HSC gene therapy significantly reduced accumulation of glycogen in a mouse model of infantile-onset Pompe disease, including in cardiac and skeletal muscle as well as the central nervous system at ASGCT</w:t>
      </w:r>
    </w:p>
    <w:p>
      <w:pPr>
        <w:spacing w:after="0" w:line="16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months post infusion, substrate levels were reduced across multiple tissues to levels nearly indistinguishable from healthy mice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 full press release here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2H 2022 Milestones</w:t>
      </w:r>
    </w:p>
    <w:p>
      <w:pPr>
        <w:spacing w:after="0" w:line="227" w:lineRule="exact"/>
        <w:rPr>
          <w:sz w:val="20"/>
          <w:szCs w:val="20"/>
          <w:color w:val="auto"/>
        </w:rPr>
      </w:pPr>
    </w:p>
    <w:p>
      <w:pPr>
        <w:ind w:left="340" w:right="340" w:hanging="332"/>
        <w:spacing w:after="0" w:line="28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AVR-RD-04 in cystinosis: </w:t>
      </w:r>
      <w:r>
        <w:rPr>
          <w:rFonts w:ascii="Times New Roman" w:cs="Times New Roman" w:eastAsia="Times New Roman" w:hAnsi="Times New Roman"/>
          <w:sz w:val="18"/>
          <w:szCs w:val="18"/>
          <w:color w:val="auto"/>
        </w:rPr>
        <w:t>Plan to engage with regulatory agencies in 2H 2022 to discuss our clinical development and regulatory strategy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 of initiating a company-sponsored clinical trial in 2023, subject to regulatory alignment</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AVR-RD-02 in Gaucher disease:</w:t>
      </w:r>
    </w:p>
    <w:p>
      <w:pPr>
        <w:spacing w:after="0" w:line="225" w:lineRule="exact"/>
        <w:rPr>
          <w:sz w:val="20"/>
          <w:szCs w:val="20"/>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Gaucher disease type 1: </w:t>
      </w:r>
      <w:r>
        <w:rPr>
          <w:rFonts w:ascii="Times New Roman" w:cs="Times New Roman" w:eastAsia="Times New Roman" w:hAnsi="Times New Roman"/>
          <w:sz w:val="18"/>
          <w:szCs w:val="18"/>
          <w:color w:val="auto"/>
        </w:rPr>
        <w:t>Plan to provide interim clinical data update in 2H 2022</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4"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Gaucher disease type 3: </w:t>
      </w:r>
      <w:r>
        <w:rPr>
          <w:rFonts w:ascii="Times New Roman" w:cs="Times New Roman" w:eastAsia="Times New Roman" w:hAnsi="Times New Roman"/>
          <w:sz w:val="18"/>
          <w:szCs w:val="18"/>
          <w:color w:val="auto"/>
        </w:rPr>
        <w:t>Plan to engage with regulatory agencies on a Phase 2/3 clinical development strategy with aim to initiate a trial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subject to regulatory alignment</w:t>
      </w:r>
    </w:p>
    <w:p>
      <w:pPr>
        <w:spacing w:after="0" w:line="158" w:lineRule="exact"/>
        <w:rPr>
          <w:rFonts w:ascii="Times New Roman" w:cs="Times New Roman" w:eastAsia="Times New Roman" w:hAnsi="Times New Roman"/>
          <w:sz w:val="18"/>
          <w:szCs w:val="18"/>
          <w:color w:val="auto"/>
        </w:rPr>
      </w:pPr>
    </w:p>
    <w:p>
      <w:pPr>
        <w:ind w:left="340" w:right="380" w:hanging="332"/>
        <w:spacing w:after="0" w:line="28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AVR-RD-05 in Hunter syndrome: </w:t>
      </w:r>
      <w:r>
        <w:rPr>
          <w:rFonts w:ascii="Times New Roman" w:cs="Times New Roman" w:eastAsia="Times New Roman" w:hAnsi="Times New Roman"/>
          <w:sz w:val="18"/>
          <w:szCs w:val="18"/>
          <w:color w:val="auto"/>
        </w:rPr>
        <w:t>Clinical Trial Application (CTA) authorization expected 2H 2022 with plans to initiate a collaborator-sponsored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1/2 clinical trial in 2023, subject to regulatory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Second Quarter 2022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reported a net loss of $28.1 million for the second quarter of 2022 as compared to a net loss of $31.4 million for the comparable period in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driven by a reduction in research and development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$18.9 million for the second quarter of 2022 as compared to $22.5 million for the comparable period in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driven by a reduction in program development expenses and personnel-related costs, including non-cash stock-based compensation.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were $8.9 million for the second quarter of 2022 as compared to $8.8 million for the comparable period in 2021.</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(expense) income, net was $0.3 million in expense for the second quarter of 2022 as compared to other (expense) income, net of less than $0.1 million in expense for the comparable period in 2021. This increase was driven by interest expense related to our term loan with Silicon Valley Bank which we entered into during the fourth quarter of 2021.</w:t>
      </w:r>
    </w:p>
    <w:p>
      <w:pPr>
        <w:spacing w:after="0" w:line="176"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As of June 30, 2022, AVROBIO had $132.4 million in cash and cash equivalents, as compared to $189.6 million in cash and cash equivalents as of December 31, 2021. Based on AVROBIO’s current operating plan, AVROBIO expects its cash and cash equivalents as of June 30, 2022, will enable AVROBIO to fund its operating expenses and capital expenditure requirements into the first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w:t>
      </w:r>
    </w:p>
    <w:p>
      <w:pPr>
        <w:spacing w:after="0" w:line="22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Our vision is to bring personalized gene therapy to the world. We target the root cause of genetic disease by introducing a functional copy of the affected gene into patients’ own hematopoietic stem cells (HSCs), with the goal to durably express the therapeutic protein throughout the body, including the central nervous system. Our first-in-class pipeline includes clinical programs for cystinosis and Gaucher disease type 1, as well as preclinical programs for Gaucher disease type 3, Hunter syndrome and Pompe disease. Our proprietary plato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gene therapy platform is designed to be scaled to support late-stage clinical development and commercialization globally. We are headquartered in Cambridge, Mass. For additional information, visit </w:t>
      </w:r>
      <w:r>
        <w:rPr>
          <w:rFonts w:ascii="Times New Roman" w:cs="Times New Roman" w:eastAsia="Times New Roman" w:hAnsi="Times New Roman"/>
          <w:sz w:val="18"/>
          <w:szCs w:val="18"/>
          <w:color w:val="4472C4"/>
        </w:rPr>
        <w:t>avrobio.com</w:t>
      </w:r>
      <w:r>
        <w:rPr>
          <w:rFonts w:ascii="Times New Roman" w:cs="Times New Roman" w:eastAsia="Times New Roman" w:hAnsi="Times New Roman"/>
          <w:sz w:val="18"/>
          <w:szCs w:val="18"/>
          <w:color w:val="auto"/>
        </w:rPr>
        <w:t xml:space="preserve"> and follow us on</w:t>
      </w:r>
      <w:r>
        <w:rPr>
          <w:rFonts w:ascii="Times New Roman" w:cs="Times New Roman" w:eastAsia="Times New Roman" w:hAnsi="Times New Roman"/>
          <w:sz w:val="18"/>
          <w:szCs w:val="18"/>
          <w:color w:val="4472C4"/>
        </w:rPr>
        <w:t> Twitter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color w:val="4472C4"/>
        </w:rPr>
        <w:t>LinkedIn</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current and prospective product candidates, the expected safety profile of our investigational gene therapies, results of preclinical studies, the design, commencement, enrollment and timing of ongoing or planned clinical trials, clinical trial results, product approvals and regulatory pathways, the timing of patient recruitment and enrollment activities, our plans and expectations with respect to interactions with regulatory agencies and the timing and likelihood of success thereof, the expected benefits and results of our implementation of the plato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in our clinical trials and gene therapy programs and its potential impact on our manufacturing and commercialization activities, and statements regarding our financial and cash position and expected cash runway, including impact on anticipated milestones.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line="244"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including sole source suppliers,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chris.brinzey@westwicke.com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Kit Rodophele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617-999-9620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krodophele@tenbridgecommunications.com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June 30,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3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132,409</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189,567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9,578</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4,126</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57"/>
        </w:trPr>
        <w:tc>
          <w:tcPr>
            <w:tcW w:w="3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146,244</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14,945</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169,476</w:t>
            </w:r>
          </w:p>
        </w:tc>
        <w:tc>
          <w:tcPr>
            <w:tcW w:w="0" w:type="dxa"/>
            <w:vAlign w:val="bottom"/>
          </w:tcPr>
          <w:p>
            <w:pPr>
              <w:spacing w:after="0"/>
              <w:rPr>
                <w:sz w:val="1"/>
                <w:szCs w:val="1"/>
                <w:color w:val="auto"/>
              </w:rPr>
            </w:pPr>
          </w:p>
        </w:tc>
      </w:tr>
      <w:tr>
        <w:trPr>
          <w:trHeight w:val="27"/>
        </w:trPr>
        <w:tc>
          <w:tcPr>
            <w:tcW w:w="376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146,244</w:t>
            </w:r>
          </w:p>
        </w:tc>
        <w:tc>
          <w:tcPr>
            <w:tcW w:w="22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203,837</w:t>
            </w:r>
          </w:p>
        </w:tc>
        <w:tc>
          <w:tcPr>
            <w:tcW w:w="0" w:type="dxa"/>
            <w:vAlign w:val="bottom"/>
          </w:tcPr>
          <w:p>
            <w:pPr>
              <w:spacing w:after="0"/>
              <w:rPr>
                <w:sz w:val="1"/>
                <w:szCs w:val="1"/>
                <w:color w:val="auto"/>
              </w:rPr>
            </w:pPr>
          </w:p>
        </w:tc>
      </w:tr>
      <w:tr>
        <w:trPr>
          <w:trHeight w:val="21"/>
        </w:trPr>
        <w:tc>
          <w:tcPr>
            <w:tcW w:w="8680" w:type="dxa"/>
            <w:vAlign w:val="bottom"/>
            <w:gridSpan w:val="8"/>
            <w:vMerge w:val="restart"/>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868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354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234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60" w:type="dxa"/>
            <w:vAlign w:val="bottom"/>
          </w:tcPr>
          <w:p>
            <w:pPr>
              <w:spacing w:after="0"/>
              <w:rPr>
                <w:sz w:val="24"/>
                <w:szCs w:val="24"/>
                <w:color w:val="auto"/>
              </w:rPr>
            </w:pPr>
          </w:p>
        </w:tc>
        <w:tc>
          <w:tcPr>
            <w:tcW w:w="24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18,877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22,544</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220" w:type="dxa"/>
            <w:vAlign w:val="bottom"/>
          </w:tcPr>
          <w:p>
            <w:pPr>
              <w:spacing w:after="0"/>
              <w:rPr>
                <w:sz w:val="18"/>
                <w:szCs w:val="18"/>
                <w:color w:val="auto"/>
              </w:rPr>
            </w:pP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41,024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8,897</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8,831</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17,235</w:t>
            </w:r>
          </w:p>
        </w:tc>
        <w:tc>
          <w:tcPr>
            <w:tcW w:w="0" w:type="dxa"/>
            <w:vAlign w:val="bottom"/>
          </w:tcPr>
          <w:p>
            <w:pPr>
              <w:spacing w:after="0"/>
              <w:rPr>
                <w:sz w:val="1"/>
                <w:szCs w:val="1"/>
                <w:color w:val="auto"/>
              </w:rPr>
            </w:pPr>
          </w:p>
        </w:tc>
      </w:tr>
      <w:tr>
        <w:trPr>
          <w:trHeight w:val="27"/>
        </w:trPr>
        <w:tc>
          <w:tcPr>
            <w:tcW w:w="376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27,774</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31,375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58,259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(27,774)</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(31,375)</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(57,192)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(58,259)</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(28,054)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(31,387)</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(57,887)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(58,286)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(0.74)</w:t>
            </w: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43,696</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42,510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42,067</w:t>
            </w:r>
          </w:p>
        </w:tc>
        <w:tc>
          <w:tcPr>
            <w:tcW w:w="0" w:type="dxa"/>
            <w:vAlign w:val="bottom"/>
          </w:tcPr>
          <w:p>
            <w:pPr>
              <w:spacing w:after="0"/>
              <w:rPr>
                <w:sz w:val="1"/>
                <w:szCs w:val="1"/>
                <w:color w:val="auto"/>
              </w:rPr>
            </w:pPr>
          </w:p>
        </w:tc>
      </w:tr>
      <w:tr>
        <w:trPr>
          <w:trHeight w:val="299"/>
        </w:trPr>
        <w:tc>
          <w:tcPr>
            <w:tcW w:w="37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2022-08-09T06:14:11Z</dcterms:created>
  <dcterms:modified xsi:type="dcterms:W3CDTF">2022-08-09T06:14:11Z</dcterms:modified>
</cp:coreProperties>
</file>