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November 12, 2019</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66040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108585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60" w:type="dxa"/>
        <w:tblCellMar>
          <w:top w:w="0" w:type="dxa"/>
          <w:left w:w="0" w:type="dxa"/>
          <w:bottom w:w="0" w:type="dxa"/>
          <w:right w:w="0" w:type="dxa"/>
        </w:tblCellMar>
      </w:tblPr>
      <w:tr>
        <w:trPr>
          <w:trHeight w:val="2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20" w:type="dxa"/>
            <w:vAlign w:val="bottom"/>
          </w:tcPr>
          <w:p>
            <w:pPr>
              <w:jc w:val="right"/>
              <w:ind w:right="200"/>
              <w:spacing w:after="0"/>
              <w:rPr>
                <w:sz w:val="20"/>
                <w:szCs w:val="20"/>
                <w:color w:val="auto"/>
              </w:rPr>
            </w:pPr>
            <w:r>
              <w:rPr>
                <w:rFonts w:ascii="Arial" w:cs="Arial" w:eastAsia="Arial" w:hAnsi="Arial"/>
                <w:sz w:val="18"/>
                <w:szCs w:val="18"/>
                <w:b w:val="1"/>
                <w:bCs w:val="1"/>
                <w:color w:val="auto"/>
              </w:rPr>
              <w:t>81-0710585</w:t>
            </w:r>
          </w:p>
        </w:tc>
      </w:tr>
      <w:tr>
        <w:trPr>
          <w:trHeight w:val="149"/>
        </w:trPr>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20" w:type="dxa"/>
            <w:vAlign w:val="bottom"/>
          </w:tcPr>
          <w:p>
            <w:pPr>
              <w:jc w:val="center"/>
              <w:ind w:left="3520"/>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020" w:type="dxa"/>
            <w:vAlign w:val="bottom"/>
          </w:tcPr>
          <w:p>
            <w:pPr>
              <w:jc w:val="center"/>
              <w:ind w:left="3520"/>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One Kendall Square</w:t>
            </w:r>
          </w:p>
        </w:tc>
        <w:tc>
          <w:tcPr>
            <w:tcW w:w="5020" w:type="dxa"/>
            <w:vAlign w:val="bottom"/>
          </w:tcPr>
          <w:p>
            <w:pPr>
              <w:spacing w:after="0"/>
              <w:rPr>
                <w:sz w:val="24"/>
                <w:szCs w:val="24"/>
                <w:color w:val="auto"/>
              </w:rPr>
            </w:pP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0"/>
              </w:rPr>
              <w:t>Building 300, Suite 201</w:t>
            </w:r>
          </w:p>
        </w:tc>
        <w:tc>
          <w:tcPr>
            <w:tcW w:w="5020" w:type="dxa"/>
            <w:vAlign w:val="bottom"/>
          </w:tcPr>
          <w:p>
            <w:pPr>
              <w:spacing w:after="0"/>
              <w:rPr>
                <w:sz w:val="18"/>
                <w:szCs w:val="18"/>
                <w:color w:val="auto"/>
              </w:rPr>
            </w:pPr>
          </w:p>
        </w:tc>
      </w:tr>
      <w:tr>
        <w:trPr>
          <w:trHeight w:val="225"/>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8"/>
              </w:rPr>
              <w:t>Cambridge, Massachusetts</w:t>
            </w:r>
          </w:p>
        </w:tc>
        <w:tc>
          <w:tcPr>
            <w:tcW w:w="5020" w:type="dxa"/>
            <w:vAlign w:val="bottom"/>
          </w:tcPr>
          <w:p>
            <w:pPr>
              <w:jc w:val="right"/>
              <w:ind w:right="400"/>
              <w:spacing w:after="0"/>
              <w:rPr>
                <w:sz w:val="20"/>
                <w:szCs w:val="20"/>
                <w:color w:val="auto"/>
              </w:rPr>
            </w:pPr>
            <w:r>
              <w:rPr>
                <w:rFonts w:ascii="Arial" w:cs="Arial" w:eastAsia="Arial" w:hAnsi="Arial"/>
                <w:sz w:val="18"/>
                <w:szCs w:val="18"/>
                <w:b w:val="1"/>
                <w:bCs w:val="1"/>
                <w:color w:val="auto"/>
              </w:rPr>
              <w:t>02139</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020" w:type="dxa"/>
            <w:vAlign w:val="bottom"/>
          </w:tcPr>
          <w:p>
            <w:pPr>
              <w:jc w:val="center"/>
              <w:ind w:left="3520"/>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480" w:type="dxa"/>
            <w:vAlign w:val="bottom"/>
          </w:tcPr>
          <w:p>
            <w:pPr>
              <w:spacing w:after="0"/>
              <w:rPr>
                <w:sz w:val="24"/>
                <w:szCs w:val="24"/>
                <w:color w:val="auto"/>
              </w:rPr>
            </w:pPr>
          </w:p>
        </w:tc>
        <w:tc>
          <w:tcPr>
            <w:tcW w:w="5020" w:type="dxa"/>
            <w:vAlign w:val="bottom"/>
          </w:tcPr>
          <w:p>
            <w:pPr>
              <w:jc w:val="center"/>
              <w:ind w:right="2000"/>
              <w:spacing w:after="0"/>
              <w:rPr>
                <w:sz w:val="20"/>
                <w:szCs w:val="20"/>
                <w:color w:val="auto"/>
              </w:rPr>
            </w:pPr>
            <w:r>
              <w:rPr>
                <w:rFonts w:ascii="Arial" w:cs="Arial" w:eastAsia="Arial" w:hAnsi="Arial"/>
                <w:sz w:val="18"/>
                <w:szCs w:val="18"/>
                <w:b w:val="1"/>
                <w:bCs w:val="1"/>
                <w:color w:val="auto"/>
                <w:w w:val="90"/>
              </w:rPr>
              <w:t>Inducement Stock Option Agreement</w:t>
            </w:r>
          </w:p>
        </w:tc>
      </w:tr>
      <w:tr>
        <w:trPr>
          <w:trHeight w:val="186"/>
        </w:trPr>
        <w:tc>
          <w:tcPr>
            <w:tcW w:w="2480" w:type="dxa"/>
            <w:vAlign w:val="bottom"/>
          </w:tcPr>
          <w:p>
            <w:pPr>
              <w:spacing w:after="0"/>
              <w:rPr>
                <w:sz w:val="16"/>
                <w:szCs w:val="16"/>
                <w:color w:val="auto"/>
              </w:rPr>
            </w:pPr>
          </w:p>
        </w:tc>
        <w:tc>
          <w:tcPr>
            <w:tcW w:w="5020" w:type="dxa"/>
            <w:vAlign w:val="bottom"/>
          </w:tcPr>
          <w:p>
            <w:pPr>
              <w:jc w:val="center"/>
              <w:ind w:right="2000"/>
              <w:spacing w:after="0"/>
              <w:rPr>
                <w:sz w:val="20"/>
                <w:szCs w:val="20"/>
                <w:color w:val="auto"/>
              </w:rPr>
            </w:pPr>
            <w:r>
              <w:rPr>
                <w:rFonts w:ascii="Arial" w:cs="Arial" w:eastAsia="Arial" w:hAnsi="Arial"/>
                <w:sz w:val="14"/>
                <w:szCs w:val="14"/>
                <w:b w:val="1"/>
                <w:bCs w:val="1"/>
                <w:color w:val="auto"/>
                <w:w w:val="94"/>
              </w:rPr>
              <w:t>(Full Title of the Plans)</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Geoff MacKay</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One Kendall Square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Building 300, Suite 201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Copies to:</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Arthur R. McGivern, Esq.</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James Xu, Esq.</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63,000 shares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$22.57(5)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$1,421,910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$184.56</w:t>
            </w:r>
          </w:p>
        </w:tc>
        <w:tc>
          <w:tcPr>
            <w:tcW w:w="0" w:type="dxa"/>
            <w:vAlign w:val="bottom"/>
          </w:tcPr>
          <w:p>
            <w:pPr>
              <w:spacing w:after="0"/>
              <w:rPr>
                <w:sz w:val="1"/>
                <w:szCs w:val="1"/>
                <w:color w:val="auto"/>
              </w:rPr>
            </w:pPr>
          </w:p>
        </w:tc>
      </w:tr>
    </w:tbl>
    <w:p>
      <w:pPr>
        <w:sectPr>
          <w:pgSz w:w="11900" w:h="16838" w:orient="portrait"/>
          <w:cols w:equalWidth="0" w:num="1">
            <w:col w:w="11040"/>
          </w:cols>
          <w:pgMar w:left="440" w:top="229" w:right="41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$0.0001 par value per share</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100,000 shares (3)</w:t>
            </w:r>
          </w:p>
        </w:tc>
        <w:tc>
          <w:tcPr>
            <w:tcW w:w="15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$18.32(5)</w:t>
            </w:r>
          </w:p>
        </w:tc>
        <w:tc>
          <w:tcPr>
            <w:tcW w:w="1540" w:type="dxa"/>
            <w:vAlign w:val="bottom"/>
            <w:tcBorders>
              <w:top w:val="single" w:sz="8" w:color="auto"/>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$1,832,000</w:t>
            </w:r>
          </w:p>
        </w:tc>
        <w:tc>
          <w:tcPr>
            <w:tcW w:w="15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$237.79</w:t>
            </w: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Common Stock, $0.0001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98,700 shares (4)</w:t>
            </w:r>
          </w:p>
        </w:tc>
        <w:tc>
          <w:tcPr>
            <w:tcW w:w="154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$14.21(5)</w:t>
            </w:r>
          </w:p>
        </w:tc>
        <w:tc>
          <w:tcPr>
            <w:tcW w:w="15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$1,402,527</w:t>
            </w:r>
          </w:p>
        </w:tc>
        <w:tc>
          <w:tcPr>
            <w:tcW w:w="15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$182.05</w:t>
            </w:r>
          </w:p>
        </w:tc>
      </w:tr>
      <w:tr>
        <w:trPr>
          <w:trHeight w:val="210"/>
        </w:trPr>
        <w:tc>
          <w:tcPr>
            <w:tcW w:w="4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261,700 shares</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$4,656,437</w:t>
            </w:r>
          </w:p>
        </w:tc>
        <w:tc>
          <w:tcPr>
            <w:tcW w:w="15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$604.41</w:t>
            </w: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right="560" w:hanging="436"/>
        <w:spacing w:after="0" w:line="254"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as amended (the “Securities Act”), this Registration Statement shall also cover any additional shares of common stock which become issuable by reason of any stock dividend, stock split, recapitalization or any other similar transaction effected without the receipt of consideration which results in an increase in the number of the registrant’s outstanding shares of common stock.</w:t>
      </w:r>
    </w:p>
    <w:p>
      <w:pPr>
        <w:spacing w:after="0" w:line="2" w:lineRule="exact"/>
        <w:rPr>
          <w:rFonts w:ascii="Arial" w:cs="Arial" w:eastAsia="Arial" w:hAnsi="Arial"/>
          <w:sz w:val="18"/>
          <w:szCs w:val="18"/>
          <w:color w:val="auto"/>
        </w:rPr>
      </w:pPr>
    </w:p>
    <w:p>
      <w:pPr>
        <w:ind w:left="440" w:right="100" w:hanging="436"/>
        <w:spacing w:after="0" w:line="265"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shares of common stock available for future issuance upon the exercise of an inducement stock option award granted on July 29, 2019 outside of the registrant’s employee equity compensation plan to a new employee as a material inducement to employment.</w:t>
      </w:r>
    </w:p>
    <w:p>
      <w:pPr>
        <w:ind w:left="440" w:right="280" w:hanging="436"/>
        <w:spacing w:after="0" w:line="281"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shares of common stock available for future issuance upon the exercise of an inducement stock option award granted on August 12, 2019 outside of the registrant’s employee equity compensation plan to a new employee as a material inducement to employment.</w:t>
      </w:r>
    </w:p>
    <w:p>
      <w:pPr>
        <w:spacing w:after="0" w:line="1" w:lineRule="exact"/>
        <w:rPr>
          <w:rFonts w:ascii="Arial" w:cs="Arial" w:eastAsia="Arial" w:hAnsi="Arial"/>
          <w:sz w:val="16"/>
          <w:szCs w:val="16"/>
          <w:color w:val="auto"/>
        </w:rPr>
      </w:pPr>
    </w:p>
    <w:p>
      <w:pPr>
        <w:ind w:left="440" w:right="220" w:hanging="436"/>
        <w:spacing w:after="0" w:line="281"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shares of common stock available for future issuance upon the exercise of an inducement stock option award granted on October 21, 2019 outside of the registrant’s employee equity compensation plan to Holly May as a material inducement to the employment of Ms. May.</w:t>
      </w:r>
    </w:p>
    <w:p>
      <w:pPr>
        <w:spacing w:after="0" w:line="1" w:lineRule="exact"/>
        <w:rPr>
          <w:rFonts w:ascii="Arial" w:cs="Arial" w:eastAsia="Arial" w:hAnsi="Arial"/>
          <w:sz w:val="16"/>
          <w:szCs w:val="16"/>
          <w:color w:val="auto"/>
        </w:rPr>
      </w:pPr>
    </w:p>
    <w:p>
      <w:pPr>
        <w:ind w:left="440" w:right="580" w:hanging="436"/>
        <w:spacing w:after="0" w:line="323"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457(h)(1) of the Securities Act. The price per share and proposed maximum aggregate offering price are calculated on the basis of the exercise price of the inducement stock option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106045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148590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33" w:right="4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This Registration Statement on Form S-8 (the “Registration Statement”) is being filed for the purpose of registering 261,700 shares of the registrant’s Common Stock issuable under previously announced inducement stock option awards granted on July 29, 2019, August 12, 2019 and October 21, 2019.</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documents containing the information specified in this Item 1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 and Employee Plan Annual Information.</w:t>
      </w:r>
    </w:p>
    <w:p>
      <w:pPr>
        <w:spacing w:after="0" w:line="12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documents containing the information specified in this Item 2 will be sent or given to participants as specified by Rule 428(b)(1) under the Securities Act. In accordance with the rules and regulations of the Commission and the instructions to Form S-8, such documents are not being filed with the Commission either as part of this Registration Statement or as prospectuses or prospectus supplements pursuant to Rule 424 under the Securities Act.</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incorporates by reference into this Registration Statement the following documents filed with the SEC:</w:t>
      </w:r>
    </w:p>
    <w:p>
      <w:pPr>
        <w:spacing w:after="0" w:line="131" w:lineRule="exact"/>
        <w:rPr>
          <w:sz w:val="20"/>
          <w:szCs w:val="20"/>
          <w:color w:val="auto"/>
        </w:rPr>
      </w:pPr>
    </w:p>
    <w:p>
      <w:pPr>
        <w:ind w:left="880" w:hanging="43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March 25, 2019;</w:t>
      </w:r>
    </w:p>
    <w:p>
      <w:pPr>
        <w:spacing w:after="0" w:line="117" w:lineRule="exact"/>
        <w:rPr>
          <w:rFonts w:ascii="Arial" w:cs="Arial" w:eastAsia="Arial" w:hAnsi="Arial"/>
          <w:sz w:val="18"/>
          <w:szCs w:val="18"/>
          <w:color w:val="auto"/>
        </w:rPr>
      </w:pPr>
    </w:p>
    <w:p>
      <w:pPr>
        <w:ind w:left="880" w:hanging="430"/>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definitive proxy statement on </w:t>
      </w:r>
      <w:hyperlink r:id="rId19">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on April 26, 2019;</w:t>
      </w:r>
    </w:p>
    <w:p>
      <w:pPr>
        <w:spacing w:after="0" w:line="117" w:lineRule="exact"/>
        <w:rPr>
          <w:rFonts w:ascii="Arial" w:cs="Arial" w:eastAsia="Arial" w:hAnsi="Arial"/>
          <w:sz w:val="18"/>
          <w:szCs w:val="18"/>
          <w:color w:val="auto"/>
        </w:rPr>
      </w:pPr>
    </w:p>
    <w:p>
      <w:pPr>
        <w:ind w:left="880" w:right="120" w:hanging="430"/>
        <w:spacing w:after="0" w:line="264"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Reports on Form 10-Q for the period ended March 31, 2019 as filed with the Commission on </w:t>
      </w:r>
      <w:hyperlink r:id="rId20">
        <w:r>
          <w:rPr>
            <w:rFonts w:ascii="Arial" w:cs="Arial" w:eastAsia="Arial" w:hAnsi="Arial"/>
            <w:sz w:val="18"/>
            <w:szCs w:val="18"/>
            <w:u w:val="single" w:color="auto"/>
            <w:color w:val="0000EE"/>
          </w:rPr>
          <w:t>May 13, 2019</w:t>
        </w:r>
      </w:hyperlink>
      <w:r>
        <w:rPr>
          <w:rFonts w:ascii="Arial" w:cs="Arial" w:eastAsia="Arial" w:hAnsi="Arial"/>
          <w:sz w:val="18"/>
          <w:szCs w:val="18"/>
          <w:color w:val="auto"/>
        </w:rPr>
        <w:t xml:space="preserve">, for the period ended June 30, 2019 as filed with the Commission on </w:t>
      </w:r>
      <w:hyperlink r:id="rId21">
        <w:r>
          <w:rPr>
            <w:rFonts w:ascii="Arial" w:cs="Arial" w:eastAsia="Arial" w:hAnsi="Arial"/>
            <w:sz w:val="18"/>
            <w:szCs w:val="18"/>
            <w:u w:val="single" w:color="auto"/>
            <w:color w:val="0000EE"/>
          </w:rPr>
          <w:t>August 8, 2019</w:t>
        </w:r>
      </w:hyperlink>
      <w:r>
        <w:rPr>
          <w:rFonts w:ascii="Arial" w:cs="Arial" w:eastAsia="Arial" w:hAnsi="Arial"/>
          <w:sz w:val="18"/>
          <w:szCs w:val="18"/>
          <w:color w:val="auto"/>
        </w:rPr>
        <w:t xml:space="preserve">, and for the period ended September 30, 2019 as filed with the Commission on </w:t>
      </w:r>
      <w:hyperlink r:id="rId22">
        <w:r>
          <w:rPr>
            <w:rFonts w:ascii="Arial" w:cs="Arial" w:eastAsia="Arial" w:hAnsi="Arial"/>
            <w:sz w:val="18"/>
            <w:szCs w:val="18"/>
            <w:u w:val="single" w:color="auto"/>
            <w:color w:val="0000EE"/>
          </w:rPr>
          <w:t>November 7, 2019</w:t>
        </w:r>
      </w:hyperlink>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880" w:hanging="430"/>
        <w:spacing w:after="0" w:line="293" w:lineRule="auto"/>
        <w:tabs>
          <w:tab w:leader="none" w:pos="880" w:val="left"/>
        </w:tabs>
        <w:numPr>
          <w:ilvl w:val="0"/>
          <w:numId w:val="2"/>
        </w:numPr>
        <w:rPr>
          <w:rFonts w:ascii="Arial" w:cs="Arial" w:eastAsia="Arial" w:hAnsi="Arial"/>
          <w:sz w:val="16"/>
          <w:szCs w:val="16"/>
          <w:color w:val="000000"/>
        </w:rPr>
      </w:pPr>
      <w:r>
        <w:rPr>
          <w:rFonts w:ascii="Arial" w:cs="Arial" w:eastAsia="Arial" w:hAnsi="Arial"/>
          <w:sz w:val="16"/>
          <w:szCs w:val="16"/>
          <w:color w:val="auto"/>
        </w:rPr>
        <w:t xml:space="preserve">The registrant’s Current Report on Form 8-K filed on </w:t>
      </w:r>
      <w:hyperlink r:id="rId23">
        <w:r>
          <w:rPr>
            <w:rFonts w:ascii="Arial" w:cs="Arial" w:eastAsia="Arial" w:hAnsi="Arial"/>
            <w:sz w:val="16"/>
            <w:szCs w:val="16"/>
            <w:u w:val="single" w:color="auto"/>
            <w:color w:val="0000EE"/>
          </w:rPr>
          <w:t>January 7, 2019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(containing items 5.02 and 9.01), as amended by Form 8-K/A filed on </w:t>
      </w:r>
      <w:hyperlink r:id="rId24">
        <w:r>
          <w:rPr>
            <w:rFonts w:ascii="Arial" w:cs="Arial" w:eastAsia="Arial" w:hAnsi="Arial"/>
            <w:sz w:val="16"/>
            <w:szCs w:val="16"/>
            <w:u w:val="single" w:color="auto"/>
            <w:color w:val="0000EE"/>
          </w:rPr>
          <w:t>January 11, 2019</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6"/>
          <w:szCs w:val="16"/>
          <w:color w:val="000000"/>
        </w:rPr>
        <w:t>the registrant’s Current Report on Form 8-K filed on</w:t>
      </w:r>
      <w:r>
        <w:rPr>
          <w:rFonts w:ascii="Arial" w:cs="Arial" w:eastAsia="Arial" w:hAnsi="Arial"/>
          <w:sz w:val="16"/>
          <w:szCs w:val="16"/>
          <w:color w:val="0000EE"/>
        </w:rPr>
        <w:t xml:space="preserve"> </w:t>
      </w:r>
      <w:hyperlink r:id="rId25">
        <w:r>
          <w:rPr>
            <w:rFonts w:ascii="Arial" w:cs="Arial" w:eastAsia="Arial" w:hAnsi="Arial"/>
            <w:sz w:val="16"/>
            <w:szCs w:val="16"/>
            <w:u w:val="single" w:color="auto"/>
            <w:color w:val="0000EE"/>
          </w:rPr>
          <w:t xml:space="preserve">January 22, 2019 </w:t>
        </w:r>
      </w:hyperlink>
      <w:r>
        <w:rPr>
          <w:rFonts w:ascii="Arial" w:cs="Arial" w:eastAsia="Arial" w:hAnsi="Arial"/>
          <w:sz w:val="16"/>
          <w:szCs w:val="16"/>
          <w:color w:val="000000"/>
        </w:rPr>
        <w:t>(containing</w:t>
      </w:r>
      <w:r>
        <w:rPr>
          <w:rFonts w:ascii="Arial" w:cs="Arial" w:eastAsia="Arial" w:hAnsi="Arial"/>
          <w:sz w:val="16"/>
          <w:szCs w:val="16"/>
          <w:color w:val="0000EE"/>
        </w:rPr>
        <w:t xml:space="preserve"> </w:t>
      </w:r>
      <w:r>
        <w:rPr>
          <w:rFonts w:ascii="Arial" w:cs="Arial" w:eastAsia="Arial" w:hAnsi="Arial"/>
          <w:sz w:val="16"/>
          <w:szCs w:val="16"/>
          <w:color w:val="000000"/>
        </w:rPr>
        <w:t>items 8.01), the registrant’s Current</w:t>
      </w:r>
      <w:r>
        <w:rPr>
          <w:rFonts w:ascii="Arial" w:cs="Arial" w:eastAsia="Arial" w:hAnsi="Arial"/>
          <w:sz w:val="16"/>
          <w:szCs w:val="16"/>
          <w:color w:val="0000EE"/>
        </w:rPr>
        <w:t xml:space="preserve"> </w:t>
      </w:r>
      <w:r>
        <w:rPr>
          <w:rFonts w:ascii="Arial" w:cs="Arial" w:eastAsia="Arial" w:hAnsi="Arial"/>
          <w:sz w:val="16"/>
          <w:szCs w:val="16"/>
          <w:color w:val="000000"/>
        </w:rPr>
        <w:t xml:space="preserve">Report on Form 8-K filed on </w:t>
      </w:r>
      <w:hyperlink r:id="rId26">
        <w:r>
          <w:rPr>
            <w:rFonts w:ascii="Arial" w:cs="Arial" w:eastAsia="Arial" w:hAnsi="Arial"/>
            <w:sz w:val="16"/>
            <w:szCs w:val="16"/>
            <w:u w:val="single" w:color="auto"/>
            <w:color w:val="0000EE"/>
          </w:rPr>
          <w:t>February 6, 2019</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 xml:space="preserve">(containing items 8.01 and 9.01), the registrant’s Current Report on Form 8-K filed on </w:t>
      </w:r>
      <w:hyperlink r:id="rId27">
        <w:r>
          <w:rPr>
            <w:rFonts w:ascii="Arial" w:cs="Arial" w:eastAsia="Arial" w:hAnsi="Arial"/>
            <w:sz w:val="16"/>
            <w:szCs w:val="16"/>
            <w:u w:val="single" w:color="auto"/>
            <w:color w:val="0000EE"/>
          </w:rPr>
          <w:t>April 29, 2019</w:t>
        </w:r>
        <w:r>
          <w:rPr>
            <w:rFonts w:ascii="Arial" w:cs="Arial" w:eastAsia="Arial" w:hAnsi="Arial"/>
            <w:sz w:val="16"/>
            <w:szCs w:val="16"/>
            <w:color w:val="0000EE"/>
          </w:rPr>
          <w:t xml:space="preserve"> </w:t>
        </w:r>
      </w:hyperlink>
      <w:r>
        <w:rPr>
          <w:rFonts w:ascii="Arial" w:cs="Arial" w:eastAsia="Arial" w:hAnsi="Arial"/>
          <w:sz w:val="16"/>
          <w:szCs w:val="16"/>
          <w:color w:val="000000"/>
        </w:rPr>
        <w:t>(containing</w:t>
      </w:r>
      <w:r>
        <w:rPr>
          <w:rFonts w:ascii="Arial" w:cs="Arial" w:eastAsia="Arial" w:hAnsi="Arial"/>
          <w:sz w:val="16"/>
          <w:szCs w:val="16"/>
          <w:color w:val="0000EE"/>
        </w:rPr>
        <w:t xml:space="preserve"> </w:t>
      </w:r>
      <w:r>
        <w:rPr>
          <w:rFonts w:ascii="Arial" w:cs="Arial" w:eastAsia="Arial" w:hAnsi="Arial"/>
          <w:sz w:val="16"/>
          <w:szCs w:val="16"/>
          <w:color w:val="000000"/>
        </w:rPr>
        <w:t>items 8.01 and 9.01), the registrant’s Current Report on Form 8-K filed on</w:t>
      </w:r>
      <w:r>
        <w:rPr>
          <w:rFonts w:ascii="Arial" w:cs="Arial" w:eastAsia="Arial" w:hAnsi="Arial"/>
          <w:sz w:val="16"/>
          <w:szCs w:val="16"/>
          <w:color w:val="0000EE"/>
        </w:rPr>
        <w:t xml:space="preserve"> </w:t>
      </w:r>
      <w:hyperlink r:id="rId28">
        <w:r>
          <w:rPr>
            <w:rFonts w:ascii="Arial" w:cs="Arial" w:eastAsia="Arial" w:hAnsi="Arial"/>
            <w:sz w:val="16"/>
            <w:szCs w:val="16"/>
            <w:u w:val="single" w:color="auto"/>
            <w:color w:val="0000EE"/>
          </w:rPr>
          <w:t xml:space="preserve">June 12, 2019 </w:t>
        </w:r>
      </w:hyperlink>
      <w:r>
        <w:rPr>
          <w:rFonts w:ascii="Arial" w:cs="Arial" w:eastAsia="Arial" w:hAnsi="Arial"/>
          <w:sz w:val="16"/>
          <w:szCs w:val="16"/>
          <w:color w:val="000000"/>
        </w:rPr>
        <w:t>(containing</w:t>
      </w:r>
      <w:r>
        <w:rPr>
          <w:rFonts w:ascii="Arial" w:cs="Arial" w:eastAsia="Arial" w:hAnsi="Arial"/>
          <w:sz w:val="16"/>
          <w:szCs w:val="16"/>
          <w:color w:val="0000EE"/>
        </w:rPr>
        <w:t xml:space="preserve"> </w:t>
      </w:r>
      <w:r>
        <w:rPr>
          <w:rFonts w:ascii="Arial" w:cs="Arial" w:eastAsia="Arial" w:hAnsi="Arial"/>
          <w:sz w:val="16"/>
          <w:szCs w:val="16"/>
          <w:color w:val="000000"/>
        </w:rPr>
        <w:t>items 5.07),</w:t>
      </w:r>
      <w:r>
        <w:rPr>
          <w:rFonts w:ascii="Arial" w:cs="Arial" w:eastAsia="Arial" w:hAnsi="Arial"/>
          <w:sz w:val="16"/>
          <w:szCs w:val="16"/>
          <w:color w:val="0000EE"/>
        </w:rPr>
        <w:t xml:space="preserve"> </w:t>
      </w:r>
      <w:r>
        <w:rPr>
          <w:rFonts w:ascii="Arial" w:cs="Arial" w:eastAsia="Arial" w:hAnsi="Arial"/>
          <w:sz w:val="16"/>
          <w:szCs w:val="16"/>
          <w:color w:val="000000"/>
        </w:rPr>
        <w:t xml:space="preserve">the registrant’s Current Report on Form 8-K filed on </w:t>
      </w:r>
      <w:hyperlink r:id="rId29">
        <w:r>
          <w:rPr>
            <w:rFonts w:ascii="Arial" w:cs="Arial" w:eastAsia="Arial" w:hAnsi="Arial"/>
            <w:sz w:val="16"/>
            <w:szCs w:val="16"/>
            <w:u w:val="single" w:color="auto"/>
            <w:color w:val="0000EE"/>
          </w:rPr>
          <w:t>July 15, 2019</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 xml:space="preserve">(containing items 8.01 and 9.01), and the registrant’s Current Report on Form 8-K filed on </w:t>
      </w:r>
      <w:hyperlink r:id="rId30">
        <w:r>
          <w:rPr>
            <w:rFonts w:ascii="Arial" w:cs="Arial" w:eastAsia="Arial" w:hAnsi="Arial"/>
            <w:sz w:val="16"/>
            <w:szCs w:val="16"/>
            <w:u w:val="single" w:color="auto"/>
            <w:color w:val="0000EE"/>
          </w:rPr>
          <w:t>July 17, 2019</w:t>
        </w:r>
        <w:r>
          <w:rPr>
            <w:rFonts w:ascii="Arial" w:cs="Arial" w:eastAsia="Arial" w:hAnsi="Arial"/>
            <w:sz w:val="16"/>
            <w:szCs w:val="16"/>
            <w:u w:val="single" w:color="auto"/>
            <w:color w:val="000000"/>
          </w:rPr>
          <w:t xml:space="preserve"> </w:t>
        </w:r>
      </w:hyperlink>
      <w:r>
        <w:rPr>
          <w:rFonts w:ascii="Arial" w:cs="Arial" w:eastAsia="Arial" w:hAnsi="Arial"/>
          <w:sz w:val="16"/>
          <w:szCs w:val="16"/>
          <w:color w:val="000000"/>
        </w:rPr>
        <w:t>(solely with respect to items 1.01, 8.01 and related exhibits filed pursuant to item 9.01); and</w:t>
      </w:r>
    </w:p>
    <w:p>
      <w:pPr>
        <w:spacing w:after="0" w:line="56" w:lineRule="exact"/>
        <w:rPr>
          <w:rFonts w:ascii="Arial" w:cs="Arial" w:eastAsia="Arial" w:hAnsi="Arial"/>
          <w:sz w:val="16"/>
          <w:szCs w:val="16"/>
          <w:color w:val="000000"/>
        </w:rPr>
      </w:pPr>
    </w:p>
    <w:p>
      <w:pPr>
        <w:ind w:left="880" w:right="260" w:hanging="430"/>
        <w:spacing w:after="0" w:line="286" w:lineRule="auto"/>
        <w:tabs>
          <w:tab w:leader="none" w:pos="88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The description of the registrant’s common stock contained in the registrant’s Registration Statement on </w:t>
      </w:r>
      <w:hyperlink r:id="rId31">
        <w:r>
          <w:rPr>
            <w:rFonts w:ascii="Arial" w:cs="Arial" w:eastAsia="Arial" w:hAnsi="Arial"/>
            <w:sz w:val="17"/>
            <w:szCs w:val="17"/>
            <w:u w:val="single" w:color="auto"/>
            <w:color w:val="0000EE"/>
          </w:rPr>
          <w:t>Form 8-A</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(File No. 001-38537), filed by the registrant with the SEC under Section 12(b) of the Securities Exchange Act of 1934, as amended (the “Exchange Act”), on June 18, 2018, including any amendments or reports filed for the purpose of updating such description.</w:t>
      </w:r>
    </w:p>
    <w:p>
      <w:pPr>
        <w:spacing w:after="0" w:line="166" w:lineRule="exact"/>
        <w:rPr>
          <w:rFonts w:ascii="Arial" w:cs="Arial" w:eastAsia="Arial" w:hAnsi="Arial"/>
          <w:sz w:val="16"/>
          <w:szCs w:val="16"/>
          <w:color w:val="000000"/>
        </w:rPr>
      </w:pPr>
    </w:p>
    <w:p>
      <w:pPr>
        <w:ind w:right="20"/>
        <w:spacing w:after="0" w:line="259" w:lineRule="auto"/>
        <w:rPr>
          <w:sz w:val="20"/>
          <w:szCs w:val="20"/>
          <w:color w:val="auto"/>
        </w:rPr>
      </w:pPr>
      <w:r>
        <w:rPr>
          <w:rFonts w:ascii="Arial" w:cs="Arial" w:eastAsia="Arial" w:hAnsi="Arial"/>
          <w:sz w:val="18"/>
          <w:szCs w:val="18"/>
          <w:color w:val="auto"/>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sectPr>
          <w:pgSz w:w="11900" w:h="16838" w:orient="portrait"/>
          <w:cols w:equalWidth="0" w:num="1">
            <w:col w:w="11000"/>
          </w:cols>
          <w:pgMar w:left="440" w:top="270" w:right="459" w:bottom="1440" w:gutter="0" w:footer="0" w:header="0"/>
        </w:sectPr>
      </w:pPr>
    </w:p>
    <w:bookmarkStart w:id="3" w:name="page4"/>
    <w:bookmarkEnd w:id="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Under no circumstances will any information filed under current items 2.02 or 7.01 of Form 8-K be deemed incorporated herein by reference unless such Form 8-K expressly provides to the contrary.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66"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We have adopted provisions in our certificate of incorporation and bylaws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87" w:lineRule="exact"/>
        <w:rPr>
          <w:sz w:val="20"/>
          <w:szCs w:val="20"/>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bylaws provide that:</w:t>
      </w:r>
    </w:p>
    <w:p>
      <w:pPr>
        <w:spacing w:after="0" w:line="131" w:lineRule="exact"/>
        <w:rPr>
          <w:sz w:val="20"/>
          <w:szCs w:val="20"/>
          <w:color w:val="auto"/>
        </w:rPr>
      </w:pPr>
    </w:p>
    <w:p>
      <w:pPr>
        <w:ind w:left="980" w:right="220" w:hanging="436"/>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75" w:lineRule="exact"/>
        <w:rPr>
          <w:rFonts w:ascii="Arial" w:cs="Arial" w:eastAsia="Arial" w:hAnsi="Arial"/>
          <w:sz w:val="18"/>
          <w:szCs w:val="18"/>
          <w:color w:val="auto"/>
        </w:rPr>
      </w:pPr>
    </w:p>
    <w:p>
      <w:pPr>
        <w:jc w:val="both"/>
        <w:ind w:left="980" w:right="440" w:hanging="436"/>
        <w:spacing w:after="0" w:line="264"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ectPr>
          <w:pgSz w:w="11900" w:h="16838" w:orient="portrait"/>
          <w:cols w:equalWidth="0" w:num="1">
            <w:col w:w="11020"/>
          </w:cols>
          <w:pgMar w:left="440" w:top="274" w:right="439" w:bottom="1440" w:gutter="0" w:footer="0" w:header="0"/>
        </w:sectPr>
      </w:pPr>
    </w:p>
    <w:bookmarkStart w:id="4" w:name="page5"/>
    <w:bookmarkEnd w:id="4"/>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60" w:type="dxa"/>
            <w:vAlign w:val="bottom"/>
            <w:gridSpan w:val="8"/>
          </w:tcPr>
          <w:p>
            <w:pPr>
              <w:ind w:left="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920" w:type="dxa"/>
            <w:vAlign w:val="bottom"/>
            <w:gridSpan w:val="7"/>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2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920" w:type="dxa"/>
            <w:vAlign w:val="bottom"/>
            <w:tcBorders>
              <w:bottom w:val="single" w:sz="8" w:color="auto"/>
            </w:tcBorders>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gridSpan w:val="2"/>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2"/>
                <w:szCs w:val="22"/>
                <w:color w:val="auto"/>
              </w:rPr>
            </w:pPr>
          </w:p>
        </w:tc>
        <w:tc>
          <w:tcPr>
            <w:tcW w:w="10160" w:type="dxa"/>
            <w:vAlign w:val="bottom"/>
            <w:gridSpan w:val="12"/>
          </w:tcPr>
          <w:p>
            <w:pPr>
              <w:spacing w:after="0"/>
              <w:rPr>
                <w:rFonts w:ascii="Arial" w:cs="Arial" w:eastAsia="Arial" w:hAnsi="Arial"/>
                <w:sz w:val="18"/>
                <w:szCs w:val="18"/>
                <w:color w:val="0000EE"/>
                <w:w w:val="91"/>
              </w:rPr>
            </w:pPr>
            <w:hyperlink r:id="rId34">
              <w:r>
                <w:rPr>
                  <w:rFonts w:ascii="Arial" w:cs="Arial" w:eastAsia="Arial" w:hAnsi="Arial"/>
                  <w:sz w:val="18"/>
                  <w:szCs w:val="18"/>
                  <w:color w:val="0000EE"/>
                  <w:w w:val="91"/>
                </w:rPr>
                <w:t>Fourth Amended and Restated Certificate of Incorporation of the Registrant (filed as Exhibit 3.1 to the Registrant’s Current Report on Form</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8-K filed on June 25, 2018 (File No. 001-38537) and incorporated herein by reference)</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8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9300" w:type="dxa"/>
            <w:vAlign w:val="bottom"/>
            <w:tcBorders>
              <w:bottom w:val="single" w:sz="8" w:color="0000EE"/>
            </w:tcBorders>
            <w:gridSpan w:val="8"/>
          </w:tcPr>
          <w:p>
            <w:pPr>
              <w:spacing w:after="0"/>
              <w:rPr>
                <w:rFonts w:ascii="Arial" w:cs="Arial" w:eastAsia="Arial" w:hAnsi="Arial"/>
                <w:sz w:val="18"/>
                <w:szCs w:val="18"/>
                <w:color w:val="0000EE"/>
                <w:w w:val="91"/>
              </w:rPr>
            </w:pPr>
            <w:hyperlink r:id="rId35">
              <w:r>
                <w:rPr>
                  <w:rFonts w:ascii="Arial" w:cs="Arial" w:eastAsia="Arial" w:hAnsi="Arial"/>
                  <w:sz w:val="18"/>
                  <w:szCs w:val="18"/>
                  <w:color w:val="0000EE"/>
                  <w:w w:val="91"/>
                </w:rPr>
                <w:t>Amended and Restated By-laws (filed as Exhibit 3.2 to the Registrant’s Current Report on Form 8-K filed on June 25, 2018 (File</w:t>
              </w:r>
            </w:hyperlink>
          </w:p>
        </w:tc>
        <w:tc>
          <w:tcPr>
            <w:tcW w:w="8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rPr>
            </w:pPr>
            <w:hyperlink r:id="rId35">
              <w:r>
                <w:rPr>
                  <w:rFonts w:ascii="Arial" w:cs="Arial" w:eastAsia="Arial" w:hAnsi="Arial"/>
                  <w:sz w:val="18"/>
                  <w:szCs w:val="18"/>
                  <w:color w:val="0000EE"/>
                </w:rPr>
                <w:t>No. 001-38537) and incorporated herein by reference)</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10160" w:type="dxa"/>
            <w:vAlign w:val="bottom"/>
            <w:gridSpan w:val="12"/>
          </w:tcPr>
          <w:p>
            <w:pPr>
              <w:spacing w:after="0"/>
              <w:rPr>
                <w:rFonts w:ascii="Arial" w:cs="Arial" w:eastAsia="Arial" w:hAnsi="Arial"/>
                <w:sz w:val="18"/>
                <w:szCs w:val="18"/>
                <w:color w:val="0000EE"/>
                <w:w w:val="92"/>
              </w:rPr>
            </w:pPr>
            <w:hyperlink r:id="rId36">
              <w:r>
                <w:rPr>
                  <w:rFonts w:ascii="Arial" w:cs="Arial" w:eastAsia="Arial" w:hAnsi="Arial"/>
                  <w:sz w:val="18"/>
                  <w:szCs w:val="18"/>
                  <w:color w:val="0000EE"/>
                  <w:w w:val="92"/>
                </w:rPr>
                <w:t>Second Amended and Restated Investors’ Rights Agreement among the Registrant and certain of its stockholders, dated January 9, 2018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(filed as Exhibit 4.2 to the Registrant’s Registration Statement on Form S-1 filed on May 25, 2018 (File No. 333-225213) and incorporated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36">
              <w:r>
                <w:rPr>
                  <w:rFonts w:ascii="Arial" w:cs="Arial" w:eastAsia="Arial" w:hAnsi="Arial"/>
                  <w:sz w:val="18"/>
                  <w:szCs w:val="18"/>
                  <w:color w:val="0000EE"/>
                  <w:w w:val="89"/>
                </w:rPr>
                <w:t>herein by reference)</w:t>
              </w:r>
            </w:hyperlink>
          </w:p>
        </w:tc>
        <w:tc>
          <w:tcPr>
            <w:tcW w:w="8540" w:type="dxa"/>
            <w:vAlign w:val="bottom"/>
            <w:tcBorders>
              <w:top w:val="single" w:sz="8" w:color="0000EE"/>
            </w:tcBorders>
            <w:gridSpan w:val="9"/>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244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3"/>
              </w:rPr>
              <w:t>Opinion of Goodwin Procter LLP</w:t>
            </w:r>
          </w:p>
        </w:tc>
        <w:tc>
          <w:tcPr>
            <w:tcW w:w="77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58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43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10160" w:type="dxa"/>
            <w:vAlign w:val="bottom"/>
            <w:gridSpan w:val="12"/>
          </w:tcPr>
          <w:p>
            <w:pPr>
              <w:spacing w:after="0"/>
              <w:rPr>
                <w:sz w:val="20"/>
                <w:szCs w:val="20"/>
                <w:color w:val="auto"/>
              </w:rPr>
            </w:pPr>
            <w:r>
              <w:rPr>
                <w:rFonts w:ascii="Arial" w:cs="Arial" w:eastAsia="Arial" w:hAnsi="Arial"/>
                <w:sz w:val="18"/>
                <w:szCs w:val="18"/>
                <w:color w:val="0000EE"/>
              </w:rPr>
              <w:t>Consent of Goodwin Procter LLP (included in Exhibit 5.1)</w:t>
            </w: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4240" w:type="dxa"/>
            <w:vAlign w:val="bottom"/>
            <w:tcBorders>
              <w:top w:val="single" w:sz="8" w:color="0000EE"/>
            </w:tcBorders>
            <w:gridSpan w:val="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Power of Attorney (included on signature page)</w:t>
              </w:r>
            </w:hyperlink>
          </w:p>
        </w:tc>
        <w:tc>
          <w:tcPr>
            <w:tcW w:w="59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9820" w:type="dxa"/>
            <w:vAlign w:val="bottom"/>
            <w:tcBorders>
              <w:bottom w:val="single" w:sz="8" w:color="0000EE"/>
            </w:tcBorders>
            <w:gridSpan w:val="9"/>
          </w:tcPr>
          <w:p>
            <w:pPr>
              <w:spacing w:after="0"/>
              <w:rPr>
                <w:rFonts w:ascii="Arial" w:cs="Arial" w:eastAsia="Arial" w:hAnsi="Arial"/>
                <w:sz w:val="18"/>
                <w:szCs w:val="18"/>
                <w:color w:val="0000EE"/>
                <w:w w:val="92"/>
              </w:rPr>
            </w:pPr>
            <w:hyperlink r:id="rId37">
              <w:r>
                <w:rPr>
                  <w:rFonts w:ascii="Arial" w:cs="Arial" w:eastAsia="Arial" w:hAnsi="Arial"/>
                  <w:sz w:val="18"/>
                  <w:szCs w:val="18"/>
                  <w:color w:val="0000EE"/>
                  <w:w w:val="92"/>
                </w:rPr>
                <w:t>AVROBIO, Inc. Form of Inducement Stock Option Award (filed as Exhibit 99.1 to the Registrant’s Registration Statement on Form S-8</w:t>
              </w:r>
            </w:hyperlink>
          </w:p>
        </w:tc>
        <w:tc>
          <w:tcPr>
            <w:tcW w:w="3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12"/>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filed on March 25, 2019 (File No. 333-230493)) and incorporated herein by reference)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880" w:hanging="876"/>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registrant hereby undertakes:</w:t>
      </w:r>
    </w:p>
    <w:p>
      <w:pPr>
        <w:spacing w:after="0" w:line="117" w:lineRule="exact"/>
        <w:rPr>
          <w:sz w:val="20"/>
          <w:szCs w:val="20"/>
          <w:color w:val="auto"/>
        </w:rPr>
      </w:pPr>
    </w:p>
    <w:p>
      <w:pPr>
        <w:ind w:left="260" w:hanging="256"/>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w:t>
      </w:r>
    </w:p>
    <w:p>
      <w:pPr>
        <w:spacing w:after="0" w:line="117" w:lineRule="exact"/>
        <w:rPr>
          <w:sz w:val="20"/>
          <w:szCs w:val="20"/>
          <w:color w:val="auto"/>
        </w:rPr>
      </w:pPr>
    </w:p>
    <w:p>
      <w:pPr>
        <w:ind w:right="200" w:firstLine="4"/>
        <w:spacing w:after="0" w:line="293" w:lineRule="auto"/>
        <w:tabs>
          <w:tab w:leader="none" w:pos="265"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56" w:lineRule="exact"/>
        <w:rPr>
          <w:rFonts w:ascii="Arial" w:cs="Arial" w:eastAsia="Arial" w:hAnsi="Arial"/>
          <w:sz w:val="16"/>
          <w:szCs w:val="16"/>
          <w:color w:val="auto"/>
        </w:rPr>
      </w:pPr>
    </w:p>
    <w:p>
      <w:pPr>
        <w:ind w:right="360" w:firstLine="4"/>
        <w:spacing w:after="0" w:line="277"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paragraphs (a)(1)(i) and (a)(1)(ii) herein do not apply if the information required to be included in a post-effective amendment</w:t>
      </w:r>
      <w:r>
        <w:rPr>
          <w:rFonts w:ascii="Arial" w:cs="Arial" w:eastAsia="Arial" w:hAnsi="Arial"/>
          <w:sz w:val="17"/>
          <w:szCs w:val="17"/>
          <w:i w:val="1"/>
          <w:iCs w:val="1"/>
          <w:color w:val="auto"/>
        </w:rPr>
        <w:t xml:space="preserve"> </w:t>
      </w:r>
      <w:r>
        <w:rPr>
          <w:rFonts w:ascii="Arial" w:cs="Arial" w:eastAsia="Arial" w:hAnsi="Arial"/>
          <w:sz w:val="17"/>
          <w:szCs w:val="17"/>
          <w:color w:val="auto"/>
        </w:rPr>
        <w:t>by those paragraphs is contained in reports filed with or furnished to the Commission by the registrant pursuant to Section 13 or Section 15(d) of the Exchange Act (15 U.S.C. 78m or 78o(d)) that are incorporated by reference in the registration statement.</w:t>
      </w:r>
    </w:p>
    <w:p>
      <w:pPr>
        <w:spacing w:after="0" w:line="57" w:lineRule="exact"/>
        <w:rPr>
          <w:sz w:val="20"/>
          <w:szCs w:val="20"/>
          <w:color w:val="auto"/>
        </w:rPr>
      </w:pPr>
    </w:p>
    <w:p>
      <w:pPr>
        <w:ind w:right="160" w:firstLine="4"/>
        <w:spacing w:after="0" w:line="264" w:lineRule="auto"/>
        <w:tabs>
          <w:tab w:leader="none" w:pos="25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040"/>
          </w:cols>
          <w:pgMar w:left="440" w:top="274" w:right="419" w:bottom="1440" w:gutter="0" w:footer="0" w:header="0"/>
        </w:sectPr>
      </w:pPr>
    </w:p>
    <w:bookmarkStart w:id="5" w:name="page6"/>
    <w:bookmarkEnd w:id="5"/>
    <w:p>
      <w:pPr>
        <w:ind w:left="-4" w:firstLine="4"/>
        <w:spacing w:after="0" w:line="277" w:lineRule="auto"/>
        <w:tabs>
          <w:tab w:leader="none" w:pos="251"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remove from registration by means of a post-effective amendment any of the securities being registered which remain unsold at the termination of the offering.</w:t>
      </w:r>
    </w:p>
    <w:p>
      <w:pPr>
        <w:spacing w:after="0" w:line="62" w:lineRule="exact"/>
        <w:rPr>
          <w:sz w:val="20"/>
          <w:szCs w:val="20"/>
          <w:color w:val="auto"/>
        </w:rPr>
      </w:pPr>
    </w:p>
    <w:p>
      <w:pPr>
        <w:ind w:left="-4" w:right="120" w:firstLine="4"/>
        <w:spacing w:after="0" w:line="257" w:lineRule="auto"/>
        <w:tabs>
          <w:tab w:leader="none" w:pos="25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0" w:lineRule="exact"/>
        <w:rPr>
          <w:sz w:val="20"/>
          <w:szCs w:val="20"/>
          <w:color w:val="auto"/>
        </w:rPr>
      </w:pPr>
    </w:p>
    <w:p>
      <w:pPr>
        <w:ind w:left="-4" w:right="220" w:firstLine="4"/>
        <w:spacing w:after="0" w:line="271" w:lineRule="auto"/>
        <w:tabs>
          <w:tab w:leader="none" w:pos="251"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96"/>
          </w:cols>
          <w:pgMar w:left="444" w:top="274" w:right="45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420"/>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12th day of November, 2019.</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President, Chief Executive Officer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KNOW ALL BY THESE PRESENT, that each individual whose signature appears below hereby constitutes and appoints each of Geoff MacKay and Erik Ostrowski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9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 in the capacities and on the date indicated.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760" w:type="dxa"/>
            <w:vAlign w:val="bottom"/>
          </w:tcPr>
          <w:p>
            <w:pPr>
              <w:jc w:val="center"/>
              <w:ind w:left="232"/>
              <w:spacing w:after="0"/>
              <w:rPr>
                <w:sz w:val="20"/>
                <w:szCs w:val="20"/>
                <w:color w:val="auto"/>
              </w:rPr>
            </w:pPr>
            <w:r>
              <w:rPr>
                <w:rFonts w:ascii="Arial" w:cs="Arial" w:eastAsia="Arial" w:hAnsi="Arial"/>
                <w:sz w:val="14"/>
                <w:szCs w:val="14"/>
                <w:b w:val="1"/>
                <w:bCs w:val="1"/>
                <w:color w:val="auto"/>
                <w:w w:val="97"/>
              </w:rPr>
              <w:t>Title</w:t>
            </w:r>
          </w:p>
        </w:tc>
        <w:tc>
          <w:tcPr>
            <w:tcW w:w="1900" w:type="dxa"/>
            <w:vAlign w:val="bottom"/>
          </w:tcPr>
          <w:p>
            <w:pPr>
              <w:jc w:val="center"/>
              <w:ind w:left="392"/>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Geoff MacKay</w:t>
            </w:r>
          </w:p>
        </w:tc>
        <w:tc>
          <w:tcPr>
            <w:tcW w:w="4760" w:type="dxa"/>
            <w:vAlign w:val="bottom"/>
          </w:tcPr>
          <w:p>
            <w:pPr>
              <w:jc w:val="center"/>
              <w:ind w:left="212"/>
              <w:spacing w:after="0"/>
              <w:rPr>
                <w:sz w:val="20"/>
                <w:szCs w:val="20"/>
                <w:color w:val="auto"/>
              </w:rPr>
            </w:pPr>
            <w:r>
              <w:rPr>
                <w:rFonts w:ascii="Arial" w:cs="Arial" w:eastAsia="Arial" w:hAnsi="Arial"/>
                <w:sz w:val="18"/>
                <w:szCs w:val="18"/>
                <w:i w:val="1"/>
                <w:iCs w:val="1"/>
                <w:color w:val="auto"/>
                <w:w w:val="91"/>
              </w:rPr>
              <w:t>Director, President, Chief Executive Officer and</w:t>
            </w:r>
          </w:p>
        </w:tc>
        <w:tc>
          <w:tcPr>
            <w:tcW w:w="1900" w:type="dxa"/>
            <w:vAlign w:val="bottom"/>
          </w:tcPr>
          <w:p>
            <w:pPr>
              <w:jc w:val="center"/>
              <w:ind w:left="372"/>
              <w:spacing w:after="0"/>
              <w:rPr>
                <w:sz w:val="20"/>
                <w:szCs w:val="20"/>
                <w:color w:val="auto"/>
              </w:rPr>
            </w:pPr>
            <w:r>
              <w:rPr>
                <w:rFonts w:ascii="Arial" w:cs="Arial" w:eastAsia="Arial" w:hAnsi="Arial"/>
                <w:sz w:val="18"/>
                <w:szCs w:val="18"/>
                <w:color w:val="auto"/>
                <w:w w:val="91"/>
              </w:rPr>
              <w:t>November 12,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Geoff MacKay</w:t>
            </w:r>
          </w:p>
        </w:tc>
        <w:tc>
          <w:tcPr>
            <w:tcW w:w="4760" w:type="dxa"/>
            <w:vAlign w:val="bottom"/>
          </w:tcPr>
          <w:p>
            <w:pPr>
              <w:jc w:val="center"/>
              <w:ind w:left="212"/>
              <w:spacing w:after="0"/>
              <w:rPr>
                <w:sz w:val="20"/>
                <w:szCs w:val="20"/>
                <w:color w:val="auto"/>
              </w:rPr>
            </w:pPr>
            <w:r>
              <w:rPr>
                <w:rFonts w:ascii="Arial" w:cs="Arial" w:eastAsia="Arial" w:hAnsi="Arial"/>
                <w:sz w:val="18"/>
                <w:szCs w:val="18"/>
                <w:i w:val="1"/>
                <w:iCs w:val="1"/>
                <w:color w:val="auto"/>
                <w:w w:val="94"/>
              </w:rPr>
              <w:t>Principal Executive Officer</w:t>
            </w:r>
          </w:p>
        </w:tc>
        <w:tc>
          <w:tcPr>
            <w:tcW w:w="19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Erik Ostrowski</w:t>
            </w:r>
          </w:p>
        </w:tc>
        <w:tc>
          <w:tcPr>
            <w:tcW w:w="4760" w:type="dxa"/>
            <w:vAlign w:val="bottom"/>
          </w:tcPr>
          <w:p>
            <w:pPr>
              <w:jc w:val="center"/>
              <w:ind w:left="232"/>
              <w:spacing w:after="0"/>
              <w:rPr>
                <w:sz w:val="20"/>
                <w:szCs w:val="20"/>
                <w:color w:val="auto"/>
              </w:rPr>
            </w:pPr>
            <w:r>
              <w:rPr>
                <w:rFonts w:ascii="Arial" w:cs="Arial" w:eastAsia="Arial" w:hAnsi="Arial"/>
                <w:sz w:val="18"/>
                <w:szCs w:val="18"/>
                <w:i w:val="1"/>
                <w:iCs w:val="1"/>
                <w:color w:val="auto"/>
                <w:w w:val="95"/>
              </w:rPr>
              <w:t>Chief Financial Officer and Principal Financial</w:t>
            </w:r>
          </w:p>
        </w:tc>
        <w:tc>
          <w:tcPr>
            <w:tcW w:w="1900" w:type="dxa"/>
            <w:vAlign w:val="bottom"/>
          </w:tcPr>
          <w:p>
            <w:pPr>
              <w:jc w:val="center"/>
              <w:ind w:left="372"/>
              <w:spacing w:after="0"/>
              <w:rPr>
                <w:sz w:val="20"/>
                <w:szCs w:val="20"/>
                <w:color w:val="auto"/>
              </w:rPr>
            </w:pPr>
            <w:r>
              <w:rPr>
                <w:rFonts w:ascii="Arial" w:cs="Arial" w:eastAsia="Arial" w:hAnsi="Arial"/>
                <w:sz w:val="18"/>
                <w:szCs w:val="18"/>
                <w:color w:val="auto"/>
                <w:w w:val="91"/>
              </w:rPr>
              <w:t>November 12,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5"/>
              </w:rPr>
              <w:t>Erik Ostrowski</w:t>
            </w:r>
          </w:p>
        </w:tc>
        <w:tc>
          <w:tcPr>
            <w:tcW w:w="4760" w:type="dxa"/>
            <w:vAlign w:val="bottom"/>
          </w:tcPr>
          <w:p>
            <w:pPr>
              <w:jc w:val="center"/>
              <w:ind w:left="232"/>
              <w:spacing w:after="0"/>
              <w:rPr>
                <w:sz w:val="20"/>
                <w:szCs w:val="20"/>
                <w:color w:val="auto"/>
              </w:rPr>
            </w:pPr>
            <w:r>
              <w:rPr>
                <w:rFonts w:ascii="Arial" w:cs="Arial" w:eastAsia="Arial" w:hAnsi="Arial"/>
                <w:sz w:val="18"/>
                <w:szCs w:val="18"/>
                <w:i w:val="1"/>
                <w:iCs w:val="1"/>
                <w:color w:val="auto"/>
                <w:w w:val="92"/>
              </w:rPr>
              <w:t>and Accounting Officer</w:t>
            </w:r>
          </w:p>
        </w:tc>
        <w:tc>
          <w:tcPr>
            <w:tcW w:w="19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Bruce Booth</w:t>
            </w:r>
          </w:p>
        </w:tc>
        <w:tc>
          <w:tcPr>
            <w:tcW w:w="4760" w:type="dxa"/>
            <w:vAlign w:val="bottom"/>
          </w:tcPr>
          <w:p>
            <w:pPr>
              <w:jc w:val="center"/>
              <w:ind w:left="212"/>
              <w:spacing w:after="0"/>
              <w:rPr>
                <w:sz w:val="20"/>
                <w:szCs w:val="20"/>
                <w:color w:val="auto"/>
              </w:rPr>
            </w:pPr>
            <w:r>
              <w:rPr>
                <w:rFonts w:ascii="Arial" w:cs="Arial" w:eastAsia="Arial" w:hAnsi="Arial"/>
                <w:sz w:val="18"/>
                <w:szCs w:val="18"/>
                <w:i w:val="1"/>
                <w:iCs w:val="1"/>
                <w:color w:val="auto"/>
                <w:w w:val="92"/>
              </w:rPr>
              <w:t>Chairman of the Board of Directors</w:t>
            </w:r>
          </w:p>
        </w:tc>
        <w:tc>
          <w:tcPr>
            <w:tcW w:w="1900" w:type="dxa"/>
            <w:vAlign w:val="bottom"/>
          </w:tcPr>
          <w:p>
            <w:pPr>
              <w:jc w:val="center"/>
              <w:ind w:left="372"/>
              <w:spacing w:after="0"/>
              <w:rPr>
                <w:sz w:val="20"/>
                <w:szCs w:val="20"/>
                <w:color w:val="auto"/>
              </w:rPr>
            </w:pPr>
            <w:r>
              <w:rPr>
                <w:rFonts w:ascii="Arial" w:cs="Arial" w:eastAsia="Arial" w:hAnsi="Arial"/>
                <w:sz w:val="18"/>
                <w:szCs w:val="18"/>
                <w:color w:val="auto"/>
                <w:w w:val="91"/>
              </w:rPr>
              <w:t>November 12,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Bruce Booth, D.Phil.</w:t>
            </w:r>
          </w:p>
        </w:tc>
        <w:tc>
          <w:tcPr>
            <w:tcW w:w="47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Ian T. Clark</w:t>
            </w:r>
          </w:p>
        </w:tc>
        <w:tc>
          <w:tcPr>
            <w:tcW w:w="4760" w:type="dxa"/>
            <w:vAlign w:val="bottom"/>
          </w:tcPr>
          <w:p>
            <w:pPr>
              <w:jc w:val="center"/>
              <w:ind w:left="212"/>
              <w:spacing w:after="0"/>
              <w:rPr>
                <w:sz w:val="20"/>
                <w:szCs w:val="20"/>
                <w:color w:val="auto"/>
              </w:rPr>
            </w:pPr>
            <w:r>
              <w:rPr>
                <w:rFonts w:ascii="Arial" w:cs="Arial" w:eastAsia="Arial" w:hAnsi="Arial"/>
                <w:sz w:val="18"/>
                <w:szCs w:val="18"/>
                <w:i w:val="1"/>
                <w:iCs w:val="1"/>
                <w:color w:val="auto"/>
                <w:w w:val="98"/>
              </w:rPr>
              <w:t>Director</w:t>
            </w:r>
          </w:p>
        </w:tc>
        <w:tc>
          <w:tcPr>
            <w:tcW w:w="1900" w:type="dxa"/>
            <w:vAlign w:val="bottom"/>
          </w:tcPr>
          <w:p>
            <w:pPr>
              <w:jc w:val="center"/>
              <w:ind w:left="372"/>
              <w:spacing w:after="0"/>
              <w:rPr>
                <w:sz w:val="20"/>
                <w:szCs w:val="20"/>
                <w:color w:val="auto"/>
              </w:rPr>
            </w:pPr>
            <w:r>
              <w:rPr>
                <w:rFonts w:ascii="Arial" w:cs="Arial" w:eastAsia="Arial" w:hAnsi="Arial"/>
                <w:sz w:val="18"/>
                <w:szCs w:val="18"/>
                <w:color w:val="auto"/>
                <w:w w:val="91"/>
              </w:rPr>
              <w:t>November 12,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Ian T. Clark</w:t>
            </w:r>
          </w:p>
        </w:tc>
        <w:tc>
          <w:tcPr>
            <w:tcW w:w="47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Phillip B. Donenberg</w:t>
            </w:r>
          </w:p>
        </w:tc>
        <w:tc>
          <w:tcPr>
            <w:tcW w:w="4760" w:type="dxa"/>
            <w:vAlign w:val="bottom"/>
          </w:tcPr>
          <w:p>
            <w:pPr>
              <w:jc w:val="center"/>
              <w:ind w:left="212"/>
              <w:spacing w:after="0"/>
              <w:rPr>
                <w:sz w:val="20"/>
                <w:szCs w:val="20"/>
                <w:color w:val="auto"/>
              </w:rPr>
            </w:pPr>
            <w:r>
              <w:rPr>
                <w:rFonts w:ascii="Arial" w:cs="Arial" w:eastAsia="Arial" w:hAnsi="Arial"/>
                <w:sz w:val="18"/>
                <w:szCs w:val="18"/>
                <w:i w:val="1"/>
                <w:iCs w:val="1"/>
                <w:color w:val="auto"/>
                <w:w w:val="98"/>
              </w:rPr>
              <w:t>Director</w:t>
            </w:r>
          </w:p>
        </w:tc>
        <w:tc>
          <w:tcPr>
            <w:tcW w:w="1900" w:type="dxa"/>
            <w:vAlign w:val="bottom"/>
          </w:tcPr>
          <w:p>
            <w:pPr>
              <w:jc w:val="center"/>
              <w:ind w:left="372"/>
              <w:spacing w:after="0"/>
              <w:rPr>
                <w:sz w:val="20"/>
                <w:szCs w:val="20"/>
                <w:color w:val="auto"/>
              </w:rPr>
            </w:pPr>
            <w:r>
              <w:rPr>
                <w:rFonts w:ascii="Arial" w:cs="Arial" w:eastAsia="Arial" w:hAnsi="Arial"/>
                <w:sz w:val="18"/>
                <w:szCs w:val="18"/>
                <w:color w:val="auto"/>
                <w:w w:val="91"/>
              </w:rPr>
              <w:t>November 12,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2"/>
              </w:rPr>
              <w:t>Phillip B. Donenberg</w:t>
            </w:r>
          </w:p>
        </w:tc>
        <w:tc>
          <w:tcPr>
            <w:tcW w:w="47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Annalisa Jenkins</w:t>
            </w:r>
          </w:p>
        </w:tc>
        <w:tc>
          <w:tcPr>
            <w:tcW w:w="4760" w:type="dxa"/>
            <w:vAlign w:val="bottom"/>
          </w:tcPr>
          <w:p>
            <w:pPr>
              <w:jc w:val="center"/>
              <w:ind w:left="212"/>
              <w:spacing w:after="0"/>
              <w:rPr>
                <w:sz w:val="20"/>
                <w:szCs w:val="20"/>
                <w:color w:val="auto"/>
              </w:rPr>
            </w:pPr>
            <w:r>
              <w:rPr>
                <w:rFonts w:ascii="Arial" w:cs="Arial" w:eastAsia="Arial" w:hAnsi="Arial"/>
                <w:sz w:val="18"/>
                <w:szCs w:val="18"/>
                <w:i w:val="1"/>
                <w:iCs w:val="1"/>
                <w:color w:val="auto"/>
                <w:w w:val="98"/>
              </w:rPr>
              <w:t>Director</w:t>
            </w:r>
          </w:p>
        </w:tc>
        <w:tc>
          <w:tcPr>
            <w:tcW w:w="1900" w:type="dxa"/>
            <w:vAlign w:val="bottom"/>
          </w:tcPr>
          <w:p>
            <w:pPr>
              <w:jc w:val="center"/>
              <w:ind w:left="372"/>
              <w:spacing w:after="0"/>
              <w:rPr>
                <w:sz w:val="20"/>
                <w:szCs w:val="20"/>
                <w:color w:val="auto"/>
              </w:rPr>
            </w:pPr>
            <w:r>
              <w:rPr>
                <w:rFonts w:ascii="Arial" w:cs="Arial" w:eastAsia="Arial" w:hAnsi="Arial"/>
                <w:sz w:val="18"/>
                <w:szCs w:val="18"/>
                <w:color w:val="auto"/>
                <w:w w:val="91"/>
              </w:rPr>
              <w:t>November 12,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Annalisa Jenkins, M.B.B.S., F.R.C.P.</w:t>
            </w:r>
          </w:p>
        </w:tc>
        <w:tc>
          <w:tcPr>
            <w:tcW w:w="47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Christopher Paige</w:t>
            </w:r>
          </w:p>
        </w:tc>
        <w:tc>
          <w:tcPr>
            <w:tcW w:w="4760" w:type="dxa"/>
            <w:vAlign w:val="bottom"/>
          </w:tcPr>
          <w:p>
            <w:pPr>
              <w:jc w:val="center"/>
              <w:ind w:left="212"/>
              <w:spacing w:after="0"/>
              <w:rPr>
                <w:sz w:val="20"/>
                <w:szCs w:val="20"/>
                <w:color w:val="auto"/>
              </w:rPr>
            </w:pPr>
            <w:r>
              <w:rPr>
                <w:rFonts w:ascii="Arial" w:cs="Arial" w:eastAsia="Arial" w:hAnsi="Arial"/>
                <w:sz w:val="18"/>
                <w:szCs w:val="18"/>
                <w:i w:val="1"/>
                <w:iCs w:val="1"/>
                <w:color w:val="auto"/>
                <w:w w:val="98"/>
              </w:rPr>
              <w:t>Director</w:t>
            </w:r>
          </w:p>
        </w:tc>
        <w:tc>
          <w:tcPr>
            <w:tcW w:w="1900" w:type="dxa"/>
            <w:vAlign w:val="bottom"/>
          </w:tcPr>
          <w:p>
            <w:pPr>
              <w:jc w:val="center"/>
              <w:ind w:left="372"/>
              <w:spacing w:after="0"/>
              <w:rPr>
                <w:sz w:val="20"/>
                <w:szCs w:val="20"/>
                <w:color w:val="auto"/>
              </w:rPr>
            </w:pPr>
            <w:r>
              <w:rPr>
                <w:rFonts w:ascii="Arial" w:cs="Arial" w:eastAsia="Arial" w:hAnsi="Arial"/>
                <w:sz w:val="18"/>
                <w:szCs w:val="18"/>
                <w:color w:val="auto"/>
                <w:w w:val="91"/>
              </w:rPr>
              <w:t>November 12,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0"/>
              </w:rPr>
              <w:t>Christopher Paige, Ph.D.</w:t>
            </w:r>
          </w:p>
        </w:tc>
        <w:tc>
          <w:tcPr>
            <w:tcW w:w="47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31"/>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Philip Vickers</w:t>
            </w:r>
          </w:p>
        </w:tc>
        <w:tc>
          <w:tcPr>
            <w:tcW w:w="4760" w:type="dxa"/>
            <w:vAlign w:val="bottom"/>
          </w:tcPr>
          <w:p>
            <w:pPr>
              <w:jc w:val="center"/>
              <w:ind w:left="212"/>
              <w:spacing w:after="0"/>
              <w:rPr>
                <w:sz w:val="20"/>
                <w:szCs w:val="20"/>
                <w:color w:val="auto"/>
              </w:rPr>
            </w:pPr>
            <w:r>
              <w:rPr>
                <w:rFonts w:ascii="Arial" w:cs="Arial" w:eastAsia="Arial" w:hAnsi="Arial"/>
                <w:sz w:val="18"/>
                <w:szCs w:val="18"/>
                <w:i w:val="1"/>
                <w:iCs w:val="1"/>
                <w:color w:val="auto"/>
                <w:w w:val="98"/>
              </w:rPr>
              <w:t>Director</w:t>
            </w:r>
          </w:p>
        </w:tc>
        <w:tc>
          <w:tcPr>
            <w:tcW w:w="1900" w:type="dxa"/>
            <w:vAlign w:val="bottom"/>
          </w:tcPr>
          <w:p>
            <w:pPr>
              <w:jc w:val="center"/>
              <w:ind w:left="372"/>
              <w:spacing w:after="0"/>
              <w:rPr>
                <w:sz w:val="20"/>
                <w:szCs w:val="20"/>
                <w:color w:val="auto"/>
              </w:rPr>
            </w:pPr>
            <w:r>
              <w:rPr>
                <w:rFonts w:ascii="Arial" w:cs="Arial" w:eastAsia="Arial" w:hAnsi="Arial"/>
                <w:sz w:val="18"/>
                <w:szCs w:val="18"/>
                <w:color w:val="auto"/>
                <w:w w:val="91"/>
              </w:rPr>
              <w:t>November 12, 2019</w:t>
            </w: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3"/>
              </w:rPr>
              <w:t>Philip Vickers, Ph.D.</w:t>
            </w:r>
          </w:p>
        </w:tc>
        <w:tc>
          <w:tcPr>
            <w:tcW w:w="4760" w:type="dxa"/>
            <w:vAlign w:val="bottom"/>
          </w:tcPr>
          <w:p>
            <w:pPr>
              <w:spacing w:after="0"/>
              <w:rPr>
                <w:sz w:val="19"/>
                <w:szCs w:val="19"/>
                <w:color w:val="auto"/>
              </w:rPr>
            </w:pPr>
          </w:p>
        </w:tc>
        <w:tc>
          <w:tcPr>
            <w:tcW w:w="1900" w:type="dxa"/>
            <w:vAlign w:val="bottom"/>
          </w:tcPr>
          <w:p>
            <w:pPr>
              <w:spacing w:after="0"/>
              <w:rPr>
                <w:sz w:val="19"/>
                <w:szCs w:val="19"/>
                <w:color w:val="auto"/>
              </w:rPr>
            </w:pPr>
          </w:p>
        </w:tc>
      </w:tr>
    </w:tbl>
    <w:p>
      <w:pPr>
        <w:sectPr>
          <w:pgSz w:w="11900" w:h="16838" w:orient="portrait"/>
          <w:cols w:equalWidth="0" w:num="1">
            <w:col w:w="10900"/>
          </w:cols>
          <w:pgMar w:left="440" w:top="270" w:right="55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November 12,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38"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Securities Being Registered under Registration Statement on Form S-8</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We have acted as counsel to you in connection with your filing of a Registration Statement on Form S-8 (the “Registration Statement”) pursuant to the Securities Act of 1933, as amended (the “Securities Act”), on or about the date hereof relating to an aggregate of 261,700 shares (the “Shares”) of Common Stock, $0.0001 par value per share (“Common Stock”), of AVROBIO, Inc., a Delaware corporation (the “Company”), that may be issued pursuant to Non-Qualified Stock Option Agreements, between the Company and certain of its employees, for inducement awards granted on July 29, 2019, August 12, 2019 and October 21, 2019 (collectively, the “Plans”).</w:t>
      </w:r>
    </w:p>
    <w:p>
      <w:pPr>
        <w:spacing w:after="0" w:line="188"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Plans, will be validly issued, fully paid and nonassessable.</w:t>
      </w:r>
    </w:p>
    <w:p>
      <w:pPr>
        <w:spacing w:after="0" w:line="170" w:lineRule="exact"/>
        <w:rPr>
          <w:sz w:val="20"/>
          <w:szCs w:val="20"/>
          <w:color w:val="auto"/>
        </w:rPr>
      </w:pPr>
    </w:p>
    <w:p>
      <w:pPr>
        <w:ind w:right="60" w:firstLine="441"/>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Inducement Stock Option Agreement of AVROBIO, Inc. of our report dated March 25, 2019, with respect to the consolidated financial statements of AVROBIO, Inc. included in its Annual Report (Form 10-K) for the year ended December 31, 2018, filed with the Securities and Exchange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11,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lowerRoman"/>
      <w:start w:val="2"/>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lowerLetter"/>
      <w:start w:val="2"/>
    </w:lvl>
  </w:abstractNum>
  <w:abstractNum w:abstractNumId="10">
    <w:nsid w:val="1F16E9E8"/>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png"/><Relationship Id="rId18" Type="http://schemas.openxmlformats.org/officeDocument/2006/relationships/hyperlink" Target="http://www.sec.gov/Archives/edgar/data/1681087/000119312519085321/d677215d10k.htm" TargetMode="External"/><Relationship Id="rId19" Type="http://schemas.openxmlformats.org/officeDocument/2006/relationships/hyperlink" Target="http://www.sec.gov/Archives/edgar/data/1681087/000119312519120864/d677210ddef14a.htm" TargetMode="External"/><Relationship Id="rId20" Type="http://schemas.openxmlformats.org/officeDocument/2006/relationships/hyperlink" Target="http://www.sec.gov/Archives/edgar/data/1681087/000119312519145337/d704561d10q.htm" TargetMode="External"/><Relationship Id="rId21" Type="http://schemas.openxmlformats.org/officeDocument/2006/relationships/hyperlink" Target="http://www.sec.gov/Archives/edgar/data/1681087/000156459019030417/avro-10q_20190630.htm" TargetMode="External"/><Relationship Id="rId22" Type="http://schemas.openxmlformats.org/officeDocument/2006/relationships/hyperlink" Target="http://www.sec.gov/Archives/edgar/data/1681087/000156459019041704/avro-10q_20190930.htm" TargetMode="External"/><Relationship Id="rId23" Type="http://schemas.openxmlformats.org/officeDocument/2006/relationships/hyperlink" Target="http://www.sec.gov/Archives/edgar/data/1681087/000119312519003876/d667521d8k.htm" TargetMode="External"/><Relationship Id="rId24" Type="http://schemas.openxmlformats.org/officeDocument/2006/relationships/hyperlink" Target="http://www.sec.gov/Archives/edgar/data/1681087/000119312519007398/d666627d8ka.htm" TargetMode="External"/><Relationship Id="rId25" Type="http://schemas.openxmlformats.org/officeDocument/2006/relationships/hyperlink" Target="http://www.sec.gov/Archives/edgar/data/1681087/000119312519013423/d688889d8k.htm" TargetMode="External"/><Relationship Id="rId26" Type="http://schemas.openxmlformats.org/officeDocument/2006/relationships/hyperlink" Target="http://www.sec.gov/Archives/edgar/data/1681087/000119312519028978/d664592d8k.htm" TargetMode="External"/><Relationship Id="rId27" Type="http://schemas.openxmlformats.org/officeDocument/2006/relationships/hyperlink" Target="http://www.sec.gov/Archives/edgar/data/1681087/000119312519123672/d668056d8k.htm" TargetMode="External"/><Relationship Id="rId28" Type="http://schemas.openxmlformats.org/officeDocument/2006/relationships/hyperlink" Target="http://www.sec.gov/Archives/edgar/data/1681087/000119312519170745/d766114d8k.htm" TargetMode="External"/><Relationship Id="rId29" Type="http://schemas.openxmlformats.org/officeDocument/2006/relationships/hyperlink" Target="http://www.sec.gov/Archives/edgar/data/1681087/000119312519193574/d753129d8k.htm" TargetMode="External"/><Relationship Id="rId30" Type="http://schemas.openxmlformats.org/officeDocument/2006/relationships/hyperlink" Target="http://www.sec.gov/Archives/edgar/data/1681087/000119312519195748/d775231d8k.htm" TargetMode="External"/><Relationship Id="rId31" Type="http://schemas.openxmlformats.org/officeDocument/2006/relationships/hyperlink" Target="http://www.sec.gov/Archives/edgar/data/1681087/000119312518195637/d562006d8a12b.htm" TargetMode="External"/><Relationship Id="rId34" Type="http://schemas.openxmlformats.org/officeDocument/2006/relationships/hyperlink" Target="http://www.sec.gov/Archives/edgar/data/1681087/000119312518202460/d153924dex31.htm" TargetMode="External"/><Relationship Id="rId35" Type="http://schemas.openxmlformats.org/officeDocument/2006/relationships/hyperlink" Target="http://www.sec.gov/Archives/edgar/data/1681087/000119312518202460/d153924dex32.htm" TargetMode="External"/><Relationship Id="rId36" Type="http://schemas.openxmlformats.org/officeDocument/2006/relationships/hyperlink" Target="http://www.sec.gov/Archives/edgar/data/1681087/000119312518175024/d562006dex42.htm" TargetMode="External"/><Relationship Id="rId37" Type="http://schemas.openxmlformats.org/officeDocument/2006/relationships/hyperlink" Target="http://www.sec.gov/Archives/edgar/data/1681087/000119312519085335/d724212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2019-11-28T10:13:40Z</dcterms:created>
  <dcterms:modified xsi:type="dcterms:W3CDTF">2019-11-28T10:13:40Z</dcterms:modified>
</cp:coreProperties>
</file>