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02</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-182245</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20" w:space="420"/>
            <w:col w:w="1030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3,917,520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4,505,745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4,508,345</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10.8 %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AVROBIO,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One Kendall Square</w:t>
      </w:r>
    </w:p>
    <w:p>
      <w:pPr>
        <w:jc w:val="both"/>
        <w:ind w:left="1300" w:right="81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Building 300, Suite 201 Cambridge, MA 02139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$0.0001 par value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05455M100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bl>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68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bl>
    <w:p>
      <w:pPr>
        <w:sectPr>
          <w:pgSz w:w="11900" w:h="16904" w:orient="portrait"/>
          <w:cols w:equalWidth="0" w:num="1">
            <w:col w:w="11200"/>
          </w:cols>
          <w:pgMar w:left="320" w:top="509" w:right="3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18"/>
                <w:szCs w:val="18"/>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1141"/>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4,508,345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10.8 %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3,917,520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4,505,745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2021-01-20T12:09:40Z</dcterms:created>
  <dcterms:modified xsi:type="dcterms:W3CDTF">2021-01-20T12:09:40Z</dcterms:modified>
</cp:coreProperties>
</file>