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522605</wp:posOffset>
            </wp:positionH>
            <wp:positionV relativeFrom="page">
              <wp:posOffset>160655</wp:posOffset>
            </wp:positionV>
            <wp:extent cx="651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1290" cy="8255"/>
                    </a:xfrm>
                    <a:prstGeom prst="rect">
                      <a:avLst/>
                    </a:prstGeom>
                    <a:noFill/>
                  </pic:spPr>
                </pic:pic>
              </a:graphicData>
            </a:graphic>
          </wp:anchor>
        </w:drawing>
        <w:drawing>
          <wp:anchor simplePos="0" relativeHeight="251657728" behindDoc="1" locked="0" layoutInCell="0" allowOverlap="1">
            <wp:simplePos x="0" y="0"/>
            <wp:positionH relativeFrom="page">
              <wp:posOffset>522605</wp:posOffset>
            </wp:positionH>
            <wp:positionV relativeFrom="page">
              <wp:posOffset>200660</wp:posOffset>
            </wp:positionV>
            <wp:extent cx="651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1290" cy="8255"/>
                    </a:xfrm>
                    <a:prstGeom prst="rect">
                      <a:avLst/>
                    </a:prstGeom>
                    <a:noFill/>
                  </pic:spPr>
                </pic:pic>
              </a:graphicData>
            </a:graphic>
          </wp:anchor>
        </w:drawing>
        <w:t>UNITED STATES</w:t>
      </w:r>
    </w:p>
    <w:p>
      <w:pPr>
        <w:spacing w:after="0" w:line="3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207010</wp:posOffset>
            </wp:positionV>
            <wp:extent cx="1364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240030</wp:posOffset>
            </wp:positionV>
            <wp:extent cx="1364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7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223520</wp:posOffset>
            </wp:positionV>
            <wp:extent cx="1364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40"/>
          <w:szCs w:val="40"/>
          <w:b w:val="1"/>
          <w:bCs w:val="1"/>
          <w:color w:val="auto"/>
        </w:rPr>
        <w:t>AVROBIO, Inc.</w:t>
      </w:r>
    </w:p>
    <w:p>
      <w:pPr>
        <w:spacing w:after="0" w:line="5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210185</wp:posOffset>
            </wp:positionV>
            <wp:extent cx="1364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sectPr>
      </w:pPr>
    </w:p>
    <w:p>
      <w:pPr>
        <w:spacing w:after="0" w:line="200" w:lineRule="exact"/>
        <w:rPr>
          <w:sz w:val="24"/>
          <w:szCs w:val="24"/>
          <w:color w:val="auto"/>
        </w:rPr>
      </w:pPr>
    </w:p>
    <w:p>
      <w:pPr>
        <w:spacing w:after="0" w:line="387" w:lineRule="exact"/>
        <w:rPr>
          <w:sz w:val="24"/>
          <w:szCs w:val="24"/>
          <w:color w:val="auto"/>
        </w:rPr>
      </w:pPr>
    </w:p>
    <w:p>
      <w:pPr>
        <w:ind w:left="1403"/>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81-0710585</w:t>
      </w:r>
    </w:p>
    <w:p>
      <w:pPr>
        <w:spacing w:after="0" w:line="20" w:lineRule="exact"/>
        <w:rPr>
          <w:sz w:val="24"/>
          <w:szCs w:val="24"/>
          <w:color w:val="auto"/>
        </w:rPr>
      </w:pPr>
    </w:p>
    <w:p>
      <w:pPr>
        <w:sectPr>
          <w:pgSz w:w="11900" w:h="16838" w:orient="portrait"/>
          <w:cols w:equalWidth="0" w:num="3">
            <w:col w:w="4143" w:space="720"/>
            <w:col w:w="2620" w:space="720"/>
            <w:col w:w="2060"/>
          </w:cols>
          <w:pgMar w:left="817" w:top="421" w:right="819" w:bottom="1440" w:gutter="0" w:footer="0" w:header="0"/>
          <w:type w:val="continuous"/>
        </w:sectPr>
      </w:pPr>
    </w:p>
    <w:p>
      <w:pPr>
        <w:jc w:val="center"/>
        <w:ind w:right="63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37"/>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88" w:lineRule="exact"/>
        <w:rPr>
          <w:sz w:val="24"/>
          <w:szCs w:val="24"/>
          <w:color w:val="auto"/>
        </w:rPr>
      </w:pPr>
    </w:p>
    <w:p>
      <w:pPr>
        <w:sectPr>
          <w:pgSz w:w="11900" w:h="16838" w:orient="portrait"/>
          <w:cols w:equalWidth="0" w:num="3">
            <w:col w:w="4123" w:space="720"/>
            <w:col w:w="2520" w:space="720"/>
            <w:col w:w="2180"/>
          </w:cols>
          <w:pgMar w:left="817" w:top="421" w:right="819" w:bottom="1440" w:gutter="0" w:footer="0" w:header="0"/>
          <w:type w:val="continuous"/>
        </w:sect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One Broadway</w:t>
      </w:r>
    </w:p>
    <w:p>
      <w:pPr>
        <w:spacing w:after="0" w:line="2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7"/>
          <w:szCs w:val="17"/>
          <w:b w:val="1"/>
          <w:bCs w:val="1"/>
          <w:color w:val="auto"/>
        </w:rPr>
        <w:t xml:space="preserve"> Floor</w:t>
      </w:r>
    </w:p>
    <w:p>
      <w:pPr>
        <w:spacing w:after="0" w:line="5"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Cambridge, MA 02142</w:t>
      </w: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7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(617) 914-8420</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7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204470</wp:posOffset>
            </wp:positionV>
            <wp:extent cx="1364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type w:val="continuous"/>
        </w:sectPr>
      </w:pPr>
    </w:p>
    <w:p>
      <w:pPr>
        <w:spacing w:after="0" w:line="200" w:lineRule="exact"/>
        <w:rPr>
          <w:sz w:val="24"/>
          <w:szCs w:val="24"/>
          <w:color w:val="auto"/>
        </w:rPr>
      </w:pPr>
    </w:p>
    <w:p>
      <w:pPr>
        <w:spacing w:after="0" w:line="319" w:lineRule="exact"/>
        <w:rPr>
          <w:sz w:val="24"/>
          <w:szCs w:val="24"/>
          <w:color w:val="auto"/>
        </w:rPr>
      </w:pPr>
    </w:p>
    <w:p>
      <w:pPr>
        <w:ind w:left="3" w:right="440"/>
        <w:spacing w:after="0" w:line="27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403" w:hanging="403"/>
        <w:spacing w:after="0"/>
        <w:tabs>
          <w:tab w:leader="none" w:pos="4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9" w:lineRule="exact"/>
        <w:rPr>
          <w:sz w:val="24"/>
          <w:szCs w:val="24"/>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8" w:lineRule="exact"/>
        <w:rPr>
          <w:rFonts w:ascii="MS PGothic" w:cs="MS PGothic" w:eastAsia="MS PGothic" w:hAnsi="MS PGothic"/>
          <w:sz w:val="17"/>
          <w:szCs w:val="17"/>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8" w:lineRule="exact"/>
        <w:rPr>
          <w:rFonts w:ascii="MS PGothic" w:cs="MS PGothic" w:eastAsia="MS PGothic" w:hAnsi="MS PGothic"/>
          <w:sz w:val="17"/>
          <w:szCs w:val="17"/>
          <w:color w:val="auto"/>
        </w:rPr>
      </w:pPr>
    </w:p>
    <w:p>
      <w:pPr>
        <w:ind w:left="403" w:hanging="403"/>
        <w:spacing w:after="0"/>
        <w:tabs>
          <w:tab w:leader="none" w:pos="40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3" w:lineRule="exact"/>
        <w:rPr>
          <w:sz w:val="24"/>
          <w:szCs w:val="24"/>
          <w:color w:val="auto"/>
        </w:rPr>
      </w:pPr>
    </w:p>
    <w:tbl>
      <w:tblPr>
        <w:tblLayout w:type="fixed"/>
        <w:tblInd w:w="3" w:type="dxa"/>
        <w:tblCellMar>
          <w:top w:w="0" w:type="dxa"/>
          <w:left w:w="0" w:type="dxa"/>
          <w:bottom w:w="0" w:type="dxa"/>
          <w:right w:w="0" w:type="dxa"/>
        </w:tblCellMar>
      </w:tblPr>
      <w:tr>
        <w:trPr>
          <w:trHeight w:val="149"/>
        </w:trPr>
        <w:tc>
          <w:tcPr>
            <w:tcW w:w="3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5"/>
        </w:trPr>
        <w:tc>
          <w:tcPr>
            <w:tcW w:w="3600" w:type="dxa"/>
            <w:vAlign w:val="bottom"/>
            <w:gridSpan w:val="2"/>
            <w:vMerge w:val="continue"/>
          </w:tcPr>
          <w:p>
            <w:pPr>
              <w:spacing w:after="0"/>
              <w:rPr>
                <w:sz w:val="15"/>
                <w:szCs w:val="15"/>
                <w:color w:val="auto"/>
              </w:rPr>
            </w:pPr>
          </w:p>
        </w:tc>
        <w:tc>
          <w:tcPr>
            <w:tcW w:w="3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Common Stock, $0.0001 par value per share</w:t>
            </w:r>
          </w:p>
        </w:tc>
        <w:tc>
          <w:tcPr>
            <w:tcW w:w="12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AVRO</w:t>
            </w:r>
          </w:p>
        </w:tc>
        <w:tc>
          <w:tcPr>
            <w:tcW w:w="1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Nasdaq Global Select Market</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3" w:right="2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0" w:lineRule="exact"/>
        <w:rPr>
          <w:sz w:val="24"/>
          <w:szCs w:val="24"/>
          <w:color w:val="auto"/>
        </w:rPr>
      </w:pPr>
    </w:p>
    <w:p>
      <w:pPr>
        <w:ind w:left="3"/>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5" w:lineRule="exact"/>
        <w:rPr>
          <w:sz w:val="24"/>
          <w:szCs w:val="24"/>
          <w:color w:val="auto"/>
        </w:rPr>
      </w:pPr>
    </w:p>
    <w:p>
      <w:pPr>
        <w:ind w:left="3" w:right="28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651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12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6511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1290" cy="8255"/>
                    </a:xfrm>
                    <a:prstGeom prst="rect">
                      <a:avLst/>
                    </a:prstGeom>
                    <a:noFill/>
                  </pic:spPr>
                </pic:pic>
              </a:graphicData>
            </a:graphic>
          </wp:anchor>
        </w:drawing>
      </w:r>
    </w:p>
    <w:p>
      <w:pPr>
        <w:sectPr>
          <w:pgSz w:w="11900" w:h="16838" w:orient="portrait"/>
          <w:cols w:equalWidth="0" w:num="1">
            <w:col w:w="10263"/>
          </w:cols>
          <w:pgMar w:left="817" w:top="421" w:right="81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As previously disclosed, AVROBIO, Inc., a Delaware corporation (“</w:t>
      </w:r>
      <w:r>
        <w:rPr>
          <w:rFonts w:ascii="Times New Roman" w:cs="Times New Roman" w:eastAsia="Times New Roman" w:hAnsi="Times New Roman"/>
          <w:sz w:val="17"/>
          <w:szCs w:val="17"/>
          <w:b w:val="1"/>
          <w:bCs w:val="1"/>
          <w:i w:val="1"/>
          <w:iCs w:val="1"/>
          <w:color w:val="auto"/>
        </w:rPr>
        <w:t>AVROBIO</w:t>
      </w:r>
      <w:r>
        <w:rPr>
          <w:rFonts w:ascii="Times New Roman" w:cs="Times New Roman" w:eastAsia="Times New Roman" w:hAnsi="Times New Roman"/>
          <w:sz w:val="17"/>
          <w:szCs w:val="17"/>
          <w:color w:val="auto"/>
        </w:rPr>
        <w:t>”), and Tectonic Therapeutic, Inc., a Delaware corporation (“</w:t>
      </w:r>
      <w:r>
        <w:rPr>
          <w:rFonts w:ascii="Times New Roman" w:cs="Times New Roman" w:eastAsia="Times New Roman" w:hAnsi="Times New Roman"/>
          <w:sz w:val="17"/>
          <w:szCs w:val="17"/>
          <w:b w:val="1"/>
          <w:bCs w:val="1"/>
          <w:i w:val="1"/>
          <w:iCs w:val="1"/>
          <w:color w:val="auto"/>
        </w:rPr>
        <w:t>Tectonic</w:t>
      </w:r>
      <w:r>
        <w:rPr>
          <w:rFonts w:ascii="Times New Roman" w:cs="Times New Roman" w:eastAsia="Times New Roman" w:hAnsi="Times New Roman"/>
          <w:sz w:val="17"/>
          <w:szCs w:val="17"/>
          <w:color w:val="auto"/>
        </w:rPr>
        <w:t>”), entered into an Agreement and Plan of Merger and Reorganization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on January 30, 2024, pursuant to which, among other matters, Alpine Merger Subsidiary, Inc., a direct, wholly owned subsidiary of AVROBIO (“</w:t>
      </w:r>
      <w:r>
        <w:rPr>
          <w:rFonts w:ascii="Times New Roman" w:cs="Times New Roman" w:eastAsia="Times New Roman" w:hAnsi="Times New Roman"/>
          <w:sz w:val="17"/>
          <w:szCs w:val="17"/>
          <w:b w:val="1"/>
          <w:bCs w:val="1"/>
          <w:i w:val="1"/>
          <w:iCs w:val="1"/>
          <w:color w:val="auto"/>
        </w:rPr>
        <w:t>Merger Sub</w:t>
      </w:r>
      <w:r>
        <w:rPr>
          <w:rFonts w:ascii="Times New Roman" w:cs="Times New Roman" w:eastAsia="Times New Roman" w:hAnsi="Times New Roman"/>
          <w:sz w:val="17"/>
          <w:szCs w:val="17"/>
          <w:color w:val="auto"/>
        </w:rPr>
        <w:t>”), will merge with and into Tectonic, with Tectonic surviving as a wholly owned subsidiary of AVROBIO (such transaction, the “</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After the completion of the merger, AVROBIO will change its corporate name to “Tectonic Therapeutic, Inc.”</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Litigation</w:t>
      </w:r>
    </w:p>
    <w:p>
      <w:pPr>
        <w:spacing w:after="0" w:line="1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In connection with the merger, AVROBIO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 Form S-4 Registration Statement on February 14, 2024, as amended on March 26, 2024, April 15, 2024, and April 29, 2024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xml:space="preserve">”) with respect to the special meeting of AVROBIO’s stockholders scheduled to be held on June 11, 2024. Following the announcement of the merger and as of the time of the filing of these Supplemental Disclosures (as defined below), three actions were filed by purported AVROBIO stockholders in connection with the merger. One action has been filed in the United States District Court for the Southern District of New York captioned </w:t>
      </w:r>
      <w:r>
        <w:rPr>
          <w:rFonts w:ascii="Times New Roman" w:cs="Times New Roman" w:eastAsia="Times New Roman" w:hAnsi="Times New Roman"/>
          <w:sz w:val="17"/>
          <w:szCs w:val="17"/>
          <w:i w:val="1"/>
          <w:iCs w:val="1"/>
          <w:color w:val="auto"/>
        </w:rPr>
        <w:t>Garofalo v. Avrobio, Inc. et al</w:t>
      </w:r>
      <w:r>
        <w:rPr>
          <w:rFonts w:ascii="Times New Roman" w:cs="Times New Roman" w:eastAsia="Times New Roman" w:hAnsi="Times New Roman"/>
          <w:sz w:val="17"/>
          <w:szCs w:val="17"/>
          <w:color w:val="auto"/>
        </w:rPr>
        <w:t xml:space="preserve">., 24-cv-1493 (filed February 27, 2024). Two actions have been filed in the Supreme Court of New York, captioned </w:t>
      </w:r>
      <w:r>
        <w:rPr>
          <w:rFonts w:ascii="Times New Roman" w:cs="Times New Roman" w:eastAsia="Times New Roman" w:hAnsi="Times New Roman"/>
          <w:sz w:val="17"/>
          <w:szCs w:val="17"/>
          <w:i w:val="1"/>
          <w:iCs w:val="1"/>
          <w:color w:val="auto"/>
        </w:rPr>
        <w:t>Price v. Avrobio, Inc., et al</w:t>
      </w:r>
      <w:r>
        <w:rPr>
          <w:rFonts w:ascii="Times New Roman" w:cs="Times New Roman" w:eastAsia="Times New Roman" w:hAnsi="Times New Roman"/>
          <w:sz w:val="17"/>
          <w:szCs w:val="17"/>
          <w:color w:val="auto"/>
        </w:rPr>
        <w:t xml:space="preserve">., No. 652555/2024 (filed May 17, 2024) and </w:t>
      </w:r>
      <w:r>
        <w:rPr>
          <w:rFonts w:ascii="Times New Roman" w:cs="Times New Roman" w:eastAsia="Times New Roman" w:hAnsi="Times New Roman"/>
          <w:sz w:val="17"/>
          <w:szCs w:val="17"/>
          <w:i w:val="1"/>
          <w:iCs w:val="1"/>
          <w:color w:val="auto"/>
        </w:rPr>
        <w:t>Keller v. Avrobio, Inc., et al</w:t>
      </w:r>
      <w:r>
        <w:rPr>
          <w:rFonts w:ascii="Times New Roman" w:cs="Times New Roman" w:eastAsia="Times New Roman" w:hAnsi="Times New Roman"/>
          <w:sz w:val="17"/>
          <w:szCs w:val="17"/>
          <w:color w:val="auto"/>
        </w:rPr>
        <w:t>., No. 652597/2024 (filed May 21, 204). The foregoing actions are referred to as the “</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Actions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7"/>
          <w:szCs w:val="17"/>
          <w:i w:val="1"/>
          <w:iCs w:val="1"/>
          <w:color w:val="auto"/>
        </w:rPr>
        <w:t xml:space="preserve">Garofalo </w:t>
      </w:r>
      <w:r>
        <w:rPr>
          <w:rFonts w:ascii="Times New Roman" w:cs="Times New Roman" w:eastAsia="Times New Roman" w:hAnsi="Times New Roman"/>
          <w:sz w:val="17"/>
          <w:szCs w:val="17"/>
          <w:color w:val="auto"/>
        </w:rPr>
        <w:t>action asserts violations of Section 14(a) of the Exchange Act and Rule 14a-9 promulgated thereunder against all defendants (AVROBIO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board of directors of AVROBIO) and violations of Section 20(a) of the Exchange Act against AVROBIO’s directors. The </w:t>
      </w:r>
      <w:r>
        <w:rPr>
          <w:rFonts w:ascii="Times New Roman" w:cs="Times New Roman" w:eastAsia="Times New Roman" w:hAnsi="Times New Roman"/>
          <w:sz w:val="17"/>
          <w:szCs w:val="17"/>
          <w:i w:val="1"/>
          <w:iCs w:val="1"/>
          <w:color w:val="auto"/>
        </w:rPr>
        <w:t>Price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Keller</w:t>
      </w:r>
      <w:r>
        <w:rPr>
          <w:rFonts w:ascii="Times New Roman" w:cs="Times New Roman" w:eastAsia="Times New Roman" w:hAnsi="Times New Roman"/>
          <w:sz w:val="17"/>
          <w:szCs w:val="17"/>
          <w:color w:val="auto"/>
        </w:rPr>
        <w:t xml:space="preserve"> actions assert claims for breach of fiduciary duty against all defendants. The Merger Actions seek, among other things, an injunction enjoining the consummation of the merger, costs of the action, including plaintiff’s attorneys’ fees and experts’ fees and other relief the court may deem just and proper.</w:t>
      </w:r>
    </w:p>
    <w:p>
      <w:pPr>
        <w:spacing w:after="0" w:line="173"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7"/>
          <w:szCs w:val="17"/>
          <w:color w:val="auto"/>
        </w:rPr>
        <w:t>AVROBIO also received demand letters from eleven purported AVROBIO stockholders (the “</w:t>
      </w:r>
      <w:r>
        <w:rPr>
          <w:rFonts w:ascii="Times New Roman" w:cs="Times New Roman" w:eastAsia="Times New Roman" w:hAnsi="Times New Roman"/>
          <w:sz w:val="17"/>
          <w:szCs w:val="17"/>
          <w:b w:val="1"/>
          <w:bCs w:val="1"/>
          <w:i w:val="1"/>
          <w:iCs w:val="1"/>
          <w:color w:val="auto"/>
        </w:rPr>
        <w:t>Demands</w:t>
      </w:r>
      <w:r>
        <w:rPr>
          <w:rFonts w:ascii="Times New Roman" w:cs="Times New Roman" w:eastAsia="Times New Roman" w:hAnsi="Times New Roman"/>
          <w:sz w:val="17"/>
          <w:szCs w:val="17"/>
          <w:color w:val="auto"/>
        </w:rPr>
        <w:t>”). The Demands generally assert that the Registration Statement misrepresents and/or omits certain purportedly material information relating to the merger.</w:t>
      </w:r>
    </w:p>
    <w:p>
      <w:pPr>
        <w:spacing w:after="0" w:line="1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AVROBIO cannot predict the outcome of the Merger Actions or the Demands. AVROBIO believes that the Merger Actions and Demands are without merit. If additional complaints are filed or demands are received, absent new or significantly different allegations, AVROBIO will not necessarily disclose such additional complaints or demands.</w:t>
      </w:r>
    </w:p>
    <w:p>
      <w:pPr>
        <w:spacing w:after="0" w:line="16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AVROBIO believes that the disclosures set forth in the Registration Statement comply fully with all applicable law, that no supplemental disclosures are required under applicable law, and that the allegations in the Merger Actions and Demands are without merit. However, in order to moot the claims in the Merger Actions and Demands, avoid nuisance and possible expense and business delays, and provide additional information to its stockholders, and without admitting any liability or wrongdoing, AVROBIO has decided voluntarily to supplement certain disclosures in the Registration Statement (the “</w:t>
      </w:r>
      <w:r>
        <w:rPr>
          <w:rFonts w:ascii="Times New Roman" w:cs="Times New Roman" w:eastAsia="Times New Roman" w:hAnsi="Times New Roman"/>
          <w:sz w:val="17"/>
          <w:szCs w:val="17"/>
          <w:b w:val="1"/>
          <w:bCs w:val="1"/>
          <w:i w:val="1"/>
          <w:iCs w:val="1"/>
          <w:color w:val="auto"/>
        </w:rPr>
        <w:t>Supplemental Disclosures</w:t>
      </w:r>
      <w:r>
        <w:rPr>
          <w:rFonts w:ascii="Times New Roman" w:cs="Times New Roman" w:eastAsia="Times New Roman" w:hAnsi="Times New Roman"/>
          <w:sz w:val="17"/>
          <w:szCs w:val="17"/>
          <w:color w:val="auto"/>
        </w:rPr>
        <w:t>”). Nothing in the Supplemental Disclosures shall be deemed an admission of the legal necessity or materiality under applicable laws of any of the disclosures set forth herein. To the contrary, AVROBIO specifically denies all allegations in the Merger Actions and the Demands and that any additional disclosure was or is required or material.</w:t>
      </w:r>
    </w:p>
    <w:p>
      <w:pPr>
        <w:sectPr>
          <w:pgSz w:w="11900" w:h="16838" w:orient="portrait"/>
          <w:cols w:equalWidth="0" w:num="1">
            <w:col w:w="10220"/>
          </w:cols>
          <w:pgMar w:left="820" w:top="257" w:right="859" w:bottom="1440" w:gutter="0" w:footer="0" w:header="0"/>
        </w:sectPr>
      </w:pPr>
    </w:p>
    <w:bookmarkStart w:id="2" w:name="page3"/>
    <w:bookmarkEnd w:id="2"/>
    <w:p>
      <w:pPr>
        <w:ind w:right="4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36830"/>
                    </a:xfrm>
                    <a:prstGeom prst="rect">
                      <a:avLst/>
                    </a:prstGeom>
                    <a:noFill/>
                  </pic:spPr>
                </pic:pic>
              </a:graphicData>
            </a:graphic>
          </wp:anchor>
        </w:drawing>
        <w:t xml:space="preserve">The Supplemental Disclosures supplement the disclosures contained in the Registration Statement and should be read in conjunction with the disclosures contained in the Registration Statement, which in turn should be read in its entirety. To the extent that information set forth in the Supplemental Disclosures differs from or updates information contained in the Registration Statement, the information in the Supplemental Disclosures shall supersede or supplement the information contained in the Registration Statement. All page references used herein are to the Registration Statement and capitalized or defined terms used herein, but not otherwise defined, shall have the meanings ascribed to such terms in the Registration Statement. To the extent that certain disclosures contained in the Registration Statement are amended and restated in the Supplemental Disclosures, any additional language is indicated by </w:t>
      </w:r>
      <w:r>
        <w:rPr>
          <w:rFonts w:ascii="Times New Roman" w:cs="Times New Roman" w:eastAsia="Times New Roman" w:hAnsi="Times New Roman"/>
          <w:sz w:val="17"/>
          <w:szCs w:val="17"/>
          <w:b w:val="1"/>
          <w:bCs w:val="1"/>
          <w:u w:val="single" w:color="auto"/>
          <w:color w:val="auto"/>
        </w:rPr>
        <w:t>bold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underlined text</w:t>
      </w:r>
      <w:r>
        <w:rPr>
          <w:rFonts w:ascii="Times New Roman" w:cs="Times New Roman" w:eastAsia="Times New Roman" w:hAnsi="Times New Roman"/>
          <w:sz w:val="17"/>
          <w:szCs w:val="17"/>
          <w:color w:val="auto"/>
        </w:rPr>
        <w:t xml:space="preserve"> and deletions are indicated by </w:t>
      </w:r>
      <w:r>
        <w:rPr>
          <w:rFonts w:ascii="Times New Roman" w:cs="Times New Roman" w:eastAsia="Times New Roman" w:hAnsi="Times New Roman"/>
          <w:sz w:val="17"/>
          <w:szCs w:val="17"/>
          <w:color w:val="auto"/>
          <w:strike w:val="1"/>
        </w:rPr>
        <w:t>strikethrough</w:t>
      </w:r>
      <w:r>
        <w:rPr>
          <w:rFonts w:ascii="Times New Roman" w:cs="Times New Roman" w:eastAsia="Times New Roman" w:hAnsi="Times New Roman"/>
          <w:sz w:val="17"/>
          <w:szCs w:val="17"/>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to the Registration Statement</w:t>
      </w:r>
    </w:p>
    <w:p>
      <w:pPr>
        <w:spacing w:after="0" w:line="10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“Background of the Merger” is hereby amended and supplemented by replacing the first full paragraph on page 189 of the Registration Statement in its entirety with the following:</w:t>
      </w:r>
    </w:p>
    <w:p>
      <w:pPr>
        <w:spacing w:after="0" w:line="5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On November 11, 2023, Tectonic submitted a written indication of interest to AVROBIO proposing a reverse merger transaction (the “</w:t>
      </w:r>
      <w:r>
        <w:rPr>
          <w:rFonts w:ascii="Times New Roman" w:cs="Times New Roman" w:eastAsia="Times New Roman" w:hAnsi="Times New Roman"/>
          <w:sz w:val="17"/>
          <w:szCs w:val="17"/>
          <w:b w:val="1"/>
          <w:bCs w:val="1"/>
          <w:i w:val="1"/>
          <w:iCs w:val="1"/>
          <w:color w:val="auto"/>
        </w:rPr>
        <w:t>Tectonic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November 11, 2023 Proposal</w:t>
      </w:r>
      <w:r>
        <w:rPr>
          <w:rFonts w:ascii="Times New Roman" w:cs="Times New Roman" w:eastAsia="Times New Roman" w:hAnsi="Times New Roman"/>
          <w:sz w:val="17"/>
          <w:szCs w:val="17"/>
          <w:color w:val="auto"/>
        </w:rPr>
        <w:t>”). The Tectonic November 11, 2023 Proposal contemplated a valuation for AVROBIO of $70 million (including a targeted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$65 million of net cash at closing and a $5 million proposed valuation of AVROBIO’s public company listing), a valuation for Tectonic of $150 million (which was equal to the agreed upon valuation of Tectonic in a recently negotiated term sheet for a transaction Tectonic and the Tectonic Board had previously considered), and a potential concurrent private placement investment in a range of $125 million to $150 million to help fund the combined company following the merger. The Tectonic November 11, 2023 Proposal also communicated Tectonic’s willingness to offer CVRs or other monetization mechanisms to pre-closing AVROBIO shareholders in connection with any post-closing transaction to monetize AVROBIO’s pre-closing assets. </w:t>
      </w:r>
      <w:r>
        <w:rPr>
          <w:rFonts w:ascii="Times New Roman" w:cs="Times New Roman" w:eastAsia="Times New Roman" w:hAnsi="Times New Roman"/>
          <w:sz w:val="17"/>
          <w:szCs w:val="17"/>
          <w:b w:val="1"/>
          <w:bCs w:val="1"/>
          <w:u w:val="single" w:color="auto"/>
          <w:color w:val="auto"/>
        </w:rPr>
        <w:t>The Tectonic November 11, 2023 Proposal also contemplated that the combined company’s board would include 5-6 directors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Tectonic and one director from AVROBIO.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Tectonic November 11, 2023 Proposal was promptly shared with the AVROBIO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w:t>
      </w:r>
    </w:p>
    <w:p>
      <w:pPr>
        <w:spacing w:after="0" w:line="17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“Background of the Merger” is hereby amended and supplemented by replacing the fifth full paragraph on page 187 of the Registration Statement in its entirety with the following:</w:t>
      </w:r>
    </w:p>
    <w:p>
      <w:pPr>
        <w:spacing w:after="0" w:line="1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 xml:space="preserve">On October 24, 2023, AVROBIO and Tectonic entered into a mutual confidentiality agreement, which included a customary “standstill” provision binding on Tectonic subject to customary fallaway provisions. </w:t>
      </w:r>
      <w:r>
        <w:rPr>
          <w:rFonts w:ascii="Times New Roman" w:cs="Times New Roman" w:eastAsia="Times New Roman" w:hAnsi="Times New Roman"/>
          <w:sz w:val="17"/>
          <w:szCs w:val="17"/>
          <w:b w:val="1"/>
          <w:bCs w:val="1"/>
          <w:u w:val="single" w:color="auto"/>
          <w:color w:val="auto"/>
        </w:rPr>
        <w:t>At no point during the negotiation process with Tectonic leading up to the execution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of the Merger Agreement did any employee of AVROBIO enter into any formal or informal agreement, arrangement, or understanding (whether or not binding) regarding continuing employment after closing of the contemplated transaction.</w:t>
      </w:r>
    </w:p>
    <w:p>
      <w:pPr>
        <w:spacing w:after="0" w:line="17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subheading “Opinion of Houlihan Lokey to the AVROBIO Board” is hereby amended and supplemented by replacing the chart on page 213 and 214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16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r>
              <w:rPr>
                <w:rFonts w:ascii="Times New Roman" w:cs="Times New Roman" w:eastAsia="Times New Roman" w:hAnsi="Times New Roman"/>
                <w:sz w:val="13"/>
                <w:szCs w:val="13"/>
                <w:b w:val="1"/>
                <w:bCs w:val="1"/>
                <w:i w:val="1"/>
                <w:iCs w:val="1"/>
                <w:color w:val="auto"/>
              </w:rPr>
              <w:t>, except per share values</w:t>
            </w:r>
            <w:r>
              <w:rPr>
                <w:rFonts w:ascii="Times New Roman" w:cs="Times New Roman" w:eastAsia="Times New Roman" w:hAnsi="Times New Roman"/>
                <w:sz w:val="13"/>
                <w:szCs w:val="13"/>
                <w:i w:val="1"/>
                <w:iCs w:val="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Lead Product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0" w:type="dxa"/>
            <w:vAlign w:val="bottom"/>
          </w:tcPr>
          <w:p>
            <w:pPr>
              <w:spacing w:after="0"/>
              <w:rPr>
                <w:sz w:val="11"/>
                <w:szCs w:val="11"/>
                <w:color w:val="auto"/>
              </w:rPr>
            </w:pP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color w:val="auto"/>
              </w:rPr>
              <w:t>Enterprise</w:t>
            </w:r>
          </w:p>
        </w:tc>
        <w:tc>
          <w:tcPr>
            <w:tcW w:w="1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1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auto"/>
              </w:rPr>
              <w:t>Selected Cardiovascular Companies</w:t>
            </w:r>
          </w:p>
        </w:tc>
        <w:tc>
          <w:tcPr>
            <w:tcW w:w="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gridSpan w:val="3"/>
          </w:tcPr>
          <w:p>
            <w:pPr>
              <w:jc w:val="center"/>
              <w:ind w:left="153"/>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Phase</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Therapeutic Category</w:t>
            </w:r>
          </w:p>
        </w:tc>
        <w:tc>
          <w:tcPr>
            <w:tcW w:w="200" w:type="dxa"/>
            <w:vAlign w:val="bottom"/>
          </w:tcPr>
          <w:p>
            <w:pPr>
              <w:spacing w:after="0"/>
              <w:rPr>
                <w:sz w:val="12"/>
                <w:szCs w:val="12"/>
                <w:color w:val="auto"/>
              </w:rPr>
            </w:pP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Therapeutic Indication</w:t>
            </w:r>
          </w:p>
        </w:tc>
        <w:tc>
          <w:tcPr>
            <w:tcW w:w="0" w:type="dxa"/>
            <w:vAlign w:val="bottom"/>
          </w:tcPr>
          <w:p>
            <w:pPr>
              <w:spacing w:after="0"/>
              <w:rPr>
                <w:sz w:val="1"/>
                <w:szCs w:val="1"/>
                <w:color w:val="auto"/>
              </w:rPr>
            </w:pPr>
          </w:p>
        </w:tc>
      </w:tr>
      <w:tr>
        <w:trPr>
          <w:trHeight w:val="170"/>
        </w:trPr>
        <w:tc>
          <w:tcPr>
            <w:tcW w:w="41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Aerovate Therapeutics, Inc.</w:t>
            </w:r>
          </w:p>
        </w:tc>
        <w:tc>
          <w:tcPr>
            <w:tcW w:w="222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u w:val="single" w:color="auto"/>
                <w:color w:val="auto"/>
                <w:w w:val="97"/>
              </w:rPr>
              <w:t>$</w:t>
            </w:r>
          </w:p>
        </w:tc>
        <w:tc>
          <w:tcPr>
            <w:tcW w:w="3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17.68</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489.2</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354.0</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24" w:lineRule="exact"/>
              <w:rPr>
                <w:sz w:val="20"/>
                <w:szCs w:val="20"/>
                <w:color w:val="auto"/>
              </w:rPr>
            </w:pPr>
            <w:r>
              <w:rPr>
                <w:rFonts w:ascii="Times New Roman" w:cs="Times New Roman" w:eastAsia="Times New Roman" w:hAnsi="Times New Roman"/>
                <w:sz w:val="13"/>
                <w:szCs w:val="13"/>
                <w:color w:val="auto"/>
              </w:rPr>
              <w:t>Phase II-B / III</w:t>
            </w:r>
          </w:p>
        </w:tc>
        <w:tc>
          <w:tcPr>
            <w:tcW w:w="2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Cardiovascular</w:t>
            </w:r>
          </w:p>
        </w:tc>
        <w:tc>
          <w:tcPr>
            <w:tcW w:w="2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48"/>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Cereno Scientific AB (publ)</w:t>
            </w: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0.44</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103.5</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Phase II</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4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Gossamer Bio, Inc.</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0.80</w:t>
            </w:r>
          </w:p>
        </w:tc>
        <w:tc>
          <w:tcPr>
            <w:tcW w:w="3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180.3</w:t>
            </w:r>
          </w:p>
        </w:tc>
        <w:tc>
          <w:tcPr>
            <w:tcW w:w="3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III</w:t>
            </w:r>
          </w:p>
        </w:tc>
        <w:tc>
          <w:tcPr>
            <w:tcW w:w="1380" w:type="dxa"/>
            <w:vAlign w:val="bottom"/>
            <w:gridSpan w:val="2"/>
            <w:shd w:val="clear" w:color="auto" w:fill="CCEEFF"/>
          </w:tcPr>
          <w:p>
            <w:pPr>
              <w:ind w:left="200"/>
              <w:spacing w:after="0" w:line="138"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48"/>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Pharmosa Biopharm Inc.</w:t>
            </w: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333.9</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III</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Tenax Therapeutics, Inc.</w:t>
            </w: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r>
              <w:rPr>
                <w:rFonts w:ascii="Times New Roman" w:cs="Times New Roman" w:eastAsia="Times New Roman" w:hAnsi="Times New Roman"/>
                <w:sz w:val="13"/>
                <w:szCs w:val="13"/>
                <w:b w:val="1"/>
                <w:bCs w:val="1"/>
                <w:u w:val="single" w:color="auto"/>
                <w:color w:val="auto"/>
              </w:rPr>
              <w:t>0</w:t>
            </w:r>
          </w:p>
        </w:tc>
        <w:tc>
          <w:tcPr>
            <w:tcW w:w="3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73"/>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140" w:type="dxa"/>
            <w:vAlign w:val="bottom"/>
            <w:gridSpan w:val="2"/>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Phase III - Starting</w:t>
            </w:r>
          </w:p>
        </w:tc>
        <w:tc>
          <w:tcPr>
            <w:tcW w:w="1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Pulmonary Hypertension,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HFpEF</w:t>
            </w:r>
          </w:p>
        </w:tc>
        <w:tc>
          <w:tcPr>
            <w:tcW w:w="0" w:type="dxa"/>
            <w:vAlign w:val="bottom"/>
          </w:tcPr>
          <w:p>
            <w:pPr>
              <w:spacing w:after="0"/>
              <w:rPr>
                <w:sz w:val="1"/>
                <w:szCs w:val="1"/>
                <w:color w:val="auto"/>
              </w:rPr>
            </w:pPr>
          </w:p>
        </w:tc>
      </w:tr>
      <w:tr>
        <w:trPr>
          <w:trHeight w:val="143"/>
        </w:trPr>
        <w:tc>
          <w:tcPr>
            <w:tcW w:w="41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auto"/>
              </w:rPr>
              <w:t>Tenaya Therapeutics, Inc.</w:t>
            </w: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4.19</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285.4</w:t>
            </w:r>
          </w:p>
        </w:tc>
        <w:tc>
          <w:tcPr>
            <w:tcW w:w="3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 Complete</w:t>
            </w:r>
          </w:p>
        </w:tc>
        <w:tc>
          <w:tcPr>
            <w:tcW w:w="138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color w:val="auto"/>
              </w:rPr>
              <w:t>Cardiovascular</w:t>
            </w:r>
          </w:p>
        </w:tc>
        <w:tc>
          <w:tcPr>
            <w:tcW w:w="1580" w:type="dxa"/>
            <w:vAlign w:val="bottom"/>
            <w:gridSpan w:val="2"/>
          </w:tcPr>
          <w:p>
            <w:pPr>
              <w:ind w:left="180"/>
              <w:spacing w:after="0" w:line="144" w:lineRule="exact"/>
              <w:rPr>
                <w:sz w:val="20"/>
                <w:szCs w:val="20"/>
                <w:color w:val="auto"/>
              </w:rPr>
            </w:pPr>
            <w:r>
              <w:rPr>
                <w:rFonts w:ascii="Times New Roman" w:cs="Times New Roman" w:eastAsia="Times New Roman" w:hAnsi="Times New Roman"/>
                <w:sz w:val="13"/>
                <w:szCs w:val="13"/>
                <w:color w:val="auto"/>
              </w:rPr>
              <w:t>HFpEF</w:t>
            </w:r>
          </w:p>
        </w:tc>
        <w:tc>
          <w:tcPr>
            <w:tcW w:w="0" w:type="dxa"/>
            <w:vAlign w:val="bottom"/>
          </w:tcPr>
          <w:p>
            <w:pPr>
              <w:spacing w:after="0"/>
              <w:rPr>
                <w:sz w:val="1"/>
                <w:szCs w:val="1"/>
                <w:color w:val="auto"/>
              </w:rPr>
            </w:pPr>
          </w:p>
        </w:tc>
      </w:tr>
    </w:tbl>
    <w:p>
      <w:pPr>
        <w:sectPr>
          <w:pgSz w:w="11900" w:h="16838" w:orient="portrait"/>
          <w:cols w:equalWidth="0" w:num="1">
            <w:col w:w="10260"/>
          </w:cols>
          <w:pgMar w:left="820" w:top="261" w:right="8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r>
              <w:rPr>
                <w:rFonts w:ascii="Times New Roman" w:cs="Times New Roman" w:eastAsia="Times New Roman" w:hAnsi="Times New Roman"/>
                <w:sz w:val="13"/>
                <w:szCs w:val="13"/>
                <w:b w:val="1"/>
                <w:bCs w:val="1"/>
                <w:i w:val="1"/>
                <w:iCs w:val="1"/>
                <w:color w:val="auto"/>
              </w:rPr>
              <w:t>, except per share values</w:t>
            </w:r>
            <w:r>
              <w:rPr>
                <w:rFonts w:ascii="Times New Roman" w:cs="Times New Roman" w:eastAsia="Times New Roman" w:hAnsi="Times New Roman"/>
                <w:sz w:val="13"/>
                <w:szCs w:val="13"/>
                <w:i w:val="1"/>
                <w:iCs w:val="1"/>
                <w:color w:val="auto"/>
              </w:rPr>
              <w:t>)</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Lead Product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0" w:type="dxa"/>
            <w:vAlign w:val="bottom"/>
          </w:tcPr>
          <w:p>
            <w:pPr>
              <w:spacing w:after="0"/>
              <w:rPr>
                <w:sz w:val="11"/>
                <w:szCs w:val="11"/>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Enterprise</w:t>
            </w: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color w:val="auto"/>
              </w:rPr>
              <w:t>Selected Cardiovascular Companies</w:t>
            </w:r>
          </w:p>
        </w:tc>
        <w:tc>
          <w:tcPr>
            <w:tcW w:w="11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80" w:type="dxa"/>
            <w:vAlign w:val="bottom"/>
            <w:gridSpan w:val="4"/>
            <w:vMerge w:val="continue"/>
          </w:tcPr>
          <w:p>
            <w:pPr>
              <w:spacing w:after="0"/>
              <w:rPr>
                <w:sz w:val="12"/>
                <w:szCs w:val="12"/>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Phase</w:t>
            </w: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Therapeutic Category</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Therapeutic Indication</w:t>
            </w:r>
          </w:p>
        </w:tc>
        <w:tc>
          <w:tcPr>
            <w:tcW w:w="0" w:type="dxa"/>
            <w:vAlign w:val="bottom"/>
          </w:tcPr>
          <w:p>
            <w:pPr>
              <w:spacing w:after="0"/>
              <w:rPr>
                <w:sz w:val="1"/>
                <w:szCs w:val="1"/>
                <w:color w:val="auto"/>
              </w:rPr>
            </w:pPr>
          </w:p>
        </w:tc>
      </w:tr>
      <w:tr>
        <w:trPr>
          <w:trHeight w:val="150"/>
        </w:trPr>
        <w:tc>
          <w:tcPr>
            <w:tcW w:w="3620" w:type="dxa"/>
            <w:vAlign w:val="bottom"/>
            <w:gridSpan w:val="7"/>
            <w:vMerge w:val="continue"/>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6"/>
              </w:rPr>
              <w:t>Value</w:t>
            </w:r>
          </w:p>
        </w:tc>
        <w:tc>
          <w:tcPr>
            <w:tcW w:w="900" w:type="dxa"/>
            <w:vAlign w:val="bottom"/>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Verve Therapeutics, Inc.</w:t>
            </w:r>
          </w:p>
        </w:tc>
        <w:tc>
          <w:tcPr>
            <w:tcW w:w="1680" w:type="dxa"/>
            <w:vAlign w:val="bottom"/>
            <w:gridSpan w:val="2"/>
            <w:vMerge w:val="restart"/>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11.54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928.1</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vMerge w:val="continue"/>
            <w:shd w:val="clear" w:color="auto" w:fill="CCEEFF"/>
          </w:tcPr>
          <w:p>
            <w:pPr>
              <w:spacing w:after="0"/>
              <w:rPr>
                <w:sz w:val="10"/>
                <w:szCs w:val="10"/>
                <w:color w:val="auto"/>
              </w:rPr>
            </w:pPr>
          </w:p>
        </w:tc>
        <w:tc>
          <w:tcPr>
            <w:tcW w:w="11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Cardiovascular,</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ASCVD, HeFH</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gridSpan w:val="4"/>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Metabolic</w:t>
            </w: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Low</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442.9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285.4</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157.3</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331.9</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201.2</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6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Selected Early Stage Companies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Acumen Pharmaceuticals,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187.6</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95.1)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Central Nervous</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Alzheimer’s Disease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w:t>
            </w: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Apogee Therapeutics, Inc.</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36.50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1,849.6</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1,426.8</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Dermatology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Atopic Dermatitis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Cabaletta Bio,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22.28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954.7</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w:t>
            </w: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 / II</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Systemic Lupus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Erythematosus (SLE)</w:t>
            </w: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Dianthus Therapeutics, Inc.</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17.88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264.9</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75.1</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Myasthenia Gravis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tcBorders>
              <w:right w:val="single" w:sz="8" w:color="CCEEFF"/>
            </w:tcBorders>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Developmental and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Longboard Pharmaceuticals, Inc.</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23.27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843.9</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787.9</w:t>
            </w: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Phase III Ready</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Neurology</w:t>
            </w: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Epileptic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0" w:type="dxa"/>
            <w:vAlign w:val="bottom"/>
            <w:gridSpan w:val="6"/>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Encephalopathy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auto"/>
              </w:rPr>
              <w:t>Inflammatory Bowel</w:t>
            </w:r>
          </w:p>
        </w:tc>
        <w:tc>
          <w:tcPr>
            <w:tcW w:w="0" w:type="dxa"/>
            <w:vAlign w:val="bottom"/>
          </w:tcPr>
          <w:p>
            <w:pPr>
              <w:spacing w:after="0" w:line="20" w:lineRule="exact"/>
              <w:rPr>
                <w:sz w:val="1"/>
                <w:szCs w:val="1"/>
                <w:color w:val="auto"/>
              </w:rPr>
            </w:pPr>
          </w:p>
        </w:tc>
      </w:tr>
      <w:tr>
        <w:trPr>
          <w:trHeight w:val="123"/>
        </w:trPr>
        <w:tc>
          <w:tcPr>
            <w:tcW w:w="36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color w:val="auto"/>
              </w:rPr>
              <w:t>Spyre Therapeutics, Inc.</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27.50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990.6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1,174.1</w:t>
            </w:r>
          </w:p>
        </w:tc>
        <w:tc>
          <w:tcPr>
            <w:tcW w:w="2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IND</w:t>
            </w:r>
          </w:p>
        </w:tc>
        <w:tc>
          <w:tcPr>
            <w:tcW w:w="140" w:type="dxa"/>
            <w:vAlign w:val="bottom"/>
          </w:tcPr>
          <w:p>
            <w:pPr>
              <w:spacing w:after="0"/>
              <w:rPr>
                <w:sz w:val="10"/>
                <w:szCs w:val="10"/>
                <w:color w:val="auto"/>
              </w:rPr>
            </w:pP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Gastrointestinal</w:t>
            </w:r>
          </w:p>
        </w:tc>
        <w:tc>
          <w:tcPr>
            <w:tcW w:w="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20" w:type="dxa"/>
            <w:vAlign w:val="bottom"/>
            <w:gridSpan w:val="7"/>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Disease</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Structure Therapeutics Inc.</w:t>
            </w:r>
          </w:p>
        </w:tc>
        <w:tc>
          <w:tcPr>
            <w:tcW w:w="12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42.50</w:t>
            </w: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II-A</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Metabolic Disorders</w:t>
            </w: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Diabetes and Obesity</w:t>
            </w: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Zura Bio Limited</w:t>
            </w:r>
          </w:p>
        </w:tc>
        <w:tc>
          <w:tcPr>
            <w:tcW w:w="1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3.20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139.5</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58.1</w:t>
            </w:r>
          </w:p>
        </w:tc>
        <w:tc>
          <w:tcPr>
            <w:tcW w:w="20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 Ready</w:t>
            </w:r>
          </w:p>
        </w:tc>
        <w:tc>
          <w:tcPr>
            <w:tcW w:w="140" w:type="dxa"/>
            <w:vAlign w:val="bottom"/>
          </w:tcPr>
          <w:p>
            <w:pPr>
              <w:spacing w:after="0"/>
              <w:rPr>
                <w:sz w:val="12"/>
                <w:szCs w:val="12"/>
                <w:color w:val="auto"/>
              </w:rPr>
            </w:pPr>
          </w:p>
        </w:tc>
        <w:tc>
          <w:tcPr>
            <w:tcW w:w="11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Immunology</w:t>
            </w:r>
          </w:p>
        </w:tc>
        <w:tc>
          <w:tcPr>
            <w:tcW w:w="140" w:type="dxa"/>
            <w:vAlign w:val="bottom"/>
          </w:tcPr>
          <w:p>
            <w:pPr>
              <w:spacing w:after="0"/>
              <w:rPr>
                <w:sz w:val="12"/>
                <w:szCs w:val="12"/>
                <w:color w:val="auto"/>
              </w:rPr>
            </w:pPr>
          </w:p>
        </w:tc>
        <w:tc>
          <w:tcPr>
            <w:tcW w:w="12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Systemic Sclerosis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139.5</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(95.1)</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899.33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789.1</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913.4</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761.0</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All Selected Companies</w:t>
            </w:r>
          </w:p>
        </w:tc>
        <w:tc>
          <w:tcPr>
            <w:tcW w:w="2320" w:type="dxa"/>
            <w:vAlign w:val="bottom"/>
            <w:tcBorders>
              <w:bottom w:val="single" w:sz="8" w:color="CCEEFF"/>
            </w:tcBorders>
            <w:gridSpan w:val="4"/>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gridSpan w:val="6"/>
          </w:tcPr>
          <w:p>
            <w:pPr>
              <w:spacing w:after="0" w:line="131" w:lineRule="exact"/>
              <w:rPr>
                <w:sz w:val="20"/>
                <w:szCs w:val="20"/>
                <w:color w:val="auto"/>
              </w:rPr>
            </w:pPr>
            <w:r>
              <w:rPr>
                <w:rFonts w:ascii="Times New Roman" w:cs="Times New Roman" w:eastAsia="Times New Roman" w:hAnsi="Times New Roman"/>
                <w:sz w:val="13"/>
                <w:szCs w:val="13"/>
                <w:color w:val="auto"/>
              </w:rPr>
              <w:t>Low</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3.0</w:t>
            </w:r>
          </w:p>
        </w:tc>
        <w:tc>
          <w:tcPr>
            <w:tcW w:w="2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(95.1)</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2,076.3</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1,870.9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7"/>
          </w:tcPr>
          <w:p>
            <w:pPr>
              <w:spacing w:after="0" w:line="144" w:lineRule="exact"/>
              <w:rPr>
                <w:sz w:val="20"/>
                <w:szCs w:val="20"/>
                <w:color w:val="auto"/>
              </w:rPr>
            </w:pPr>
            <w:r>
              <w:rPr>
                <w:rFonts w:ascii="Times New Roman" w:cs="Times New Roman" w:eastAsia="Times New Roman" w:hAnsi="Times New Roman"/>
                <w:sz w:val="13"/>
                <w:szCs w:val="13"/>
                <w:color w:val="auto"/>
              </w:rPr>
              <w:t>Median</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333.9</w:t>
            </w:r>
          </w:p>
        </w:tc>
        <w:tc>
          <w:tcPr>
            <w:tcW w:w="2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302.5</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0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642.0</w:t>
            </w:r>
          </w:p>
        </w:tc>
        <w:tc>
          <w:tcPr>
            <w:tcW w:w="24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499.8</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“Opinion of Houlihan Lokey to the AVROBIO Board” is hereby amended and supplemented by replacing the chart on page 215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Upfront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Contingent</w:t>
            </w: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w w:val="97"/>
              </w:rPr>
              <w:t>Transaction</w:t>
            </w:r>
          </w:p>
        </w:tc>
        <w:tc>
          <w:tcPr>
            <w:tcW w:w="80" w:type="dxa"/>
            <w:vAlign w:val="bottom"/>
          </w:tcPr>
          <w:p>
            <w:pPr>
              <w:spacing w:after="0"/>
              <w:rPr>
                <w:sz w:val="15"/>
                <w:szCs w:val="15"/>
                <w:color w:val="auto"/>
              </w:rPr>
            </w:pPr>
          </w:p>
        </w:tc>
        <w:tc>
          <w:tcPr>
            <w:tcW w:w="228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0" w:type="dxa"/>
            <w:vAlign w:val="bottom"/>
          </w:tcPr>
          <w:p>
            <w:pPr>
              <w:spacing w:after="0"/>
              <w:rPr>
                <w:sz w:val="1"/>
                <w:szCs w:val="1"/>
                <w:color w:val="auto"/>
              </w:rPr>
            </w:pPr>
          </w:p>
        </w:tc>
      </w:tr>
      <w:tr>
        <w:trPr>
          <w:trHeight w:val="118"/>
        </w:trPr>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Effective</w:t>
            </w:r>
          </w:p>
        </w:tc>
        <w:tc>
          <w:tcPr>
            <w:tcW w:w="80" w:type="dxa"/>
            <w:vAlign w:val="bottom"/>
          </w:tcPr>
          <w:p>
            <w:pPr>
              <w:spacing w:after="0"/>
              <w:rPr>
                <w:sz w:val="10"/>
                <w:szCs w:val="10"/>
                <w:color w:val="auto"/>
              </w:rPr>
            </w:pPr>
          </w:p>
        </w:tc>
        <w:tc>
          <w:tcPr>
            <w:tcW w:w="246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color w:val="auto"/>
              </w:rPr>
              <w:t>Target</w:t>
            </w:r>
          </w:p>
        </w:tc>
        <w:tc>
          <w:tcPr>
            <w:tcW w:w="40" w:type="dxa"/>
            <w:vAlign w:val="bottom"/>
          </w:tcPr>
          <w:p>
            <w:pPr>
              <w:spacing w:after="0"/>
              <w:rPr>
                <w:sz w:val="10"/>
                <w:szCs w:val="10"/>
                <w:color w:val="auto"/>
              </w:rPr>
            </w:pPr>
          </w:p>
        </w:tc>
        <w:tc>
          <w:tcPr>
            <w:tcW w:w="170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auto"/>
              </w:rPr>
              <w:t>Acquiror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80" w:type="dxa"/>
            <w:vAlign w:val="bottom"/>
          </w:tcPr>
          <w:p>
            <w:pPr>
              <w:spacing w:after="0"/>
              <w:rPr>
                <w:sz w:val="10"/>
                <w:szCs w:val="10"/>
                <w:color w:val="auto"/>
              </w:rPr>
            </w:pPr>
          </w:p>
        </w:tc>
        <w:tc>
          <w:tcPr>
            <w:tcW w:w="7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0" w:type="dxa"/>
            <w:vAlign w:val="bottom"/>
          </w:tcPr>
          <w:p>
            <w:pPr>
              <w:spacing w:after="0"/>
              <w:rPr>
                <w:sz w:val="1"/>
                <w:szCs w:val="1"/>
                <w:color w:val="auto"/>
              </w:rPr>
            </w:pPr>
          </w:p>
        </w:tc>
      </w:tr>
      <w:tr>
        <w:trPr>
          <w:trHeight w:val="151"/>
        </w:trPr>
        <w:tc>
          <w:tcPr>
            <w:tcW w:w="9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Consideration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Consideration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tcPr>
          <w:p>
            <w:pPr>
              <w:spacing w:after="0"/>
              <w:rPr>
                <w:sz w:val="13"/>
                <w:szCs w:val="13"/>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Indication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Cardiovascular</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9/30/22</w:t>
            </w:r>
          </w:p>
        </w:tc>
        <w:tc>
          <w:tcPr>
            <w:tcW w:w="300" w:type="dxa"/>
            <w:vAlign w:val="bottom"/>
          </w:tcPr>
          <w:p>
            <w:pPr>
              <w:spacing w:after="0"/>
              <w:rPr>
                <w:sz w:val="10"/>
                <w:szCs w:val="10"/>
                <w:color w:val="auto"/>
              </w:rPr>
            </w:pPr>
          </w:p>
        </w:tc>
        <w:tc>
          <w:tcPr>
            <w:tcW w:w="5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w w:val="99"/>
              </w:rPr>
              <w:t>10/20/22</w:t>
            </w:r>
          </w:p>
        </w:tc>
        <w:tc>
          <w:tcPr>
            <w:tcW w:w="25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auto"/>
              </w:rPr>
              <w:t>DJS Antibodies Ltd</w:t>
            </w:r>
          </w:p>
        </w:tc>
        <w:tc>
          <w:tcPr>
            <w:tcW w:w="17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color w:val="auto"/>
              </w:rPr>
              <w:t>AbbVie, Inc.</w:t>
            </w:r>
          </w:p>
        </w:tc>
        <w:tc>
          <w:tcPr>
            <w:tcW w:w="1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255.0</w:t>
            </w:r>
          </w:p>
        </w:tc>
        <w:tc>
          <w:tcPr>
            <w:tcW w:w="1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95.0</w:t>
            </w:r>
          </w:p>
        </w:tc>
        <w:tc>
          <w:tcPr>
            <w:tcW w:w="18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350.0</w:t>
            </w:r>
          </w:p>
        </w:tc>
        <w:tc>
          <w:tcPr>
            <w:tcW w:w="1520" w:type="dxa"/>
            <w:vAlign w:val="bottom"/>
            <w:gridSpan w:val="4"/>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Fibrotic Diseases</w:t>
            </w:r>
          </w:p>
        </w:tc>
        <w:tc>
          <w:tcPr>
            <w:tcW w:w="80" w:type="dxa"/>
            <w:vAlign w:val="bottom"/>
          </w:tcPr>
          <w:p>
            <w:pPr>
              <w:spacing w:after="0"/>
              <w:rPr>
                <w:sz w:val="10"/>
                <w:szCs w:val="10"/>
                <w:color w:val="auto"/>
              </w:rPr>
            </w:pPr>
          </w:p>
        </w:tc>
        <w:tc>
          <w:tcPr>
            <w:tcW w:w="760" w:type="dxa"/>
            <w:vAlign w:val="bottom"/>
            <w:gridSpan w:val="4"/>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9/20/22</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12/1/22</w:t>
            </w:r>
          </w:p>
        </w:tc>
        <w:tc>
          <w:tcPr>
            <w:tcW w:w="254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Renovacor, Inc.</w:t>
            </w:r>
          </w:p>
        </w:tc>
        <w:tc>
          <w:tcPr>
            <w:tcW w:w="17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Rocket Pharmaceuticals, Inc.</w:t>
            </w:r>
          </w:p>
        </w:tc>
        <w:tc>
          <w:tcPr>
            <w:tcW w:w="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53.0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53.0</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Cardiomyopathy</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3/23/21</w:t>
            </w:r>
          </w:p>
        </w:tc>
        <w:tc>
          <w:tcPr>
            <w:tcW w:w="300" w:type="dxa"/>
            <w:vAlign w:val="bottom"/>
          </w:tcPr>
          <w:p>
            <w:pPr>
              <w:spacing w:after="0"/>
              <w:rPr>
                <w:sz w:val="10"/>
                <w:szCs w:val="10"/>
                <w:color w:val="auto"/>
              </w:rPr>
            </w:pPr>
          </w:p>
        </w:tc>
        <w:tc>
          <w:tcPr>
            <w:tcW w:w="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9/2/21</w:t>
            </w:r>
          </w:p>
        </w:tc>
        <w:tc>
          <w:tcPr>
            <w:tcW w:w="25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Chardan Healthcare Acquisition 2 Corp.</w:t>
            </w:r>
          </w:p>
        </w:tc>
        <w:tc>
          <w:tcPr>
            <w:tcW w:w="1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Renovacor, Inc.</w:t>
            </w:r>
          </w:p>
        </w:tc>
        <w:tc>
          <w:tcPr>
            <w:tcW w:w="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116.0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116.0</w:t>
            </w:r>
          </w:p>
        </w:tc>
        <w:tc>
          <w:tcPr>
            <w:tcW w:w="2360" w:type="dxa"/>
            <w:vAlign w:val="bottom"/>
            <w:gridSpan w:val="9"/>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 Disorders 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1/19/21</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1/15/21</w:t>
            </w:r>
          </w:p>
        </w:tc>
        <w:tc>
          <w:tcPr>
            <w:tcW w:w="254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PH Precision Med</w:t>
            </w:r>
          </w:p>
        </w:tc>
        <w:tc>
          <w:tcPr>
            <w:tcW w:w="17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Tenax Therapeutics, Inc.</w:t>
            </w:r>
          </w:p>
        </w:tc>
        <w:tc>
          <w:tcPr>
            <w:tcW w:w="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21.6</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w w:val="99"/>
              </w:rPr>
              <w:t>Pulmonary Hypertension</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7/21/20</w:t>
            </w:r>
          </w:p>
        </w:tc>
        <w:tc>
          <w:tcPr>
            <w:tcW w:w="300" w:type="dxa"/>
            <w:vAlign w:val="bottom"/>
          </w:tcPr>
          <w:p>
            <w:pPr>
              <w:spacing w:after="0"/>
              <w:rPr>
                <w:sz w:val="10"/>
                <w:szCs w:val="10"/>
                <w:color w:val="auto"/>
              </w:rPr>
            </w:pPr>
          </w:p>
        </w:tc>
        <w:tc>
          <w:tcPr>
            <w:tcW w:w="5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w w:val="99"/>
              </w:rPr>
              <w:t>12/14/20</w:t>
            </w:r>
          </w:p>
        </w:tc>
        <w:tc>
          <w:tcPr>
            <w:tcW w:w="25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Tenzing Acquisition Corp.</w:t>
            </w:r>
          </w:p>
        </w:tc>
        <w:tc>
          <w:tcPr>
            <w:tcW w:w="1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Reviva Pharmaceuticals, Inc.</w:t>
            </w:r>
          </w:p>
        </w:tc>
        <w:tc>
          <w:tcPr>
            <w:tcW w:w="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119.7</w:t>
            </w:r>
          </w:p>
        </w:tc>
        <w:tc>
          <w:tcPr>
            <w:tcW w:w="152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w w:val="99"/>
              </w:rPr>
              <w:t>Pulmonary Hypertension</w:t>
            </w:r>
          </w:p>
        </w:tc>
        <w:tc>
          <w:tcPr>
            <w:tcW w:w="80" w:type="dxa"/>
            <w:vAlign w:val="bottom"/>
          </w:tcPr>
          <w:p>
            <w:pPr>
              <w:spacing w:after="0"/>
              <w:rPr>
                <w:sz w:val="10"/>
                <w:szCs w:val="10"/>
                <w:color w:val="auto"/>
              </w:rPr>
            </w:pPr>
          </w:p>
        </w:tc>
        <w:tc>
          <w:tcPr>
            <w:tcW w:w="7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1/13/20</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1/13/20</w:t>
            </w:r>
          </w:p>
        </w:tc>
        <w:tc>
          <w:tcPr>
            <w:tcW w:w="4420" w:type="dxa"/>
            <w:vAlign w:val="bottom"/>
            <w:gridSpan w:val="6"/>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Viamet’s Oral Aldosterone Synthase Inhibitor PhaseBio Pharmaceuticals, Inc. $</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gridSpan w:val="2"/>
            <w:shd w:val="clear" w:color="auto" w:fill="CCEEFF"/>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147.6</w:t>
            </w:r>
          </w:p>
        </w:tc>
        <w:tc>
          <w:tcPr>
            <w:tcW w:w="1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147.7</w:t>
            </w:r>
          </w:p>
        </w:tc>
        <w:tc>
          <w:tcPr>
            <w:tcW w:w="1520" w:type="dxa"/>
            <w:vAlign w:val="bottom"/>
            <w:gridSpan w:val="4"/>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Hypertension</w:t>
            </w: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00"/>
          </w:cols>
          <w:pgMar w:left="820" w:top="253" w:right="6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2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Upfront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Contingent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Transaction</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24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color w:val="auto"/>
              </w:rPr>
              <w:t>Announced Effective</w:t>
            </w:r>
          </w:p>
        </w:tc>
        <w:tc>
          <w:tcPr>
            <w:tcW w:w="20" w:type="dxa"/>
            <w:vAlign w:val="bottom"/>
          </w:tcPr>
          <w:p>
            <w:pPr>
              <w:spacing w:after="0"/>
              <w:rPr>
                <w:sz w:val="10"/>
                <w:szCs w:val="10"/>
                <w:color w:val="auto"/>
              </w:rPr>
            </w:pPr>
          </w:p>
        </w:tc>
        <w:tc>
          <w:tcPr>
            <w:tcW w:w="2120" w:type="dxa"/>
            <w:vAlign w:val="bottom"/>
            <w:vMerge w:val="restart"/>
          </w:tcPr>
          <w:p>
            <w:pPr>
              <w:ind w:left="880"/>
              <w:spacing w:after="0"/>
              <w:rPr>
                <w:sz w:val="20"/>
                <w:szCs w:val="20"/>
                <w:color w:val="auto"/>
              </w:rPr>
            </w:pPr>
            <w:r>
              <w:rPr>
                <w:rFonts w:ascii="Times New Roman" w:cs="Times New Roman" w:eastAsia="Times New Roman" w:hAnsi="Times New Roman"/>
                <w:sz w:val="13"/>
                <w:szCs w:val="13"/>
                <w:color w:val="auto"/>
              </w:rPr>
              <w:t>Target</w:t>
            </w:r>
          </w:p>
        </w:tc>
        <w:tc>
          <w:tcPr>
            <w:tcW w:w="40" w:type="dxa"/>
            <w:vAlign w:val="bottom"/>
          </w:tcPr>
          <w:p>
            <w:pPr>
              <w:spacing w:after="0"/>
              <w:rPr>
                <w:sz w:val="10"/>
                <w:szCs w:val="10"/>
                <w:color w:val="auto"/>
              </w:rPr>
            </w:pPr>
          </w:p>
        </w:tc>
        <w:tc>
          <w:tcPr>
            <w:tcW w:w="2100" w:type="dxa"/>
            <w:vAlign w:val="bottom"/>
            <w:vMerge w:val="restart"/>
          </w:tcPr>
          <w:p>
            <w:pPr>
              <w:ind w:left="800"/>
              <w:spacing w:after="0"/>
              <w:rPr>
                <w:sz w:val="20"/>
                <w:szCs w:val="20"/>
                <w:color w:val="auto"/>
              </w:rPr>
            </w:pPr>
            <w:r>
              <w:rPr>
                <w:rFonts w:ascii="Times New Roman" w:cs="Times New Roman" w:eastAsia="Times New Roman" w:hAnsi="Times New Roman"/>
                <w:sz w:val="13"/>
                <w:szCs w:val="13"/>
                <w:color w:val="auto"/>
              </w:rPr>
              <w:t>Acquiror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11"/>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0" w:type="dxa"/>
            <w:vAlign w:val="bottom"/>
          </w:tcPr>
          <w:p>
            <w:pPr>
              <w:spacing w:after="0"/>
              <w:rPr>
                <w:sz w:val="1"/>
                <w:szCs w:val="1"/>
                <w:color w:val="auto"/>
              </w:rPr>
            </w:pPr>
          </w:p>
        </w:tc>
      </w:tr>
      <w:tr>
        <w:trPr>
          <w:trHeight w:val="171"/>
        </w:trPr>
        <w:tc>
          <w:tcPr>
            <w:tcW w:w="12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Consideration</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Consideration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11"/>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Indication</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0" w:type="dxa"/>
            <w:vAlign w:val="bottom"/>
            <w:tcBorders>
              <w:top w:val="single" w:sz="8" w:color="auto"/>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Low</w:t>
            </w: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95.0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21.6</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255.0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147.6</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84.5</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121.3</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117.9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Phase I</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11/14/23</w:t>
            </w:r>
          </w:p>
        </w:tc>
        <w:tc>
          <w:tcPr>
            <w:tcW w:w="2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Pending</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Qsam Biosciences, Inc.</w:t>
            </w: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Telix Pharmaceuticals Limited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tcPr>
          <w:p>
            <w:pPr>
              <w:spacing w:after="0"/>
              <w:rPr>
                <w:sz w:val="19"/>
                <w:szCs w:val="19"/>
                <w:color w:val="auto"/>
              </w:rPr>
            </w:pPr>
          </w:p>
        </w:tc>
        <w:tc>
          <w:tcPr>
            <w:tcW w:w="178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Osteosarcoma</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8/21/23</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8/23/23</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Bird Rock Bio,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Skye Bioscience,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Chronic Kidney Disease</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6/25/23</w:t>
            </w:r>
          </w:p>
        </w:tc>
        <w:tc>
          <w:tcPr>
            <w:tcW w:w="20" w:type="dxa"/>
            <w:vAlign w:val="bottom"/>
          </w:tcPr>
          <w:p>
            <w:pPr>
              <w:spacing w:after="0"/>
              <w:rPr>
                <w:sz w:val="10"/>
                <w:szCs w:val="10"/>
                <w:color w:val="auto"/>
              </w:rPr>
            </w:pPr>
          </w:p>
        </w:tc>
        <w:tc>
          <w:tcPr>
            <w:tcW w:w="5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Pending</w:t>
            </w: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Qpex Biopharma,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Shionogi,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140.0</w:t>
            </w:r>
          </w:p>
        </w:tc>
        <w:tc>
          <w:tcPr>
            <w:tcW w:w="80" w:type="dxa"/>
            <w:vAlign w:val="bottom"/>
          </w:tcPr>
          <w:p>
            <w:pPr>
              <w:spacing w:after="0"/>
              <w:rPr>
                <w:sz w:val="10"/>
                <w:szCs w:val="10"/>
                <w:color w:val="auto"/>
              </w:rPr>
            </w:pPr>
          </w:p>
        </w:tc>
        <w:tc>
          <w:tcPr>
            <w:tcW w:w="1480" w:type="dxa"/>
            <w:vAlign w:val="bottom"/>
            <w:tcBorders>
              <w:bottom w:val="single" w:sz="8" w:color="auto"/>
            </w:tcBorders>
            <w:gridSpan w:val="10"/>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Gram-Negative Infections</w:t>
            </w:r>
          </w:p>
        </w:tc>
        <w:tc>
          <w:tcPr>
            <w:tcW w:w="300" w:type="dxa"/>
            <w:vAlign w:val="bottom"/>
            <w:gridSpan w:val="2"/>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2/21/23</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2/21/23</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Kinnjiu Biopharma Inc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Kinnate Biopharma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auto"/>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Solid Tumors, Melanoma</w:t>
            </w:r>
          </w:p>
        </w:tc>
        <w:tc>
          <w:tcPr>
            <w:tcW w:w="340" w:type="dxa"/>
            <w:vAlign w:val="bottom"/>
            <w:tcBorders>
              <w:bottom w:val="single" w:sz="8" w:color="CCEEFF"/>
              <w:right w:val="single" w:sz="8" w:color="CCEEFF"/>
            </w:tcBorders>
            <w:gridSpan w:val="4"/>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11/7/22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11/7/22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Fulgent Pharma LLC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Fulgent Genetics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1360" w:type="dxa"/>
            <w:vAlign w:val="bottom"/>
            <w:gridSpan w:val="11"/>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9/19/22</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9/29/22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Versantis AG</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Genfit SA</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41.4</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67.3</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Liver Disease</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7/20/22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12/12/22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Larkspur Health Acquisition Corp.</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Zyversa Therapeutics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193.6</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193.6</w:t>
            </w:r>
          </w:p>
        </w:tc>
        <w:tc>
          <w:tcPr>
            <w:tcW w:w="80" w:type="dxa"/>
            <w:vAlign w:val="bottom"/>
          </w:tcPr>
          <w:p>
            <w:pPr>
              <w:spacing w:after="0"/>
              <w:rPr>
                <w:sz w:val="10"/>
                <w:szCs w:val="10"/>
                <w:color w:val="auto"/>
              </w:rPr>
            </w:pPr>
          </w:p>
        </w:tc>
        <w:tc>
          <w:tcPr>
            <w:tcW w:w="1300" w:type="dxa"/>
            <w:vAlign w:val="bottom"/>
            <w:tcBorders>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Diabetic Nephropathy</w:t>
            </w:r>
          </w:p>
        </w:tc>
        <w:tc>
          <w:tcPr>
            <w:tcW w:w="480" w:type="dxa"/>
            <w:vAlign w:val="bottom"/>
            <w:gridSpan w:val="6"/>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7/5/22</w:t>
            </w:r>
          </w:p>
        </w:tc>
        <w:tc>
          <w:tcPr>
            <w:tcW w:w="2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8/11/22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TeneoTwo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AstraZeneca Plc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1,165.0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1,265.0</w:t>
            </w:r>
          </w:p>
        </w:tc>
        <w:tc>
          <w:tcPr>
            <w:tcW w:w="80" w:type="dxa"/>
            <w:vAlign w:val="bottom"/>
            <w:shd w:val="clear" w:color="auto" w:fill="CCEEFF"/>
          </w:tcPr>
          <w:p>
            <w:pPr>
              <w:spacing w:after="0"/>
              <w:rPr>
                <w:sz w:val="10"/>
                <w:szCs w:val="10"/>
                <w:color w:val="auto"/>
              </w:rPr>
            </w:pPr>
          </w:p>
        </w:tc>
        <w:tc>
          <w:tcPr>
            <w:tcW w:w="1780" w:type="dxa"/>
            <w:vAlign w:val="bottom"/>
            <w:tcBorders>
              <w:right w:val="single" w:sz="8" w:color="CCEEFF"/>
            </w:tcBorders>
            <w:gridSpan w:val="1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Lymphoma</w:t>
            </w:r>
          </w:p>
        </w:tc>
        <w:tc>
          <w:tcPr>
            <w:tcW w:w="7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5/31/22</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8/16/22</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Affinivax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GSK Plc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Streptococcal Pneumonia</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3/1/22</w:t>
            </w:r>
          </w:p>
        </w:tc>
        <w:tc>
          <w:tcPr>
            <w:tcW w:w="2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3/1/22</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Syndesi Therapeutics SA</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AbbVie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870.0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0"/>
                <w:szCs w:val="10"/>
                <w:color w:val="auto"/>
              </w:rPr>
            </w:pPr>
          </w:p>
        </w:tc>
        <w:tc>
          <w:tcPr>
            <w:tcW w:w="1440" w:type="dxa"/>
            <w:vAlign w:val="bottom"/>
            <w:tcBorders>
              <w:top w:val="single" w:sz="8" w:color="auto"/>
            </w:tcBorders>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Alzheimer’s Disease</w:t>
            </w:r>
          </w:p>
        </w:tc>
        <w:tc>
          <w:tcPr>
            <w:tcW w:w="340" w:type="dxa"/>
            <w:vAlign w:val="bottom"/>
            <w:tcBorders>
              <w:right w:val="single" w:sz="8" w:color="CCEEFF"/>
            </w:tcBorders>
            <w:gridSpan w:val="4"/>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12/14/21</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3/11/22</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VCN Biosciences SL</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Theriva Biologics Inc</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70.3</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75.0</w:t>
            </w:r>
          </w:p>
        </w:tc>
        <w:tc>
          <w:tcPr>
            <w:tcW w:w="80" w:type="dxa"/>
            <w:vAlign w:val="bottom"/>
            <w:tcBorders>
              <w:top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720" w:type="dxa"/>
            <w:vAlign w:val="bottom"/>
            <w:tcBorders>
              <w:top w:val="single" w:sz="8" w:color="auto"/>
            </w:tcBorders>
            <w:gridSpan w:val="4"/>
          </w:tcPr>
          <w:p>
            <w:pPr>
              <w:spacing w:after="0"/>
              <w:rPr>
                <w:sz w:val="10"/>
                <w:szCs w:val="10"/>
                <w:color w:val="auto"/>
              </w:rPr>
            </w:pPr>
          </w:p>
        </w:tc>
        <w:tc>
          <w:tcPr>
            <w:tcW w:w="640" w:type="dxa"/>
            <w:vAlign w:val="bottom"/>
            <w:tcBorders>
              <w:top w:val="single" w:sz="8" w:color="CCEEFF"/>
            </w:tcBorders>
            <w:gridSpan w:val="7"/>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11/11/21</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12/13/21</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Forendo Pharma Ltd</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Organon &amp; Co</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870.0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945.0</w:t>
            </w: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Endometriosis</w:t>
            </w:r>
          </w:p>
        </w:tc>
        <w:tc>
          <w:tcPr>
            <w:tcW w:w="980" w:type="dxa"/>
            <w:vAlign w:val="bottom"/>
            <w:tcBorders>
              <w:left w:val="single" w:sz="8" w:color="CCEEFF"/>
              <w:bottom w:val="single" w:sz="8" w:color="CCEEFF"/>
              <w:right w:val="single" w:sz="8" w:color="CCEEFF"/>
            </w:tcBorders>
            <w:gridSpan w:val="9"/>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11/11/21</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11/11/21</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Abfero Pharmaceuticals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Pharmacosmos AS</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225.0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225.0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Diseases of Iron Overload</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10/26/21</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10/26/21</w:t>
            </w:r>
          </w:p>
        </w:tc>
        <w:tc>
          <w:tcPr>
            <w:tcW w:w="60" w:type="dxa"/>
            <w:vAlign w:val="bottom"/>
            <w:shd w:val="clear" w:color="auto" w:fill="CCEEFF"/>
          </w:tcPr>
          <w:p>
            <w:pPr>
              <w:spacing w:after="0"/>
              <w:rPr>
                <w:sz w:val="10"/>
                <w:szCs w:val="10"/>
                <w:color w:val="auto"/>
              </w:rPr>
            </w:pPr>
          </w:p>
        </w:tc>
        <w:tc>
          <w:tcPr>
            <w:tcW w:w="4420" w:type="dxa"/>
            <w:vAlign w:val="bottom"/>
            <w:gridSpan w:val="6"/>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Chengdu Antkin Biotechnology Co Ltd Shanghai Fosun Pharmaceutical Group $</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627.3</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627.3</w:t>
            </w:r>
          </w:p>
        </w:tc>
        <w:tc>
          <w:tcPr>
            <w:tcW w:w="80" w:type="dxa"/>
            <w:vAlign w:val="bottom"/>
            <w:shd w:val="clear" w:color="auto" w:fill="CCEEFF"/>
          </w:tcPr>
          <w:p>
            <w:pPr>
              <w:spacing w:after="0"/>
              <w:rPr>
                <w:sz w:val="10"/>
                <w:szCs w:val="10"/>
                <w:color w:val="auto"/>
              </w:rPr>
            </w:pPr>
          </w:p>
        </w:tc>
        <w:tc>
          <w:tcPr>
            <w:tcW w:w="1460" w:type="dxa"/>
            <w:vAlign w:val="bottom"/>
            <w:tcBorders>
              <w:top w:val="single" w:sz="8" w:color="auto"/>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Streptococcal Pneumonia</w:t>
            </w: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7/27/21</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10/19/21</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TeneoBio Inc</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Amgen Inc</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900.0</w:t>
            </w:r>
          </w:p>
        </w:tc>
        <w:tc>
          <w:tcPr>
            <w:tcW w:w="1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2,500.0</w:t>
            </w:r>
          </w:p>
        </w:tc>
        <w:tc>
          <w:tcPr>
            <w:tcW w:w="80" w:type="dxa"/>
            <w:vAlign w:val="bottom"/>
            <w:tcBorders>
              <w:top w:val="single" w:sz="8" w:color="CCEEFF"/>
            </w:tcBorders>
          </w:tcPr>
          <w:p>
            <w:pPr>
              <w:spacing w:after="0"/>
              <w:rPr>
                <w:sz w:val="10"/>
                <w:szCs w:val="10"/>
                <w:color w:val="auto"/>
              </w:rPr>
            </w:pPr>
          </w:p>
        </w:tc>
        <w:tc>
          <w:tcPr>
            <w:tcW w:w="1300" w:type="dxa"/>
            <w:vAlign w:val="bottom"/>
            <w:tcBorders>
              <w:top w:val="single" w:sz="8" w:color="auto"/>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Myeloma, Lymphoma</w:t>
            </w:r>
          </w:p>
        </w:tc>
        <w:tc>
          <w:tcPr>
            <w:tcW w:w="140" w:type="dxa"/>
            <w:vAlign w:val="bottom"/>
            <w:tcBorders>
              <w:top w:val="single" w:sz="8" w:color="auto"/>
            </w:tcBorders>
            <w:gridSpan w:val="2"/>
          </w:tcPr>
          <w:p>
            <w:pPr>
              <w:spacing w:after="0"/>
              <w:rPr>
                <w:sz w:val="10"/>
                <w:szCs w:val="10"/>
                <w:color w:val="auto"/>
              </w:rPr>
            </w:pPr>
          </w:p>
        </w:tc>
        <w:tc>
          <w:tcPr>
            <w:tcW w:w="340" w:type="dxa"/>
            <w:vAlign w:val="bottom"/>
            <w:tcBorders>
              <w:top w:val="single" w:sz="8" w:color="CCEEFF"/>
            </w:tcBorders>
            <w:gridSpan w:val="4"/>
          </w:tcPr>
          <w:p>
            <w:pPr>
              <w:spacing w:after="0"/>
              <w:rPr>
                <w:sz w:val="10"/>
                <w:szCs w:val="10"/>
                <w:color w:val="auto"/>
              </w:rPr>
            </w:pPr>
          </w:p>
        </w:tc>
        <w:tc>
          <w:tcPr>
            <w:tcW w:w="420" w:type="dxa"/>
            <w:vAlign w:val="bottom"/>
            <w:tcBorders>
              <w:top w:val="single" w:sz="8" w:color="auto"/>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2/26/21</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3/31/21</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Silicon Therapeutics LLC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Roivant Sciences Ltd</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450.0</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450.0</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1360" w:type="dxa"/>
            <w:vAlign w:val="bottom"/>
            <w:tcBorders>
              <w:bottom w:val="single" w:sz="8" w:color="CCEEFF"/>
              <w:right w:val="single" w:sz="8" w:color="CCEEFF"/>
            </w:tcBorders>
            <w:gridSpan w:val="11"/>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2/1/21</w:t>
            </w:r>
          </w:p>
        </w:tc>
        <w:tc>
          <w:tcPr>
            <w:tcW w:w="260" w:type="dxa"/>
            <w:vAlign w:val="bottom"/>
          </w:tcPr>
          <w:p>
            <w:pPr>
              <w:spacing w:after="0"/>
              <w:rPr>
                <w:sz w:val="10"/>
                <w:szCs w:val="10"/>
                <w:color w:val="auto"/>
              </w:rPr>
            </w:pP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6/30/21</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Leisure Acquisition Corp.</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Ensysce Biosciences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207.0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207.0</w:t>
            </w:r>
          </w:p>
        </w:tc>
        <w:tc>
          <w:tcPr>
            <w:tcW w:w="80" w:type="dxa"/>
            <w:vAlign w:val="bottom"/>
          </w:tcPr>
          <w:p>
            <w:pPr>
              <w:spacing w:after="0"/>
              <w:rPr>
                <w:sz w:val="10"/>
                <w:szCs w:val="10"/>
                <w:color w:val="auto"/>
              </w:rPr>
            </w:pPr>
          </w:p>
        </w:tc>
        <w:tc>
          <w:tcPr>
            <w:tcW w:w="1300" w:type="dxa"/>
            <w:vAlign w:val="bottom"/>
            <w:tcBorders>
              <w:bottom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9"/>
              </w:rPr>
              <w:t>Pain, Substance Abuse</w:t>
            </w:r>
          </w:p>
        </w:tc>
        <w:tc>
          <w:tcPr>
            <w:tcW w:w="480" w:type="dxa"/>
            <w:vAlign w:val="bottom"/>
            <w:gridSpan w:val="6"/>
          </w:tcPr>
          <w:p>
            <w:pPr>
              <w:spacing w:after="0"/>
              <w:rPr>
                <w:sz w:val="10"/>
                <w:szCs w:val="10"/>
                <w:color w:val="auto"/>
              </w:rPr>
            </w:pPr>
          </w:p>
        </w:tc>
        <w:tc>
          <w:tcPr>
            <w:tcW w:w="42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9/29/20</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12/23/20</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LifeSci Acquisition Corp.</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Vincerx Pharma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55.0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auto"/>
            </w:tcBorders>
            <w:gridSpan w:val="5"/>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Lymphoma, Cancer</w:t>
            </w:r>
          </w:p>
        </w:tc>
        <w:tc>
          <w:tcPr>
            <w:tcW w:w="640" w:type="dxa"/>
            <w:vAlign w:val="bottom"/>
            <w:tcBorders>
              <w:bottom w:val="single" w:sz="8" w:color="CCEEFF"/>
              <w:right w:val="single" w:sz="8" w:color="CCEEFF"/>
            </w:tcBorders>
            <w:gridSpan w:val="7"/>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9/21/20</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9/21/20</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Inflazome Ltd</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F. Hoffmann-La Roche Ltd</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445.9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445.9</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Inflammatory Diseases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8/24/20</w:t>
            </w:r>
          </w:p>
        </w:tc>
        <w:tc>
          <w:tcPr>
            <w:tcW w:w="5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8/24/20</w:t>
            </w:r>
          </w:p>
        </w:tc>
        <w:tc>
          <w:tcPr>
            <w:tcW w:w="60" w:type="dxa"/>
            <w:vAlign w:val="bottom"/>
            <w:shd w:val="clear" w:color="auto" w:fill="CCEEFF"/>
          </w:tcPr>
          <w:p>
            <w:pPr>
              <w:spacing w:after="0"/>
              <w:rPr>
                <w:sz w:val="10"/>
                <w:szCs w:val="10"/>
                <w:color w:val="auto"/>
              </w:rPr>
            </w:pPr>
          </w:p>
        </w:tc>
        <w:tc>
          <w:tcPr>
            <w:tcW w:w="214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CerSci Therapeutics Inc</w:t>
            </w:r>
          </w:p>
        </w:tc>
        <w:tc>
          <w:tcPr>
            <w:tcW w:w="2140" w:type="dxa"/>
            <w:vAlign w:val="bottom"/>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Acadia Pharmaceuticals Inc</w:t>
            </w:r>
          </w:p>
        </w:tc>
        <w:tc>
          <w:tcPr>
            <w:tcW w:w="14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52.5</w:t>
            </w:r>
          </w:p>
        </w:tc>
        <w:tc>
          <w:tcPr>
            <w:tcW w:w="140" w:type="dxa"/>
            <w:vAlign w:val="bottom"/>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887.0</w:t>
            </w:r>
          </w:p>
        </w:tc>
        <w:tc>
          <w:tcPr>
            <w:tcW w:w="1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939.5</w:t>
            </w:r>
          </w:p>
        </w:tc>
        <w:tc>
          <w:tcPr>
            <w:tcW w:w="80" w:type="dxa"/>
            <w:vAlign w:val="bottom"/>
            <w:shd w:val="clear" w:color="auto" w:fill="CCEEFF"/>
          </w:tcPr>
          <w:p>
            <w:pPr>
              <w:spacing w:after="0"/>
              <w:rPr>
                <w:sz w:val="10"/>
                <w:szCs w:val="10"/>
                <w:color w:val="auto"/>
              </w:rPr>
            </w:pPr>
          </w:p>
        </w:tc>
        <w:tc>
          <w:tcPr>
            <w:tcW w:w="2540" w:type="dxa"/>
            <w:vAlign w:val="bottom"/>
            <w:gridSpan w:val="1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Amyotrophic Lateral Sclerosis 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2/26/20</w:t>
            </w:r>
          </w:p>
        </w:tc>
        <w:tc>
          <w:tcPr>
            <w:tcW w:w="540" w:type="dxa"/>
            <w:vAlign w:val="bottom"/>
            <w:tcBorders>
              <w:top w:val="single" w:sz="8" w:color="CCEEFF"/>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2/26/20</w:t>
            </w:r>
          </w:p>
        </w:tc>
        <w:tc>
          <w:tcPr>
            <w:tcW w:w="6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PVP Biologics Inc (Inactive)</w:t>
            </w:r>
          </w:p>
        </w:tc>
        <w:tc>
          <w:tcPr>
            <w:tcW w:w="2140" w:type="dxa"/>
            <w:vAlign w:val="bottom"/>
            <w:tcBorders>
              <w:top w:val="single" w:sz="8" w:color="CCEEFF"/>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Takeda Pharmaceutical Co Ltd</w:t>
            </w:r>
          </w:p>
        </w:tc>
        <w:tc>
          <w:tcPr>
            <w:tcW w:w="14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Undisclosed</w:t>
            </w:r>
          </w:p>
        </w:tc>
        <w:tc>
          <w:tcPr>
            <w:tcW w:w="1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330.0</w:t>
            </w:r>
          </w:p>
        </w:tc>
        <w:tc>
          <w:tcPr>
            <w:tcW w:w="80" w:type="dxa"/>
            <w:vAlign w:val="bottom"/>
            <w:tcBorders>
              <w:top w:val="single" w:sz="8" w:color="CCEEFF"/>
            </w:tcBorders>
          </w:tcPr>
          <w:p>
            <w:pPr>
              <w:spacing w:after="0"/>
              <w:rPr>
                <w:sz w:val="10"/>
                <w:szCs w:val="10"/>
                <w:color w:val="auto"/>
              </w:rPr>
            </w:pPr>
          </w:p>
        </w:tc>
        <w:tc>
          <w:tcPr>
            <w:tcW w:w="1780" w:type="dxa"/>
            <w:vAlign w:val="bottom"/>
            <w:tcBorders>
              <w:top w:val="single" w:sz="8" w:color="auto"/>
            </w:tcBorders>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Celiac Disease</w:t>
            </w:r>
          </w:p>
        </w:tc>
        <w:tc>
          <w:tcPr>
            <w:tcW w:w="4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1/16/20</w:t>
            </w: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5/6/20</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Neon Therapeutics, Inc.</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BioNTech US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67.0</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380" w:type="dxa"/>
            <w:vAlign w:val="bottom"/>
            <w:tcBorders>
              <w:top w:val="single" w:sz="8" w:color="auto"/>
              <w:bottom w:val="single" w:sz="8" w:color="CCEEFF"/>
              <w:right w:val="single" w:sz="8" w:color="CCEEFF"/>
            </w:tcBorders>
            <w:gridSpan w:val="2"/>
            <w:shd w:val="clear" w:color="auto" w:fill="CCEEFF"/>
          </w:tcPr>
          <w:p>
            <w:pPr>
              <w:spacing w:after="0"/>
              <w:rPr>
                <w:sz w:val="10"/>
                <w:szCs w:val="10"/>
                <w:color w:val="auto"/>
              </w:rPr>
            </w:pPr>
          </w:p>
        </w:tc>
        <w:tc>
          <w:tcPr>
            <w:tcW w:w="980" w:type="dxa"/>
            <w:vAlign w:val="bottom"/>
            <w:tcBorders>
              <w:left w:val="single" w:sz="8" w:color="CCEEFF"/>
              <w:bottom w:val="single" w:sz="8" w:color="CCEEFF"/>
              <w:right w:val="single" w:sz="8" w:color="CCEEFF"/>
            </w:tcBorders>
            <w:gridSpan w:val="9"/>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11/18/19</w:t>
            </w: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9"/>
              </w:rPr>
              <w:t>11/25/19</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Rodin Therapeutics Inc</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Alkermes Plc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850.0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950.0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Neurodegenerative Diseases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5/8/19</w:t>
            </w: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7/1/19</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Therachon AG</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Pfizer Inc</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340.0</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470.0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810.0</w:t>
            </w:r>
          </w:p>
        </w:tc>
        <w:tc>
          <w:tcPr>
            <w:tcW w:w="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9"/>
              </w:rPr>
              <w:t>Achondroplasia</w:t>
            </w:r>
          </w:p>
        </w:tc>
        <w:tc>
          <w:tcPr>
            <w:tcW w:w="680" w:type="dxa"/>
            <w:vAlign w:val="bottom"/>
            <w:tcBorders>
              <w:top w:val="single" w:sz="8" w:color="auto"/>
              <w:bottom w:val="single" w:sz="8" w:color="CCEEFF"/>
            </w:tcBorders>
            <w:gridSpan w:val="7"/>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4/1/19</w:t>
            </w:r>
          </w:p>
        </w:tc>
        <w:tc>
          <w:tcPr>
            <w:tcW w:w="260" w:type="dxa"/>
            <w:vAlign w:val="bottom"/>
          </w:tcPr>
          <w:p>
            <w:pPr>
              <w:spacing w:after="0"/>
              <w:rPr>
                <w:sz w:val="10"/>
                <w:szCs w:val="10"/>
                <w:color w:val="auto"/>
              </w:rPr>
            </w:pPr>
          </w:p>
        </w:tc>
        <w:tc>
          <w:tcPr>
            <w:tcW w:w="5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5/8/19</w:t>
            </w:r>
          </w:p>
        </w:tc>
        <w:tc>
          <w:tcPr>
            <w:tcW w:w="60" w:type="dxa"/>
            <w:vAlign w:val="bottom"/>
          </w:tcPr>
          <w:p>
            <w:pPr>
              <w:spacing w:after="0"/>
              <w:rPr>
                <w:sz w:val="10"/>
                <w:szCs w:val="10"/>
                <w:color w:val="auto"/>
              </w:rPr>
            </w:pPr>
          </w:p>
        </w:tc>
        <w:tc>
          <w:tcPr>
            <w:tcW w:w="21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Novartis AG</w:t>
            </w:r>
          </w:p>
        </w:tc>
        <w:tc>
          <w:tcPr>
            <w:tcW w:w="2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IFM Tre Inc</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310.0</w:t>
            </w:r>
          </w:p>
        </w:tc>
        <w:tc>
          <w:tcPr>
            <w:tcW w:w="1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1,265.0</w:t>
            </w:r>
          </w:p>
        </w:tc>
        <w:tc>
          <w:tcPr>
            <w:tcW w:w="1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1,575.0</w:t>
            </w:r>
          </w:p>
        </w:tc>
        <w:tc>
          <w:tcPr>
            <w:tcW w:w="80" w:type="dxa"/>
            <w:vAlign w:val="bottom"/>
          </w:tcPr>
          <w:p>
            <w:pPr>
              <w:spacing w:after="0"/>
              <w:rPr>
                <w:sz w:val="10"/>
                <w:szCs w:val="10"/>
                <w:color w:val="auto"/>
              </w:rPr>
            </w:pPr>
          </w:p>
        </w:tc>
        <w:tc>
          <w:tcPr>
            <w:tcW w:w="178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Inflammatory Disorders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1/4/19</w:t>
            </w: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rPr>
              <w:t>1/11/19</w:t>
            </w:r>
          </w:p>
        </w:tc>
        <w:tc>
          <w:tcPr>
            <w:tcW w:w="60" w:type="dxa"/>
            <w:vAlign w:val="bottom"/>
            <w:tcBorders>
              <w:bottom w:val="single" w:sz="8" w:color="CCEEFF"/>
            </w:tcBorders>
            <w:shd w:val="clear" w:color="auto" w:fill="CCEEFF"/>
          </w:tcPr>
          <w:p>
            <w:pPr>
              <w:spacing w:after="0"/>
              <w:rPr>
                <w:sz w:val="10"/>
                <w:szCs w:val="10"/>
                <w:color w:val="auto"/>
              </w:rPr>
            </w:pPr>
          </w:p>
        </w:tc>
        <w:tc>
          <w:tcPr>
            <w:tcW w:w="2140" w:type="dxa"/>
            <w:vAlign w:val="bottom"/>
            <w:tcBorders>
              <w:bottom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Yong Shun Technology Development</w:t>
            </w:r>
          </w:p>
        </w:tc>
        <w:tc>
          <w:tcPr>
            <w:tcW w:w="2140" w:type="dxa"/>
            <w:vAlign w:val="bottom"/>
            <w:tcBorders>
              <w:bottom w:val="single" w:sz="8" w:color="CCEEFF"/>
            </w:tcBorders>
            <w:gridSpan w:val="2"/>
            <w:shd w:val="clear" w:color="auto" w:fill="CCEEFF"/>
          </w:tcPr>
          <w:p>
            <w:pPr>
              <w:ind w:left="40"/>
              <w:spacing w:after="0" w:line="118" w:lineRule="exact"/>
              <w:rPr>
                <w:sz w:val="20"/>
                <w:szCs w:val="20"/>
                <w:color w:val="auto"/>
              </w:rPr>
            </w:pPr>
            <w:r>
              <w:rPr>
                <w:rFonts w:ascii="Times New Roman" w:cs="Times New Roman" w:eastAsia="Times New Roman" w:hAnsi="Times New Roman"/>
                <w:sz w:val="13"/>
                <w:szCs w:val="13"/>
                <w:color w:val="auto"/>
              </w:rPr>
              <w:t>Dragon Merit</w:t>
            </w:r>
          </w:p>
        </w:tc>
        <w:tc>
          <w:tcPr>
            <w:tcW w:w="14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36.8</w:t>
            </w:r>
          </w:p>
        </w:tc>
        <w:tc>
          <w:tcPr>
            <w:tcW w:w="140" w:type="dxa"/>
            <w:vAlign w:val="bottom"/>
            <w:tcBorders>
              <w:bottom w:val="single" w:sz="8" w:color="CCEEFF"/>
            </w:tcBorders>
            <w:gridSpan w:val="2"/>
            <w:shd w:val="clear" w:color="auto" w:fill="CCEEFF"/>
          </w:tcPr>
          <w:p>
            <w:pPr>
              <w:ind w:left="6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Cancer</w:t>
            </w:r>
          </w:p>
        </w:tc>
        <w:tc>
          <w:tcPr>
            <w:tcW w:w="960" w:type="dxa"/>
            <w:vAlign w:val="bottom"/>
            <w:tcBorders>
              <w:top w:val="single" w:sz="8" w:color="auto"/>
              <w:bottom w:val="single" w:sz="8" w:color="CCEEFF"/>
            </w:tcBorders>
            <w:gridSpan w:val="6"/>
            <w:shd w:val="clear" w:color="auto" w:fill="CCEEFF"/>
          </w:tcPr>
          <w:p>
            <w:pPr>
              <w:spacing w:after="0"/>
              <w:rPr>
                <w:sz w:val="10"/>
                <w:szCs w:val="10"/>
                <w:color w:val="auto"/>
              </w:rPr>
            </w:pPr>
          </w:p>
        </w:tc>
        <w:tc>
          <w:tcPr>
            <w:tcW w:w="400" w:type="dxa"/>
            <w:vAlign w:val="bottom"/>
            <w:tcBorders>
              <w:bottom w:val="single" w:sz="8" w:color="CCEEFF"/>
              <w:right w:val="single" w:sz="8" w:color="CCEEFF"/>
            </w:tcBorders>
            <w:gridSpan w:val="5"/>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Phase I</w:t>
            </w:r>
          </w:p>
        </w:tc>
        <w:tc>
          <w:tcPr>
            <w:tcW w:w="3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Low</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68.8</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277.5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271.9</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429.3</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635.1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All M&amp;A Transactions</w:t>
            </w:r>
          </w:p>
        </w:tc>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2,100.0</w:t>
            </w:r>
          </w:p>
        </w:tc>
        <w:tc>
          <w:tcPr>
            <w:tcW w:w="1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1,600.0</w:t>
            </w:r>
          </w:p>
        </w:tc>
        <w:tc>
          <w:tcPr>
            <w:tcW w:w="1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820" w:top="253" w:right="619" w:bottom="1440" w:gutter="0" w:footer="0" w:header="0"/>
        </w:sectPr>
      </w:pPr>
    </w:p>
    <w:bookmarkStart w:id="5" w:name="page6"/>
    <w:bookmarkEnd w:id="5"/>
    <w:p>
      <w:pPr>
        <w:ind w:right="60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The disclosure under the heading “Opinion of Houlihan Lokey to the AVROBIO Board” is hereby amended and supplemented by replacing the chart on page 216 through 218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Post-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Current Statistics [1]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Pre-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GPCR</w:t>
            </w:r>
          </w:p>
        </w:tc>
        <w:tc>
          <w:tcPr>
            <w:tcW w:w="8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Lead Asset</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Lead Asset</w:t>
            </w:r>
          </w:p>
        </w:tc>
        <w:tc>
          <w:tcPr>
            <w:tcW w:w="8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Offer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Gross</w:t>
            </w:r>
          </w:p>
        </w:tc>
        <w:tc>
          <w:tcPr>
            <w:tcW w:w="1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3"/>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Enterp</w:t>
            </w:r>
          </w:p>
        </w:tc>
        <w:tc>
          <w:tcPr>
            <w:tcW w:w="0" w:type="dxa"/>
            <w:vAlign w:val="bottom"/>
          </w:tcPr>
          <w:p>
            <w:pPr>
              <w:spacing w:after="0"/>
              <w:rPr>
                <w:sz w:val="1"/>
                <w:szCs w:val="1"/>
                <w:color w:val="auto"/>
              </w:rPr>
            </w:pPr>
          </w:p>
        </w:tc>
      </w:tr>
      <w:tr>
        <w:trPr>
          <w:trHeight w:val="137"/>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IPO Date</w:t>
            </w:r>
          </w:p>
        </w:tc>
        <w:tc>
          <w:tcPr>
            <w:tcW w:w="80" w:type="dxa"/>
            <w:vAlign w:val="bottom"/>
          </w:tcPr>
          <w:p>
            <w:pPr>
              <w:spacing w:after="0"/>
              <w:rPr>
                <w:sz w:val="11"/>
                <w:szCs w:val="11"/>
                <w:color w:val="auto"/>
              </w:rPr>
            </w:pPr>
          </w:p>
        </w:tc>
        <w:tc>
          <w:tcPr>
            <w:tcW w:w="15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Selected Company</w:t>
            </w: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0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0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68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color w:val="auto"/>
              </w:rPr>
              <w:t>Enterprise</w:t>
            </w:r>
          </w:p>
        </w:tc>
        <w:tc>
          <w:tcPr>
            <w:tcW w:w="1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Cap since</w:t>
            </w:r>
          </w:p>
        </w:tc>
        <w:tc>
          <w:tcPr>
            <w:tcW w:w="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Platform</w:t>
            </w:r>
          </w:p>
        </w:tc>
        <w:tc>
          <w:tcPr>
            <w:tcW w:w="8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Indication</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Price</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7"/>
              </w:rPr>
              <w:t>Proceeds</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w w:val="96"/>
              </w:rPr>
              <w:t>Value</w:t>
            </w: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Cap</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IPO</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2"/>
              </w:rPr>
              <w:t>Valu</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0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Cardiovascular</w:t>
            </w: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11/2/23</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Lexeo Therapeutics, Inc.</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Cardiomyopathy and Alzheimer’s</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272.4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16.51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459.4</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68.7%</w:t>
            </w:r>
          </w:p>
        </w:tc>
        <w:tc>
          <w:tcPr>
            <w:tcW w:w="1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2/9/23</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Mineralys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Hypertension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220.8</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653.7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10.30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436.1</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(33.3%)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1/6/22</w:t>
            </w:r>
          </w:p>
        </w:tc>
        <w:tc>
          <w:tcPr>
            <w:tcW w:w="16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CinCor Pharma, Inc.</w:t>
            </w:r>
          </w:p>
        </w:tc>
        <w:tc>
          <w:tcPr>
            <w:tcW w:w="8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auto"/>
              </w:rPr>
              <w:t>Hypertension</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390.7</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212.7</w:t>
            </w:r>
          </w:p>
        </w:tc>
        <w:tc>
          <w:tcPr>
            <w:tcW w:w="20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5"/>
              </w:rPr>
              <w:t>603.4</w:t>
            </w:r>
          </w:p>
        </w:tc>
        <w:tc>
          <w:tcPr>
            <w:tcW w:w="20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284.6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0"/>
              <w:spacing w:after="0" w:line="144" w:lineRule="exact"/>
              <w:rPr>
                <w:sz w:val="20"/>
                <w:szCs w:val="20"/>
                <w:color w:val="auto"/>
              </w:rPr>
            </w:pPr>
            <w:r>
              <w:rPr>
                <w:rFonts w:ascii="Times New Roman" w:cs="Times New Roman" w:eastAsia="Times New Roman" w:hAnsi="Times New Roman"/>
                <w:sz w:val="13"/>
                <w:szCs w:val="13"/>
                <w:b w:val="1"/>
                <w:bCs w:val="1"/>
                <w:color w:val="auto"/>
                <w:w w:val="95"/>
              </w:rPr>
              <w:t>NA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7/29/21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Tenaya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gHCM and HFpEF</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Preclinical</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409.9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207.0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616.9</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4.19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285.4</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(53.7%)</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6/29/21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Aerovate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PAH</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341.7</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17.68</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511.0</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49.5%</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6/17/21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Verve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Hypercholesterolemia and ASCVD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Preclinical</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916.1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11.54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1.3%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10/28/20</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Galecto,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Pulmonary Fibrosis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378.9</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0.67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18.2</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(95.2%)</w:t>
            </w:r>
          </w:p>
        </w:tc>
        <w:tc>
          <w:tcPr>
            <w:tcW w:w="40" w:type="dxa"/>
            <w:vAlign w:val="bottom"/>
            <w:vMerge w:val="continue"/>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73"/>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5/13/19</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Applied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Diabetic Cardiomyopathy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130.5</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170.5</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2.91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229.0</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34.3%</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Low</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170.5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916.1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17.68</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928.1</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68.7%</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Median</w:t>
            </w: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491.1</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10.30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436.1</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1.3%</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328.9</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165.3</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494.2</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9.11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409.6</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259"/>
        </w:trPr>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Phase I</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3/30/23</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Gubra A/S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Obesity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16.10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232.4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30.8</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263.2</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17.64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287.3</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9.2%</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2/2/23</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Structure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T2DM / Obesity and PAH</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555.8</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42.50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2,205.3</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296.8%</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9/14/22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Third Harmonic Bio,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Chronic Urticaria and Asthma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472.5</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213.1</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685.6</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387.7</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(43.5%)</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7/27/22</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MAIA Biotechnology,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1.35</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22.9</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(57.0%)</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5/5/22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PepGen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Duchenne Muscular Dystrophy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160.7</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122.9</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283.6</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6.86</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163.4</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(42.4%)</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3/24/22</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AN2 Therapeutics,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Infectious Diseases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291.4</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5"/>
              </w:rPr>
              <w:t>19.50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613.2</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110.4%</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2/3/22</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Arcellx,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Myeloma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379.4</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142.3</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521.7</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62.82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604.1%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3,2</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10/20/21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Ventyx Biosciences,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Ulcerative Colitis and Crohn’s Disease</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631.3</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174.3</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805.6</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2.04</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120.4</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(85.1%)</w:t>
            </w:r>
          </w:p>
        </w:tc>
        <w:tc>
          <w:tcPr>
            <w:tcW w:w="40" w:type="dxa"/>
            <w:vAlign w:val="bottom"/>
            <w:vMerge w:val="continue"/>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u w:val="single" w:color="auto"/>
                <w:color w:val="auto"/>
                <w:w w:val="73"/>
              </w:rPr>
              <w:t>(</w:t>
            </w:r>
            <w:r>
              <w:rPr>
                <w:rFonts w:ascii="Times New Roman" w:cs="Times New Roman" w:eastAsia="Times New Roman" w:hAnsi="Times New Roman"/>
                <w:sz w:val="13"/>
                <w:szCs w:val="13"/>
                <w:b w:val="1"/>
                <w:bCs w:val="1"/>
                <w:color w:val="auto"/>
                <w:w w:val="73"/>
              </w:rPr>
              <w:t>$</w:t>
            </w: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9"/>
              </w:rPr>
              <w:t>10/14/21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MiNK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Respiratory Distress Syndrome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351.0</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391.0</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0.84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29.1</w:t>
            </w:r>
          </w:p>
        </w:tc>
        <w:tc>
          <w:tcPr>
            <w:tcW w:w="920" w:type="dxa"/>
            <w:vAlign w:val="bottom"/>
            <w:gridSpan w:val="3"/>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(92.6%)</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7/30/21</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IN8bio, Inc.</w:t>
            </w:r>
          </w:p>
        </w:tc>
        <w:tc>
          <w:tcPr>
            <w:tcW w:w="80" w:type="dxa"/>
            <w:vAlign w:val="bottom"/>
            <w:vMerge w:val="restart"/>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Leukemia</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187.5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1.30</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56.3</w:t>
            </w:r>
          </w:p>
        </w:tc>
        <w:tc>
          <w:tcPr>
            <w:tcW w:w="100" w:type="dxa"/>
            <w:vAlign w:val="bottom"/>
            <w:vMerge w:val="continue"/>
          </w:tcPr>
          <w:p>
            <w:pPr>
              <w:spacing w:after="0"/>
              <w:rPr>
                <w:sz w:val="12"/>
                <w:szCs w:val="12"/>
                <w:color w:val="auto"/>
              </w:rPr>
            </w:pPr>
          </w:p>
        </w:tc>
        <w:tc>
          <w:tcPr>
            <w:tcW w:w="8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(70.0%)</w:t>
            </w:r>
          </w:p>
        </w:tc>
        <w:tc>
          <w:tcPr>
            <w:tcW w:w="40" w:type="dxa"/>
            <w:vAlign w:val="bottom"/>
            <w:vMerge w:val="continue"/>
          </w:tcPr>
          <w:p>
            <w:pPr>
              <w:spacing w:after="0"/>
              <w:rPr>
                <w:sz w:val="12"/>
                <w:szCs w:val="12"/>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3/25/21</w:t>
            </w:r>
          </w:p>
        </w:tc>
        <w:tc>
          <w:tcPr>
            <w:tcW w:w="16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Edgewise Therapeutics, Inc.</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2340" w:type="dxa"/>
            <w:vAlign w:val="bottom"/>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Muscular Dystrophy and Cardiomyopathy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585.1</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202.4</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5"/>
              </w:rPr>
              <w:t>787.5</w:t>
            </w:r>
          </w:p>
        </w:tc>
        <w:tc>
          <w:tcPr>
            <w:tcW w:w="2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5"/>
              </w:rPr>
              <w:t>16.52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1,433.9</w:t>
            </w:r>
          </w:p>
        </w:tc>
        <w:tc>
          <w:tcPr>
            <w:tcW w:w="920" w:type="dxa"/>
            <w:vAlign w:val="bottom"/>
            <w:gridSpan w:val="3"/>
            <w:shd w:val="clear" w:color="auto" w:fill="CCEEFF"/>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82.1%</w:t>
            </w:r>
          </w:p>
        </w:tc>
        <w:tc>
          <w:tcPr>
            <w:tcW w:w="160" w:type="dxa"/>
            <w:vAlign w:val="bottom"/>
            <w:gridSpan w:val="2"/>
            <w:shd w:val="clear" w:color="auto" w:fill="CCEEFF"/>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820" w:top="257"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4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w w:val="97"/>
              </w:rPr>
              <w:t>Post-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Current Statistics [1]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Pre-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Post-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gridSpan w:val="3"/>
          </w:tcPr>
          <w:p>
            <w:pPr>
              <w:jc w:val="right"/>
              <w:ind w:right="260"/>
              <w:spacing w:after="0" w:line="107"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GPCR</w:t>
            </w:r>
          </w:p>
        </w:tc>
        <w:tc>
          <w:tcPr>
            <w:tcW w:w="8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Lead Asset</w:t>
            </w:r>
          </w:p>
        </w:tc>
        <w:tc>
          <w:tcPr>
            <w:tcW w:w="6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Lead Asset</w:t>
            </w:r>
          </w:p>
        </w:tc>
        <w:tc>
          <w:tcPr>
            <w:tcW w:w="8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Offer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w w:val="98"/>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ind w:right="13"/>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38" w:lineRule="exact"/>
              <w:rPr>
                <w:sz w:val="20"/>
                <w:szCs w:val="20"/>
                <w:color w:val="auto"/>
              </w:rPr>
            </w:pPr>
            <w:r>
              <w:rPr>
                <w:rFonts w:ascii="Times New Roman" w:cs="Times New Roman" w:eastAsia="Times New Roman" w:hAnsi="Times New Roman"/>
                <w:sz w:val="13"/>
                <w:szCs w:val="13"/>
                <w:b w:val="1"/>
                <w:bCs w:val="1"/>
                <w:color w:val="auto"/>
              </w:rPr>
              <w:t>Market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Ente</w:t>
            </w:r>
          </w:p>
        </w:tc>
        <w:tc>
          <w:tcPr>
            <w:tcW w:w="0" w:type="dxa"/>
            <w:vAlign w:val="bottom"/>
          </w:tcPr>
          <w:p>
            <w:pPr>
              <w:spacing w:after="0"/>
              <w:rPr>
                <w:sz w:val="1"/>
                <w:szCs w:val="1"/>
                <w:color w:val="auto"/>
              </w:rPr>
            </w:pPr>
          </w:p>
        </w:tc>
      </w:tr>
      <w:tr>
        <w:trPr>
          <w:trHeight w:val="137"/>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IPO Date</w:t>
            </w:r>
          </w:p>
        </w:tc>
        <w:tc>
          <w:tcPr>
            <w:tcW w:w="80" w:type="dxa"/>
            <w:vAlign w:val="bottom"/>
          </w:tcPr>
          <w:p>
            <w:pPr>
              <w:spacing w:after="0"/>
              <w:rPr>
                <w:sz w:val="11"/>
                <w:szCs w:val="11"/>
                <w:color w:val="auto"/>
              </w:rPr>
            </w:pP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Selected Company</w:t>
            </w: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auto"/>
              </w:rPr>
              <w:t>Money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Money</w:t>
            </w:r>
          </w:p>
        </w:tc>
        <w:tc>
          <w:tcPr>
            <w:tcW w:w="680" w:type="dxa"/>
            <w:vAlign w:val="bottom"/>
            <w:gridSpan w:val="3"/>
          </w:tcPr>
          <w:p>
            <w:pPr>
              <w:jc w:val="center"/>
              <w:ind w:left="33"/>
              <w:spacing w:after="0" w:line="138" w:lineRule="exact"/>
              <w:rPr>
                <w:sz w:val="20"/>
                <w:szCs w:val="20"/>
                <w:color w:val="auto"/>
              </w:rPr>
            </w:pPr>
            <w:r>
              <w:rPr>
                <w:rFonts w:ascii="Times New Roman" w:cs="Times New Roman" w:eastAsia="Times New Roman" w:hAnsi="Times New Roman"/>
                <w:sz w:val="13"/>
                <w:szCs w:val="13"/>
                <w:color w:val="auto"/>
              </w:rPr>
              <w:t>Enterprise</w:t>
            </w:r>
          </w:p>
        </w:tc>
        <w:tc>
          <w:tcPr>
            <w:tcW w:w="1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Cap since</w:t>
            </w:r>
          </w:p>
        </w:tc>
        <w:tc>
          <w:tcPr>
            <w:tcW w:w="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Platform</w:t>
            </w:r>
          </w:p>
        </w:tc>
        <w:tc>
          <w:tcPr>
            <w:tcW w:w="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Indication</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Phase</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w w:val="96"/>
              </w:rPr>
              <w:t>Value</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Proceeds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Value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w w:val="96"/>
              </w:rPr>
              <w:t>Value</w:t>
            </w: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Cap</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IPO</w:t>
            </w: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vMerge w:val="restart"/>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3/18/21</w:t>
            </w:r>
          </w:p>
        </w:tc>
        <w:tc>
          <w:tcPr>
            <w:tcW w:w="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1880" w:type="dxa"/>
            <w:vAlign w:val="bottom"/>
            <w:tcBorders>
              <w:right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Instil Bio, Inc.</w:t>
            </w: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No</w:t>
            </w:r>
          </w:p>
        </w:tc>
        <w:tc>
          <w:tcPr>
            <w:tcW w:w="80" w:type="dxa"/>
            <w:vAlign w:val="bottom"/>
            <w:vMerge w:val="continue"/>
            <w:shd w:val="clear" w:color="auto" w:fill="CCEEFF"/>
          </w:tcPr>
          <w:p>
            <w:pPr>
              <w:spacing w:after="0"/>
              <w:rPr>
                <w:sz w:val="10"/>
                <w:szCs w:val="10"/>
                <w:color w:val="auto"/>
              </w:rPr>
            </w:pPr>
          </w:p>
        </w:tc>
        <w:tc>
          <w:tcPr>
            <w:tcW w:w="1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continue"/>
            <w:shd w:val="clear" w:color="auto" w:fill="CCEEFF"/>
          </w:tcPr>
          <w:p>
            <w:pPr>
              <w:spacing w:after="0"/>
              <w:rPr>
                <w:sz w:val="10"/>
                <w:szCs w:val="10"/>
                <w:color w:val="auto"/>
              </w:rPr>
            </w:pPr>
          </w:p>
        </w:tc>
        <w:tc>
          <w:tcPr>
            <w:tcW w:w="60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3"/>
                <w:szCs w:val="13"/>
                <w:color w:val="auto"/>
              </w:rPr>
              <w:t>Phase I</w:t>
            </w:r>
          </w:p>
        </w:tc>
        <w:tc>
          <w:tcPr>
            <w:tcW w:w="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20.00</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7"/>
              </w:rPr>
              <w:t>2,196.2</w:t>
            </w:r>
          </w:p>
        </w:tc>
        <w:tc>
          <w:tcPr>
            <w:tcW w:w="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368.0</w:t>
            </w:r>
          </w:p>
        </w:tc>
        <w:tc>
          <w:tcPr>
            <w:tcW w:w="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7"/>
              </w:rPr>
              <w:t>2,564.2</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1,975.4</w:t>
            </w:r>
          </w:p>
        </w:tc>
        <w:tc>
          <w:tcPr>
            <w:tcW w:w="1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11.94</w:t>
            </w:r>
          </w:p>
        </w:tc>
        <w:tc>
          <w:tcPr>
            <w:tcW w:w="1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77.7</w:t>
            </w:r>
          </w:p>
        </w:tc>
        <w:tc>
          <w:tcPr>
            <w:tcW w:w="10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3/11/21</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Longboard Pharmaceuticals,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Yes</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DEEs</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23.27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914.5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320.7%</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2/11/21</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Decibel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Hearing Disorders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310.3</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137.9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246.1</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12/4/20</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Silverback Therapeutics,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452.9</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277.7</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730.6</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367.9</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9"/>
              </w:rPr>
              <w:t>10/15/20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Aligos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Hepatitis B</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242.8</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0.69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51.8</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(89.8%)</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10/1/20</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Oncorus,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15.00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240.7</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98.4</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339.1</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196.6</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9/24/20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Prelude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648.5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181.9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830.4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606.6</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3.58</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226.9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(72.7%)</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9/17/20</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Athira Pharma,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Alzheimer’s Disease, Dementia</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319.9</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547.7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3.09</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117.6</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b w:val="1"/>
                <w:bCs w:val="1"/>
                <w:color w:val="auto"/>
              </w:rPr>
              <w:t>(78.5%)</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7/15/20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Relay Therapeutics,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Cancer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1,337.5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1,797.5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1,093.1</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9.72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1,238.9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(31.1%)</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6/25/20</w:t>
            </w:r>
          </w:p>
        </w:tc>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Fusion Pharmaceuticals Inc.</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Cancer</w:t>
            </w:r>
          </w:p>
        </w:tc>
        <w:tc>
          <w:tcPr>
            <w:tcW w:w="8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708.3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10.89</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858.6</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21.2%</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6/4/20</w:t>
            </w:r>
          </w:p>
        </w:tc>
        <w:tc>
          <w:tcPr>
            <w:tcW w:w="1960" w:type="dxa"/>
            <w:vAlign w:val="bottom"/>
            <w:tcBorders>
              <w:right w:val="single" w:sz="8" w:color="CCEEFF"/>
            </w:tcBorders>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Applied Molecular Transport Inc.</w:t>
            </w:r>
          </w:p>
        </w:tc>
        <w:tc>
          <w:tcPr>
            <w:tcW w:w="4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Pouchitis and Rheumatoid Arthritis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299.6</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177.1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476.7</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319.1</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NA</w:t>
            </w: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7/17/19</w:t>
            </w:r>
          </w:p>
        </w:tc>
        <w:tc>
          <w:tcPr>
            <w:tcW w:w="19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Fulcrum Therapeutics, Inc.</w:t>
            </w: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No</w:t>
            </w:r>
          </w:p>
        </w:tc>
        <w:tc>
          <w:tcPr>
            <w:tcW w:w="19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Muscular Dystrophy</w:t>
            </w:r>
          </w:p>
        </w:tc>
        <w:tc>
          <w:tcPr>
            <w:tcW w:w="8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Phase I</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301.4</w:t>
            </w:r>
          </w:p>
        </w:tc>
        <w:tc>
          <w:tcPr>
            <w:tcW w:w="1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72.0</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373.4</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247.2</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6.95</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429.7</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15.1%</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41.7</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53.2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34.4</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0.69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22.9</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High</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2,196.2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7"/>
              </w:rPr>
              <w:t>2,564.2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1,975.4</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62.82</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604.1%</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306.0</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9.01</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287.3</w:t>
            </w:r>
          </w:p>
        </w:tc>
        <w:tc>
          <w:tcPr>
            <w:tcW w:w="940" w:type="dxa"/>
            <w:vAlign w:val="bottom"/>
            <w:tcBorders>
              <w:right w:val="single" w:sz="8" w:color="CCEEFF"/>
            </w:tcBorders>
            <w:gridSpan w:val="3"/>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3"/>
                <w:szCs w:val="13"/>
                <w:b w:val="1"/>
                <w:bCs w:val="1"/>
                <w:color w:val="auto"/>
              </w:rPr>
              <w:t>(42.4%)</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Mean</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463.2</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624.6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13.18</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679.4</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36.8%</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tcBorders>
              <w:right w:val="single" w:sz="8" w:color="CCEEFF"/>
            </w:tcBorders>
            <w:gridSpan w:val="4"/>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All Selected IPOs</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Low</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9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8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0.67</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r>
              <w:rPr>
                <w:rFonts w:ascii="Times New Roman" w:cs="Times New Roman" w:eastAsia="Times New Roman" w:hAnsi="Times New Roman"/>
                <w:sz w:val="13"/>
                <w:szCs w:val="13"/>
                <w:b w:val="1"/>
                <w:bCs w:val="1"/>
                <w:u w:val="single" w:color="auto"/>
                <w:color w:val="auto"/>
              </w:rPr>
              <w:t>2</w:t>
            </w:r>
          </w:p>
        </w:tc>
        <w:tc>
          <w:tcPr>
            <w:tcW w:w="940" w:type="dxa"/>
            <w:vAlign w:val="bottom"/>
            <w:tcBorders>
              <w:top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(97.0%)</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2,196.2</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460.0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7"/>
              </w:rPr>
              <w:t>2,564.2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1,975.4</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62.82</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7"/>
              </w:rPr>
              <w:t>3,673.5</w:t>
            </w:r>
          </w:p>
        </w:tc>
        <w:tc>
          <w:tcPr>
            <w:tcW w:w="940" w:type="dxa"/>
            <w:vAlign w:val="bottom"/>
            <w:tcBorders>
              <w:right w:val="single" w:sz="8" w:color="CCEEFF"/>
            </w:tcBorders>
            <w:gridSpan w:val="3"/>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604.1%</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Median</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507.0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9.37</w:t>
            </w:r>
          </w:p>
        </w:tc>
        <w:tc>
          <w:tcPr>
            <w:tcW w:w="1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337.5</w:t>
            </w:r>
          </w:p>
        </w:tc>
        <w:tc>
          <w:tcPr>
            <w:tcW w:w="100" w:type="dxa"/>
            <w:vAlign w:val="bottom"/>
            <w:vMerge w:val="continue"/>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b w:val="1"/>
                <w:bCs w:val="1"/>
                <w:color w:val="auto"/>
              </w:rPr>
              <w:t>(32.2%)</w:t>
            </w:r>
          </w:p>
        </w:tc>
        <w:tc>
          <w:tcPr>
            <w:tcW w:w="1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15.26</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428.6</w:t>
            </w:r>
          </w:p>
        </w:tc>
        <w:tc>
          <w:tcPr>
            <w:tcW w:w="18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162.4</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591.0</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371.6</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12.09</w:t>
            </w:r>
          </w:p>
        </w:tc>
        <w:tc>
          <w:tcPr>
            <w:tcW w:w="1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606.8</w:t>
            </w:r>
          </w:p>
        </w:tc>
        <w:tc>
          <w:tcPr>
            <w:tcW w:w="940" w:type="dxa"/>
            <w:vAlign w:val="bottom"/>
            <w:tcBorders>
              <w:right w:val="single" w:sz="8" w:color="CCEEFF"/>
            </w:tcBorders>
            <w:gridSpan w:val="3"/>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25.8%</w:t>
            </w:r>
          </w:p>
        </w:tc>
        <w:tc>
          <w:tcPr>
            <w:tcW w:w="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[1] As of January 26, 2024</w:t>
      </w:r>
    </w:p>
    <w:p>
      <w:pPr>
        <w:spacing w:after="0" w:line="307"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7"/>
          <w:szCs w:val="17"/>
          <w:b w:val="1"/>
          <w:bCs w:val="1"/>
          <w:color w:val="auto"/>
        </w:rPr>
        <w:t>The disclosure under the heading “Opinion of Houlihan Lokey to the AVROBIO Board” is hereby amended and supplemented by replacing the chart on page 218 and 219 of the Registration Statement in its entirety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240" w:type="dxa"/>
            <w:vAlign w:val="bottom"/>
          </w:tcPr>
          <w:p>
            <w:pPr>
              <w:spacing w:after="0"/>
              <w:rPr>
                <w:sz w:val="15"/>
                <w:szCs w:val="15"/>
                <w:color w:val="auto"/>
              </w:rPr>
            </w:pPr>
          </w:p>
        </w:tc>
        <w:tc>
          <w:tcPr>
            <w:tcW w:w="194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Financing</w:t>
            </w:r>
          </w:p>
        </w:tc>
        <w:tc>
          <w:tcPr>
            <w:tcW w:w="6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8"/>
              </w:rPr>
              <w:t>Amount</w:t>
            </w:r>
          </w:p>
        </w:tc>
        <w:tc>
          <w:tcPr>
            <w:tcW w:w="2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Pre-Money</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 Date</w:t>
            </w:r>
          </w:p>
        </w:tc>
        <w:tc>
          <w:tcPr>
            <w:tcW w:w="200" w:type="dxa"/>
            <w:vAlign w:val="bottom"/>
          </w:tcPr>
          <w:p>
            <w:pPr>
              <w:spacing w:after="0"/>
              <w:rPr>
                <w:sz w:val="11"/>
                <w:szCs w:val="11"/>
                <w:color w:val="auto"/>
              </w:rPr>
            </w:pPr>
          </w:p>
        </w:tc>
        <w:tc>
          <w:tcPr>
            <w:tcW w:w="354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color w:val="auto"/>
              </w:rPr>
              <w:t>Company</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40" w:type="dxa"/>
            <w:vAlign w:val="bottom"/>
            <w:gridSpan w:val="3"/>
          </w:tcPr>
          <w:p>
            <w:pPr>
              <w:ind w:left="240"/>
              <w:spacing w:after="0" w:line="134" w:lineRule="exact"/>
              <w:rPr>
                <w:sz w:val="20"/>
                <w:szCs w:val="20"/>
                <w:color w:val="auto"/>
              </w:rPr>
            </w:pPr>
            <w:r>
              <w:rPr>
                <w:rFonts w:ascii="Times New Roman" w:cs="Times New Roman" w:eastAsia="Times New Roman" w:hAnsi="Times New Roman"/>
                <w:sz w:val="13"/>
                <w:szCs w:val="13"/>
                <w:color w:val="auto"/>
              </w:rPr>
              <w:t>Capital</w:t>
            </w:r>
          </w:p>
        </w:tc>
        <w:tc>
          <w:tcPr>
            <w:tcW w:w="840" w:type="dxa"/>
            <w:vAlign w:val="bottom"/>
            <w:gridSpan w:val="3"/>
            <w:vMerge w:val="continue"/>
          </w:tcPr>
          <w:p>
            <w:pPr>
              <w:spacing w:after="0"/>
              <w:rPr>
                <w:sz w:val="11"/>
                <w:szCs w:val="11"/>
                <w:color w:val="auto"/>
              </w:rPr>
            </w:pPr>
          </w:p>
        </w:tc>
        <w:tc>
          <w:tcPr>
            <w:tcW w:w="620" w:type="dxa"/>
            <w:vAlign w:val="bottom"/>
            <w:gridSpan w:val="3"/>
          </w:tcPr>
          <w:p>
            <w:pPr>
              <w:ind w:left="240"/>
              <w:spacing w:after="0" w:line="134" w:lineRule="exact"/>
              <w:rPr>
                <w:sz w:val="20"/>
                <w:szCs w:val="20"/>
                <w:color w:val="auto"/>
              </w:rPr>
            </w:pPr>
            <w:r>
              <w:rPr>
                <w:rFonts w:ascii="Times New Roman" w:cs="Times New Roman" w:eastAsia="Times New Roman" w:hAnsi="Times New Roman"/>
                <w:sz w:val="13"/>
                <w:szCs w:val="13"/>
                <w:color w:val="auto"/>
                <w:w w:val="97"/>
              </w:rPr>
              <w:t>Money</w:t>
            </w:r>
          </w:p>
        </w:tc>
        <w:tc>
          <w:tcPr>
            <w:tcW w:w="2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71"/>
        </w:trPr>
        <w:tc>
          <w:tcPr>
            <w:tcW w:w="9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Round</w:t>
            </w:r>
          </w:p>
        </w:tc>
        <w:tc>
          <w:tcPr>
            <w:tcW w:w="2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Raised</w:t>
            </w:r>
          </w:p>
        </w:tc>
        <w:tc>
          <w:tcPr>
            <w:tcW w:w="24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Raised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0" w:type="dxa"/>
            <w:vAlign w:val="bottom"/>
            <w:tcBorders>
              <w:top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Cardiovascular</w:t>
            </w:r>
          </w:p>
        </w:tc>
        <w:tc>
          <w:tcPr>
            <w:tcW w:w="200" w:type="dxa"/>
            <w:vAlign w:val="bottom"/>
            <w:tcBorders>
              <w:top w:val="single" w:sz="8" w:color="CCEEFF"/>
            </w:tcBorders>
            <w:shd w:val="clear" w:color="auto" w:fill="CCEEFF"/>
          </w:tcPr>
          <w:p>
            <w:pPr>
              <w:spacing w:after="0"/>
              <w:rPr>
                <w:sz w:val="8"/>
                <w:szCs w:val="8"/>
                <w:color w:val="auto"/>
              </w:rPr>
            </w:pPr>
          </w:p>
        </w:tc>
        <w:tc>
          <w:tcPr>
            <w:tcW w:w="3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10/31/23</w:t>
            </w:r>
          </w:p>
        </w:tc>
        <w:tc>
          <w:tcPr>
            <w:tcW w:w="100" w:type="dxa"/>
            <w:vAlign w:val="bottom"/>
            <w:tcBorders>
              <w:top w:val="single" w:sz="8" w:color="CCEEFF"/>
            </w:tcBorders>
          </w:tcPr>
          <w:p>
            <w:pPr>
              <w:spacing w:after="0"/>
              <w:rPr>
                <w:sz w:val="19"/>
                <w:szCs w:val="19"/>
                <w:color w:val="auto"/>
              </w:rPr>
            </w:pPr>
          </w:p>
        </w:tc>
        <w:tc>
          <w:tcPr>
            <w:tcW w:w="374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Imagine Pharma, Inc.</w:t>
            </w:r>
          </w:p>
        </w:tc>
        <w:tc>
          <w:tcPr>
            <w:tcW w:w="70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Series A</w:t>
            </w:r>
          </w:p>
        </w:tc>
        <w:tc>
          <w:tcPr>
            <w:tcW w:w="3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32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tcBorders>
              <w:top w:val="single" w:sz="8" w:color="CCEEFF"/>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10/17/23</w:t>
            </w:r>
          </w:p>
        </w:tc>
        <w:tc>
          <w:tcPr>
            <w:tcW w:w="100" w:type="dxa"/>
            <w:vAlign w:val="bottom"/>
            <w:shd w:val="clear" w:color="auto" w:fill="CCEEFF"/>
          </w:tcPr>
          <w:p>
            <w:pPr>
              <w:spacing w:after="0"/>
              <w:rPr>
                <w:sz w:val="10"/>
                <w:szCs w:val="10"/>
                <w:color w:val="auto"/>
              </w:rPr>
            </w:pPr>
          </w:p>
        </w:tc>
        <w:tc>
          <w:tcPr>
            <w:tcW w:w="374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Amplifier Therapeutics</w:t>
            </w:r>
          </w:p>
        </w:tc>
        <w:tc>
          <w:tcPr>
            <w:tcW w:w="70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30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33.3</w:t>
            </w:r>
          </w:p>
        </w:tc>
        <w:tc>
          <w:tcPr>
            <w:tcW w:w="320" w:type="dxa"/>
            <w:vAlign w:val="bottom"/>
            <w:gridSpan w:val="2"/>
            <w:shd w:val="clear" w:color="auto" w:fill="CCEEFF"/>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33.3</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12/14/22</w:t>
            </w:r>
          </w:p>
        </w:tc>
        <w:tc>
          <w:tcPr>
            <w:tcW w:w="100" w:type="dxa"/>
            <w:vAlign w:val="bottom"/>
          </w:tcPr>
          <w:p>
            <w:pPr>
              <w:spacing w:after="0"/>
              <w:rPr>
                <w:sz w:val="10"/>
                <w:szCs w:val="10"/>
                <w:color w:val="auto"/>
              </w:rPr>
            </w:pPr>
          </w:p>
        </w:tc>
        <w:tc>
          <w:tcPr>
            <w:tcW w:w="37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XyloCor Therapeutics</w:t>
            </w:r>
          </w:p>
        </w:tc>
        <w:tc>
          <w:tcPr>
            <w:tcW w:w="7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3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w:t>
            </w:r>
          </w:p>
        </w:tc>
        <w:tc>
          <w:tcPr>
            <w:tcW w:w="32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54.5</w:t>
            </w:r>
          </w:p>
        </w:tc>
        <w:tc>
          <w:tcPr>
            <w:tcW w:w="34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62.6</w:t>
            </w:r>
          </w:p>
        </w:tc>
        <w:tc>
          <w:tcPr>
            <w:tcW w:w="3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74.6</w:t>
            </w:r>
          </w:p>
        </w:tc>
        <w:tc>
          <w:tcPr>
            <w:tcW w:w="2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1/20/21</w:t>
            </w:r>
          </w:p>
        </w:tc>
        <w:tc>
          <w:tcPr>
            <w:tcW w:w="100" w:type="dxa"/>
            <w:vAlign w:val="bottom"/>
            <w:shd w:val="clear" w:color="auto" w:fill="CCEEFF"/>
          </w:tcPr>
          <w:p>
            <w:pPr>
              <w:spacing w:after="0"/>
              <w:rPr>
                <w:sz w:val="10"/>
                <w:szCs w:val="10"/>
                <w:color w:val="auto"/>
              </w:rPr>
            </w:pPr>
          </w:p>
        </w:tc>
        <w:tc>
          <w:tcPr>
            <w:tcW w:w="374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XyloCor Therapeutics</w:t>
            </w:r>
          </w:p>
        </w:tc>
        <w:tc>
          <w:tcPr>
            <w:tcW w:w="70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30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22.6</w:t>
            </w:r>
          </w:p>
        </w:tc>
        <w:tc>
          <w:tcPr>
            <w:tcW w:w="320" w:type="dxa"/>
            <w:vAlign w:val="bottom"/>
            <w:gridSpan w:val="2"/>
            <w:shd w:val="clear" w:color="auto" w:fill="CCEEFF"/>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42.5</w:t>
            </w:r>
          </w:p>
        </w:tc>
        <w:tc>
          <w:tcPr>
            <w:tcW w:w="340" w:type="dxa"/>
            <w:vAlign w:val="bottom"/>
            <w:gridSpan w:val="2"/>
            <w:shd w:val="clear" w:color="auto" w:fill="CCEEFF"/>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00" w:type="dxa"/>
            <w:vAlign w:val="bottom"/>
            <w:gridSpan w:val="2"/>
            <w:shd w:val="clear" w:color="auto" w:fill="CCEEFF"/>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62.6</w:t>
            </w: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7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8/19/22</w:t>
            </w:r>
          </w:p>
        </w:tc>
        <w:tc>
          <w:tcPr>
            <w:tcW w:w="100" w:type="dxa"/>
            <w:vAlign w:val="bottom"/>
          </w:tcPr>
          <w:p>
            <w:pPr>
              <w:spacing w:after="0"/>
              <w:rPr>
                <w:sz w:val="10"/>
                <w:szCs w:val="10"/>
                <w:color w:val="auto"/>
              </w:rPr>
            </w:pPr>
          </w:p>
        </w:tc>
        <w:tc>
          <w:tcPr>
            <w:tcW w:w="37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Rivus Pharmaceuticals</w:t>
            </w:r>
          </w:p>
        </w:tc>
        <w:tc>
          <w:tcPr>
            <w:tcW w:w="7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3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132.0</w:t>
            </w:r>
          </w:p>
        </w:tc>
        <w:tc>
          <w:tcPr>
            <w:tcW w:w="32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w w:val="95"/>
              </w:rPr>
              <w:t>167.0</w:t>
            </w:r>
          </w:p>
        </w:tc>
        <w:tc>
          <w:tcPr>
            <w:tcW w:w="34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300.0</w:t>
            </w:r>
          </w:p>
        </w:tc>
        <w:tc>
          <w:tcPr>
            <w:tcW w:w="30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920" w:type="dxa"/>
            <w:vAlign w:val="bottom"/>
            <w:gridSpan w:val="5"/>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820" w:top="253"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4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Post-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Lead Product</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Financing</w:t>
            </w:r>
          </w:p>
        </w:tc>
        <w:tc>
          <w:tcPr>
            <w:tcW w:w="6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auto"/>
                <w:w w:val="98"/>
              </w:rPr>
              <w:t>Amount</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Pre-Money</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8"/>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Announced Date</w:t>
            </w:r>
          </w:p>
        </w:tc>
        <w:tc>
          <w:tcPr>
            <w:tcW w:w="120" w:type="dxa"/>
            <w:vAlign w:val="bottom"/>
          </w:tcPr>
          <w:p>
            <w:pPr>
              <w:spacing w:after="0"/>
              <w:rPr>
                <w:sz w:val="11"/>
                <w:szCs w:val="11"/>
                <w:color w:val="auto"/>
              </w:rPr>
            </w:pPr>
          </w:p>
        </w:tc>
        <w:tc>
          <w:tcPr>
            <w:tcW w:w="3220" w:type="dxa"/>
            <w:vAlign w:val="bottom"/>
            <w:vMerge w:val="restart"/>
          </w:tcPr>
          <w:p>
            <w:pPr>
              <w:ind w:left="1280"/>
              <w:spacing w:after="0"/>
              <w:rPr>
                <w:sz w:val="20"/>
                <w:szCs w:val="20"/>
                <w:color w:val="auto"/>
              </w:rPr>
            </w:pPr>
            <w:r>
              <w:rPr>
                <w:rFonts w:ascii="Times New Roman" w:cs="Times New Roman" w:eastAsia="Times New Roman" w:hAnsi="Times New Roman"/>
                <w:sz w:val="13"/>
                <w:szCs w:val="13"/>
                <w:color w:val="auto"/>
              </w:rPr>
              <w:t>Company</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0" w:type="dxa"/>
            <w:vAlign w:val="bottom"/>
            <w:gridSpan w:val="3"/>
          </w:tcPr>
          <w:p>
            <w:pPr>
              <w:jc w:val="center"/>
              <w:ind w:left="133"/>
              <w:spacing w:after="0" w:line="134" w:lineRule="exact"/>
              <w:rPr>
                <w:sz w:val="20"/>
                <w:szCs w:val="20"/>
                <w:color w:val="auto"/>
              </w:rPr>
            </w:pPr>
            <w:r>
              <w:rPr>
                <w:rFonts w:ascii="Times New Roman" w:cs="Times New Roman" w:eastAsia="Times New Roman" w:hAnsi="Times New Roman"/>
                <w:sz w:val="13"/>
                <w:szCs w:val="13"/>
                <w:color w:val="auto"/>
              </w:rPr>
              <w:t>Capital</w:t>
            </w:r>
          </w:p>
        </w:tc>
        <w:tc>
          <w:tcPr>
            <w:tcW w:w="820" w:type="dxa"/>
            <w:vAlign w:val="bottom"/>
            <w:gridSpan w:val="3"/>
            <w:vMerge w:val="continue"/>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3"/>
                <w:szCs w:val="13"/>
                <w:color w:val="auto"/>
              </w:rPr>
              <w:t>Money</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8"/>
            <w:vMerge w:val="continue"/>
          </w:tcPr>
          <w:p>
            <w:pPr>
              <w:spacing w:after="0"/>
              <w:rPr>
                <w:sz w:val="11"/>
                <w:szCs w:val="11"/>
                <w:color w:val="auto"/>
              </w:rPr>
            </w:pPr>
          </w:p>
        </w:tc>
        <w:tc>
          <w:tcPr>
            <w:tcW w:w="7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Phase</w:t>
            </w:r>
          </w:p>
        </w:tc>
        <w:tc>
          <w:tcPr>
            <w:tcW w:w="0" w:type="dxa"/>
            <w:vAlign w:val="bottom"/>
          </w:tcPr>
          <w:p>
            <w:pPr>
              <w:spacing w:after="0"/>
              <w:rPr>
                <w:sz w:val="1"/>
                <w:szCs w:val="1"/>
                <w:color w:val="auto"/>
              </w:rPr>
            </w:pPr>
          </w:p>
        </w:tc>
      </w:tr>
      <w:tr>
        <w:trPr>
          <w:trHeight w:val="171"/>
        </w:trPr>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Round</w:t>
            </w:r>
          </w:p>
        </w:tc>
        <w:tc>
          <w:tcPr>
            <w:tcW w:w="1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Raised</w:t>
            </w:r>
          </w:p>
        </w:tc>
        <w:tc>
          <w:tcPr>
            <w:tcW w:w="22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Raised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Value</w:t>
            </w:r>
          </w:p>
        </w:tc>
        <w:tc>
          <w:tcPr>
            <w:tcW w:w="22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8"/>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7/20/21</w:t>
            </w:r>
          </w:p>
        </w:tc>
        <w:tc>
          <w:tcPr>
            <w:tcW w:w="180" w:type="dxa"/>
            <w:vAlign w:val="bottom"/>
            <w:tcBorders>
              <w:top w:val="single" w:sz="8" w:color="CCEEFF"/>
            </w:tcBorders>
            <w:shd w:val="clear" w:color="auto" w:fill="CCEEFF"/>
          </w:tcPr>
          <w:p>
            <w:pPr>
              <w:spacing w:after="0"/>
              <w:rPr>
                <w:sz w:val="9"/>
                <w:szCs w:val="9"/>
                <w:color w:val="auto"/>
              </w:rPr>
            </w:pPr>
          </w:p>
        </w:tc>
        <w:tc>
          <w:tcPr>
            <w:tcW w:w="3340" w:type="dxa"/>
            <w:vAlign w:val="bottom"/>
            <w:tcBorders>
              <w:top w:val="single" w:sz="8" w:color="auto"/>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Rivus Pharmaceuticals</w:t>
            </w: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Series A</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35.0</w:t>
            </w: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35.0</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15.0</w:t>
            </w: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50.0</w:t>
            </w:r>
          </w:p>
        </w:tc>
        <w:tc>
          <w:tcPr>
            <w:tcW w:w="240" w:type="dxa"/>
            <w:vAlign w:val="bottom"/>
            <w:tcBorders>
              <w:top w:val="single" w:sz="8" w:color="CCEEFF"/>
              <w:right w:val="single" w:sz="8" w:color="CCEEFF"/>
            </w:tcBorders>
            <w:shd w:val="clear" w:color="auto" w:fill="CCEEFF"/>
          </w:tcPr>
          <w:p>
            <w:pPr>
              <w:spacing w:after="0"/>
              <w:rPr>
                <w:sz w:val="9"/>
                <w:szCs w:val="9"/>
                <w:color w:val="auto"/>
              </w:rPr>
            </w:pPr>
          </w:p>
        </w:tc>
        <w:tc>
          <w:tcPr>
            <w:tcW w:w="1380" w:type="dxa"/>
            <w:vAlign w:val="bottom"/>
            <w:tcBorders>
              <w:top w:val="single" w:sz="8" w:color="auto"/>
            </w:tcBorders>
            <w:gridSpan w:val="8"/>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Cardiovascular</w:t>
            </w: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700" w:type="dxa"/>
            <w:vAlign w:val="bottom"/>
            <w:tcBorders>
              <w:top w:val="single" w:sz="8" w:color="auto"/>
            </w:tcBorders>
            <w:gridSpan w:val="4"/>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6/1/22</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Mineralys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118.0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158.0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268.0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1/18/22</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Mineralys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37.5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77.5</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12/20/21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Armgo Pharma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9/22/21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CinCor Pharma</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142.9</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192.9</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230.0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372.9</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5/14/19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CinCor Pharma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65.0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8/31/21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Versanis Bio</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105.0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3/1/21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Tenaya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106.0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248.0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270.0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376.0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10/3/19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Tenaya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92.0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142.0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118.0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210.0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1/14/21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Verve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94.0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215.5</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419.0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1/11/20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Verve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A2</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63.0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121.5</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193.0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12/8/20</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Edgewise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95.0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295.0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9/17/19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Edgewise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60.0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10/21/20</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InCarda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77.9</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128.3</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158.3</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8/14/19</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Renovacor</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11.3</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22.3</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Cardiovascular</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Low</w:t>
            </w:r>
          </w:p>
        </w:tc>
        <w:tc>
          <w:tcPr>
            <w:tcW w:w="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142.9</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248.0</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90.3</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139.2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63.2</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97.7</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120.2</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187.3</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Early Stage - GPCR</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88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12/14/23</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Deep Apple Therapeutics</w:t>
            </w:r>
          </w:p>
        </w:tc>
        <w:tc>
          <w:tcPr>
            <w:tcW w:w="680" w:type="dxa"/>
            <w:vAlign w:val="bottom"/>
            <w:tcBorders>
              <w:bottom w:val="single" w:sz="8" w:color="CCEEFF"/>
            </w:tcBorders>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52.0</w:t>
            </w:r>
          </w:p>
        </w:tc>
        <w:tc>
          <w:tcPr>
            <w:tcW w:w="28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57.0</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tcBorders>
              <w:left w:val="single" w:sz="8" w:color="CCEEFF"/>
              <w:bottom w:val="single" w:sz="8" w:color="CCEEFF"/>
              <w:right w:val="single" w:sz="8" w:color="CCEEFF"/>
            </w:tcBorders>
            <w:gridSpan w:val="7"/>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7/11/23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Septerna</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170.0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320.0</w:t>
            </w:r>
          </w:p>
        </w:tc>
        <w:tc>
          <w:tcPr>
            <w:tcW w:w="240" w:type="dxa"/>
            <w:vAlign w:val="bottom"/>
          </w:tcPr>
          <w:p>
            <w:pPr>
              <w:spacing w:after="0"/>
              <w:rPr>
                <w:sz w:val="10"/>
                <w:szCs w:val="10"/>
                <w:color w:val="auto"/>
              </w:rPr>
            </w:pPr>
          </w:p>
        </w:tc>
        <w:tc>
          <w:tcPr>
            <w:tcW w:w="58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Hormonal</w:t>
            </w:r>
          </w:p>
        </w:tc>
        <w:tc>
          <w:tcPr>
            <w:tcW w:w="1000" w:type="dxa"/>
            <w:vAlign w:val="bottom"/>
            <w:gridSpan w:val="6"/>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1/27/22</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Septerna</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32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145.0</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Hormonal</w:t>
            </w:r>
          </w:p>
        </w:tc>
        <w:tc>
          <w:tcPr>
            <w:tcW w:w="1000" w:type="dxa"/>
            <w:vAlign w:val="bottom"/>
            <w:tcBorders>
              <w:bottom w:val="single" w:sz="8" w:color="CCEEFF"/>
              <w:right w:val="single" w:sz="8" w:color="CCEEFF"/>
            </w:tcBorders>
            <w:gridSpan w:val="6"/>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4/20/23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Enveda Biosciences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119.0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175.0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200.0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319.0</w:t>
            </w:r>
          </w:p>
        </w:tc>
        <w:tc>
          <w:tcPr>
            <w:tcW w:w="240" w:type="dxa"/>
            <w:vAlign w:val="bottom"/>
          </w:tcPr>
          <w:p>
            <w:pPr>
              <w:spacing w:after="0"/>
              <w:rPr>
                <w:sz w:val="10"/>
                <w:szCs w:val="10"/>
                <w:color w:val="auto"/>
              </w:rPr>
            </w:pPr>
          </w:p>
        </w:tc>
        <w:tc>
          <w:tcPr>
            <w:tcW w:w="600" w:type="dxa"/>
            <w:vAlign w:val="bottom"/>
            <w:tcBorders>
              <w:bottom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Movement</w:t>
            </w:r>
          </w:p>
        </w:tc>
        <w:tc>
          <w:tcPr>
            <w:tcW w:w="980" w:type="dxa"/>
            <w:vAlign w:val="bottom"/>
            <w:gridSpan w:val="5"/>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6/22/21</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Enveda Biosciences</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51.0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32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70.0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100.1</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7"/>
              </w:rPr>
              <w:t>Movement</w:t>
            </w:r>
          </w:p>
        </w:tc>
        <w:tc>
          <w:tcPr>
            <w:tcW w:w="980" w:type="dxa"/>
            <w:vAlign w:val="bottom"/>
            <w:tcBorders>
              <w:bottom w:val="single" w:sz="8" w:color="CCEEFF"/>
              <w:right w:val="single" w:sz="8" w:color="CCEEFF"/>
            </w:tcBorders>
            <w:gridSpan w:val="5"/>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Preclinical</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2/15/23</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Maxion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15.9</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15.9</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13.7</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29.5</w:t>
            </w:r>
          </w:p>
        </w:tc>
        <w:tc>
          <w:tcPr>
            <w:tcW w:w="240" w:type="dxa"/>
            <w:vAlign w:val="bottom"/>
          </w:tcPr>
          <w:p>
            <w:pPr>
              <w:spacing w:after="0"/>
              <w:rPr>
                <w:sz w:val="10"/>
                <w:szCs w:val="10"/>
                <w:color w:val="auto"/>
              </w:rPr>
            </w:pPr>
          </w:p>
        </w:tc>
        <w:tc>
          <w:tcPr>
            <w:tcW w:w="720" w:type="dxa"/>
            <w:vAlign w:val="bottom"/>
            <w:tcBorders>
              <w:bottom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Immunology</w:t>
            </w:r>
          </w:p>
        </w:tc>
        <w:tc>
          <w:tcPr>
            <w:tcW w:w="860" w:type="dxa"/>
            <w:vAlign w:val="bottom"/>
            <w:gridSpan w:val="4"/>
          </w:tcPr>
          <w:p>
            <w:pPr>
              <w:spacing w:after="0"/>
              <w:rPr>
                <w:sz w:val="10"/>
                <w:szCs w:val="10"/>
                <w:color w:val="auto"/>
              </w:rPr>
            </w:pPr>
          </w:p>
        </w:tc>
        <w:tc>
          <w:tcPr>
            <w:tcW w:w="60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10/25/21</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Pathios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35.2</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20.3</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36.5</w:t>
            </w: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4"/>
              </w:rPr>
              <w:t>NA</w:t>
            </w:r>
          </w:p>
        </w:tc>
        <w:tc>
          <w:tcPr>
            <w:tcW w:w="1400" w:type="dxa"/>
            <w:vAlign w:val="bottom"/>
            <w:tcBorders>
              <w:right w:val="single" w:sz="8" w:color="CCEEFF"/>
            </w:tcBorders>
            <w:gridSpan w:val="8"/>
            <w:shd w:val="clear" w:color="auto" w:fill="CCEEFF"/>
          </w:tcPr>
          <w:p>
            <w:pPr>
              <w:spacing w:after="0"/>
              <w:rPr>
                <w:sz w:val="10"/>
                <w:szCs w:val="10"/>
                <w:color w:val="auto"/>
              </w:rPr>
            </w:pP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11/28/22</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Escient Pharmaceuticals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C</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120.0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237.5</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spacing w:after="0"/>
              <w:rPr>
                <w:sz w:val="10"/>
                <w:szCs w:val="10"/>
                <w:color w:val="auto"/>
              </w:rPr>
            </w:pPr>
          </w:p>
        </w:tc>
        <w:tc>
          <w:tcPr>
            <w:tcW w:w="1580" w:type="dxa"/>
            <w:vAlign w:val="bottom"/>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Dermatology</w:t>
            </w: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8/25/20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Escient Pharmaceuticals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77.5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117.5</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72.5</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150.0</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Dermatology</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top w:val="single" w:sz="8" w:color="CCEEFF"/>
            </w:tcBorders>
          </w:tcPr>
          <w:p>
            <w:pPr>
              <w:spacing w:after="0" w:line="118" w:lineRule="exact"/>
              <w:rPr>
                <w:sz w:val="20"/>
                <w:szCs w:val="20"/>
                <w:color w:val="auto"/>
              </w:rPr>
            </w:pPr>
            <w:r>
              <w:rPr>
                <w:rFonts w:ascii="Times New Roman" w:cs="Times New Roman" w:eastAsia="Times New Roman" w:hAnsi="Times New Roman"/>
                <w:sz w:val="13"/>
                <w:szCs w:val="13"/>
                <w:color w:val="auto"/>
              </w:rPr>
              <w:t>8/1/22</w:t>
            </w:r>
          </w:p>
        </w:tc>
        <w:tc>
          <w:tcPr>
            <w:tcW w:w="180" w:type="dxa"/>
            <w:vAlign w:val="bottom"/>
            <w:tcBorders>
              <w:top w:val="single" w:sz="8" w:color="CCEEFF"/>
            </w:tcBorders>
          </w:tcPr>
          <w:p>
            <w:pPr>
              <w:spacing w:after="0"/>
              <w:rPr>
                <w:sz w:val="10"/>
                <w:szCs w:val="10"/>
                <w:color w:val="auto"/>
              </w:rPr>
            </w:pPr>
          </w:p>
        </w:tc>
        <w:tc>
          <w:tcPr>
            <w:tcW w:w="3340" w:type="dxa"/>
            <w:vAlign w:val="bottom"/>
            <w:tcBorders>
              <w:top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tcBorders>
              <w:top w:val="single" w:sz="8" w:color="CCEEFF"/>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B</w:t>
            </w:r>
          </w:p>
        </w:tc>
        <w:tc>
          <w:tcPr>
            <w:tcW w:w="280" w:type="dxa"/>
            <w:vAlign w:val="bottom"/>
            <w:tcBorders>
              <w:top w:val="single" w:sz="8" w:color="CCEEFF"/>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133.0</w:t>
            </w:r>
          </w:p>
        </w:tc>
        <w:tc>
          <w:tcPr>
            <w:tcW w:w="2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191.0</w:t>
            </w:r>
          </w:p>
        </w:tc>
        <w:tc>
          <w:tcPr>
            <w:tcW w:w="32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218.0</w:t>
            </w:r>
          </w:p>
        </w:tc>
        <w:tc>
          <w:tcPr>
            <w:tcW w:w="280" w:type="dxa"/>
            <w:vAlign w:val="bottom"/>
            <w:tcBorders>
              <w:top w:val="single" w:sz="8" w:color="CCEEFF"/>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351.0</w:t>
            </w:r>
          </w:p>
        </w:tc>
        <w:tc>
          <w:tcPr>
            <w:tcW w:w="240" w:type="dxa"/>
            <w:vAlign w:val="bottom"/>
            <w:tcBorders>
              <w:top w:val="single" w:sz="8" w:color="CCEEFF"/>
            </w:tcBorders>
          </w:tcPr>
          <w:p>
            <w:pPr>
              <w:spacing w:after="0"/>
              <w:rPr>
                <w:sz w:val="10"/>
                <w:szCs w:val="10"/>
                <w:color w:val="auto"/>
              </w:rPr>
            </w:pPr>
          </w:p>
        </w:tc>
        <w:tc>
          <w:tcPr>
            <w:tcW w:w="5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200" w:type="dxa"/>
            <w:vAlign w:val="bottom"/>
            <w:tcBorders>
              <w:top w:val="single" w:sz="8" w:color="auto"/>
            </w:tcBorders>
            <w:gridSpan w:val="3"/>
          </w:tcPr>
          <w:p>
            <w:pPr>
              <w:spacing w:after="0"/>
              <w:rPr>
                <w:sz w:val="10"/>
                <w:szCs w:val="10"/>
                <w:color w:val="auto"/>
              </w:rPr>
            </w:pPr>
          </w:p>
        </w:tc>
        <w:tc>
          <w:tcPr>
            <w:tcW w:w="860" w:type="dxa"/>
            <w:vAlign w:val="bottom"/>
            <w:tcBorders>
              <w:top w:val="single" w:sz="8" w:color="CCEEFF"/>
            </w:tcBorders>
            <w:gridSpan w:val="4"/>
          </w:tcPr>
          <w:p>
            <w:pPr>
              <w:spacing w:after="0"/>
              <w:rPr>
                <w:sz w:val="10"/>
                <w:szCs w:val="10"/>
                <w:color w:val="auto"/>
              </w:rPr>
            </w:pPr>
          </w:p>
        </w:tc>
        <w:tc>
          <w:tcPr>
            <w:tcW w:w="6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3/11/20</w:t>
            </w:r>
          </w:p>
        </w:tc>
        <w:tc>
          <w:tcPr>
            <w:tcW w:w="180" w:type="dxa"/>
            <w:vAlign w:val="bottom"/>
            <w:tcBorders>
              <w:bottom w:val="single" w:sz="8" w:color="CCEEFF"/>
            </w:tcBorders>
            <w:shd w:val="clear" w:color="auto" w:fill="CCEEFF"/>
          </w:tcPr>
          <w:p>
            <w:pPr>
              <w:spacing w:after="0"/>
              <w:rPr>
                <w:sz w:val="10"/>
                <w:szCs w:val="10"/>
                <w:color w:val="auto"/>
              </w:rPr>
            </w:pPr>
          </w:p>
        </w:tc>
        <w:tc>
          <w:tcPr>
            <w:tcW w:w="3340" w:type="dxa"/>
            <w:vAlign w:val="bottom"/>
            <w:tcBorders>
              <w:bottom w:val="single" w:sz="8" w:color="CCEE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tcBorders>
              <w:bottom w:val="single" w:sz="8" w:color="CCEEFF"/>
            </w:tcBorders>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A1</w:t>
            </w:r>
          </w:p>
        </w:tc>
        <w:tc>
          <w:tcPr>
            <w:tcW w:w="280" w:type="dxa"/>
            <w:vAlign w:val="bottom"/>
            <w:tcBorders>
              <w:bottom w:val="single" w:sz="8" w:color="CCEEFF"/>
            </w:tcBorders>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26.0</w:t>
            </w:r>
          </w:p>
        </w:tc>
        <w:tc>
          <w:tcPr>
            <w:tcW w:w="280" w:type="dxa"/>
            <w:vAlign w:val="bottom"/>
            <w:tcBorders>
              <w:bottom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58.0</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bottom w:val="single" w:sz="8" w:color="CCEEFF"/>
              <w:right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tcBorders>
              <w:left w:val="single" w:sz="8" w:color="CCEEFF"/>
              <w:bottom w:val="single" w:sz="8" w:color="CCEEFF"/>
              <w:right w:val="single" w:sz="8" w:color="CCEEFF"/>
            </w:tcBorders>
            <w:gridSpan w:val="7"/>
            <w:shd w:val="clear" w:color="auto" w:fill="CCEEFF"/>
          </w:tcPr>
          <w:p>
            <w:pPr>
              <w:spacing w:after="0"/>
              <w:rPr>
                <w:sz w:val="10"/>
                <w:szCs w:val="10"/>
                <w:color w:val="auto"/>
              </w:rPr>
            </w:pPr>
          </w:p>
        </w:tc>
        <w:tc>
          <w:tcPr>
            <w:tcW w:w="600" w:type="dxa"/>
            <w:vAlign w:val="bottom"/>
            <w:tcBorders>
              <w:bottom w:val="single" w:sz="8" w:color="auto"/>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4/29/19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Structure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Pr>
          <w:p>
            <w:pPr>
              <w:spacing w:after="0"/>
              <w:rPr>
                <w:sz w:val="10"/>
                <w:szCs w:val="10"/>
                <w:color w:val="auto"/>
              </w:rPr>
            </w:pPr>
          </w:p>
        </w:tc>
        <w:tc>
          <w:tcPr>
            <w:tcW w:w="5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6"/>
              </w:rPr>
              <w:t>Metabolic</w:t>
            </w:r>
          </w:p>
        </w:tc>
        <w:tc>
          <w:tcPr>
            <w:tcW w:w="1060" w:type="dxa"/>
            <w:vAlign w:val="bottom"/>
            <w:gridSpan w:val="7"/>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5/10/22</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Domain Therapeutics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42.0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90.0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NA</w:t>
            </w:r>
          </w:p>
        </w:tc>
        <w:tc>
          <w:tcPr>
            <w:tcW w:w="240" w:type="dxa"/>
            <w:vAlign w:val="bottom"/>
            <w:tcBorders>
              <w:right w:val="single" w:sz="8" w:color="CCEEFF"/>
            </w:tcBorders>
            <w:shd w:val="clear" w:color="auto" w:fill="CCEEFF"/>
          </w:tcPr>
          <w:p>
            <w:pPr>
              <w:spacing w:after="0"/>
              <w:rPr>
                <w:sz w:val="10"/>
                <w:szCs w:val="10"/>
                <w:color w:val="auto"/>
              </w:rPr>
            </w:pPr>
          </w:p>
        </w:tc>
        <w:tc>
          <w:tcPr>
            <w:tcW w:w="1580" w:type="dxa"/>
            <w:vAlign w:val="bottom"/>
            <w:tcBorders>
              <w:right w:val="single" w:sz="8" w:color="CCEEFF"/>
            </w:tcBorders>
            <w:gridSpan w:val="9"/>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Immuno-Oncology</w:t>
            </w: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Inactive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2/23/21</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Teon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30.0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35.0</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63.7</w:t>
            </w:r>
          </w:p>
        </w:tc>
        <w:tc>
          <w:tcPr>
            <w:tcW w:w="240" w:type="dxa"/>
            <w:vAlign w:val="bottom"/>
          </w:tcPr>
          <w:p>
            <w:pPr>
              <w:spacing w:after="0"/>
              <w:rPr>
                <w:sz w:val="10"/>
                <w:szCs w:val="10"/>
                <w:color w:val="auto"/>
              </w:rPr>
            </w:pPr>
          </w:p>
        </w:tc>
        <w:tc>
          <w:tcPr>
            <w:tcW w:w="1060" w:type="dxa"/>
            <w:vAlign w:val="bottom"/>
            <w:gridSpan w:val="7"/>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Oncology</w:t>
            </w:r>
          </w:p>
        </w:tc>
        <w:tc>
          <w:tcPr>
            <w:tcW w:w="520" w:type="dxa"/>
            <w:vAlign w:val="bottom"/>
            <w:gridSpan w:val="2"/>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Preclinical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10/28/20</w:t>
            </w:r>
          </w:p>
        </w:tc>
        <w:tc>
          <w:tcPr>
            <w:tcW w:w="180" w:type="dxa"/>
            <w:vAlign w:val="bottom"/>
            <w:shd w:val="clear" w:color="auto" w:fill="CCEEFF"/>
          </w:tcPr>
          <w:p>
            <w:pPr>
              <w:spacing w:after="0"/>
              <w:rPr>
                <w:sz w:val="10"/>
                <w:szCs w:val="10"/>
                <w:color w:val="auto"/>
              </w:rPr>
            </w:pPr>
          </w:p>
        </w:tc>
        <w:tc>
          <w:tcPr>
            <w:tcW w:w="3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Longboard Pharmaceuticals</w:t>
            </w:r>
          </w:p>
        </w:tc>
        <w:tc>
          <w:tcPr>
            <w:tcW w:w="680" w:type="dxa"/>
            <w:vAlign w:val="bottom"/>
            <w:gridSpan w:val="2"/>
            <w:shd w:val="clear" w:color="auto" w:fill="CCEEFF"/>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shd w:val="clear" w:color="auto" w:fill="CCEEFF"/>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56.0</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45.0</w:t>
            </w:r>
          </w:p>
        </w:tc>
        <w:tc>
          <w:tcPr>
            <w:tcW w:w="2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101.0</w:t>
            </w:r>
          </w:p>
        </w:tc>
        <w:tc>
          <w:tcPr>
            <w:tcW w:w="240" w:type="dxa"/>
            <w:vAlign w:val="bottom"/>
            <w:tcBorders>
              <w:right w:val="single" w:sz="8" w:color="CCEEFF"/>
            </w:tcBorders>
            <w:shd w:val="clear" w:color="auto" w:fill="CCEEFF"/>
          </w:tcPr>
          <w:p>
            <w:pPr>
              <w:spacing w:after="0"/>
              <w:rPr>
                <w:sz w:val="10"/>
                <w:szCs w:val="10"/>
                <w:color w:val="auto"/>
              </w:rPr>
            </w:pPr>
          </w:p>
        </w:tc>
        <w:tc>
          <w:tcPr>
            <w:tcW w:w="1380" w:type="dxa"/>
            <w:vAlign w:val="bottom"/>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Central Nervous System</w:t>
            </w:r>
          </w:p>
        </w:tc>
        <w:tc>
          <w:tcPr>
            <w:tcW w:w="20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4"/>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Phase I</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88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5/1/19</w:t>
            </w:r>
          </w:p>
        </w:tc>
        <w:tc>
          <w:tcPr>
            <w:tcW w:w="180" w:type="dxa"/>
            <w:vAlign w:val="bottom"/>
          </w:tcPr>
          <w:p>
            <w:pPr>
              <w:spacing w:after="0"/>
              <w:rPr>
                <w:sz w:val="10"/>
                <w:szCs w:val="10"/>
                <w:color w:val="auto"/>
              </w:rPr>
            </w:pPr>
          </w:p>
        </w:tc>
        <w:tc>
          <w:tcPr>
            <w:tcW w:w="33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Confo Therapeutics</w:t>
            </w:r>
          </w:p>
        </w:tc>
        <w:tc>
          <w:tcPr>
            <w:tcW w:w="6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Series A</w:t>
            </w:r>
          </w:p>
        </w:tc>
        <w:tc>
          <w:tcPr>
            <w:tcW w:w="2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33.1</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40.4</w:t>
            </w:r>
          </w:p>
        </w:tc>
        <w:tc>
          <w:tcPr>
            <w:tcW w:w="3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14.9</w:t>
            </w:r>
          </w:p>
        </w:tc>
        <w:tc>
          <w:tcPr>
            <w:tcW w:w="2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48.0</w:t>
            </w:r>
          </w:p>
        </w:tc>
        <w:tc>
          <w:tcPr>
            <w:tcW w:w="240" w:type="dxa"/>
            <w:vAlign w:val="bottom"/>
          </w:tcPr>
          <w:p>
            <w:pPr>
              <w:spacing w:after="0"/>
              <w:rPr>
                <w:sz w:val="10"/>
                <w:szCs w:val="10"/>
                <w:color w:val="auto"/>
              </w:rPr>
            </w:pPr>
          </w:p>
        </w:tc>
        <w:tc>
          <w:tcPr>
            <w:tcW w:w="1380" w:type="dxa"/>
            <w:vAlign w:val="bottom"/>
            <w:gridSpan w:val="8"/>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Neurology</w:t>
            </w:r>
          </w:p>
        </w:tc>
        <w:tc>
          <w:tcPr>
            <w:tcW w:w="200" w:type="dxa"/>
            <w:vAlign w:val="bottom"/>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Discovery</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Low</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15.9</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13.7</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29.5</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218.0</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51.5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57.5</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123.0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Mean</w:t>
            </w:r>
          </w:p>
        </w:tc>
        <w:tc>
          <w:tcPr>
            <w:tcW w:w="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400" w:type="dxa"/>
            <w:vAlign w:val="bottom"/>
            <w:gridSpan w:val="4"/>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All Private Financings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color w:val="auto"/>
              </w:rPr>
              <w:t>Low</w:t>
            </w:r>
          </w:p>
        </w:tc>
        <w:tc>
          <w:tcPr>
            <w:tcW w:w="120" w:type="dxa"/>
            <w:vAlign w:val="bottom"/>
            <w:tcBorders>
              <w:top w:val="single" w:sz="8" w:color="auto"/>
            </w:tcBorders>
          </w:tcPr>
          <w:p>
            <w:pPr>
              <w:spacing w:after="0"/>
              <w:rPr>
                <w:sz w:val="11"/>
                <w:szCs w:val="11"/>
                <w:color w:val="auto"/>
              </w:rPr>
            </w:pPr>
          </w:p>
        </w:tc>
        <w:tc>
          <w:tcPr>
            <w:tcW w:w="32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11.0</w:t>
            </w:r>
          </w:p>
        </w:tc>
        <w:tc>
          <w:tcPr>
            <w:tcW w:w="28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11.0</w:t>
            </w:r>
          </w:p>
        </w:tc>
        <w:tc>
          <w:tcPr>
            <w:tcW w:w="32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11.3</w:t>
            </w:r>
          </w:p>
        </w:tc>
        <w:tc>
          <w:tcPr>
            <w:tcW w:w="280" w:type="dxa"/>
            <w:vAlign w:val="bottom"/>
            <w:tcBorders>
              <w:top w:val="single" w:sz="8" w:color="CCEEFF"/>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22.3</w:t>
            </w:r>
          </w:p>
        </w:tc>
        <w:tc>
          <w:tcPr>
            <w:tcW w:w="2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High</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150.0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250.0</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432.0</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Median</w:t>
            </w: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50.5</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59.0</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66.3</w:t>
            </w:r>
          </w:p>
        </w:tc>
        <w:tc>
          <w:tcPr>
            <w:tcW w:w="2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132.5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Mean</w:t>
            </w:r>
          </w:p>
        </w:tc>
        <w:tc>
          <w:tcPr>
            <w:tcW w:w="1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64.5</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97.2</w:t>
            </w:r>
          </w:p>
        </w:tc>
        <w:tc>
          <w:tcPr>
            <w:tcW w:w="32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106.6</w:t>
            </w:r>
          </w:p>
        </w:tc>
        <w:tc>
          <w:tcPr>
            <w:tcW w:w="28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176.2</w:t>
            </w:r>
          </w:p>
        </w:tc>
        <w:tc>
          <w:tcPr>
            <w:tcW w:w="2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820" w:top="253"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36830"/>
                    </a:xfrm>
                    <a:prstGeom prst="rect">
                      <a:avLst/>
                    </a:prstGeom>
                    <a:noFill/>
                  </pic:spPr>
                </pic:pic>
              </a:graphicData>
            </a:graphic>
          </wp:anchor>
        </w:drawing>
        <w:t>Forward-Looking Statements</w:t>
      </w:r>
    </w:p>
    <w:p>
      <w:pPr>
        <w:spacing w:after="0" w:line="1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expectations regarding the ownership structure of the combined company; the anticipated timing of the Closing;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financings will be those that have been anticipated.</w:t>
      </w:r>
    </w:p>
    <w:p>
      <w:pPr>
        <w:spacing w:after="0" w:line="16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2023, which was filed with the SEC on March 14, 2024, subsequent Quarterly Reports on Form 10-Q filed with the SEC, as well as the final prospectus on Form 424(b)(3) filed with the SEC on May 3, 2024, and in other filings that AVROBIO makes and will make with the SEC in connection with the proposed Merger.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AVROBIO or Tectonic.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11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of 1933, as amended, and otherwise in accordance with applicable law.</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Additional Information About the Proposed Transaction</w:t>
      </w:r>
    </w:p>
    <w:p>
      <w:pPr>
        <w:spacing w:after="0" w:line="11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Current Report on Form 8-K and the exhibits filed or furnished herewith are not substitutes for the registration statement or for any other document that AVROBIO has filed with the SEC in connection with the proposed transaction. In connection with the proposed transaction between AVROBIO and Tectonic, AVROBIO has filed relevant materials with the SEC, including a registration statement on Form S-4 that contains a proxy statement/prospectus of AVROBIO. AVROBIO URGES INVESTORS AND STOCKHOLDERS TO READ THE REGISTRATION STATEMENT, PROXY STATEMENT/PROSPECTUS AND ANY OTHER RELEVANT DOCUMENTS THAT HAVE BEEN OR MAY BE FILED WITH THE SEC, AS WELL AS ANY AMENDMENTS OR SUPPLEMENTS TO THESE DOCUMENTS, CAREFULLY AND IN THEIR ENTIRETY IF AND WHEN THEY BECOME AVAILABLE BECAUSE THEY WILL CONTAIN IMPORTANT INFORMATION ABOUT AVROBIO, TECTONIC, THE PROPOSED TRANSACTION AND RELATED MATTERS. Investors and stockholders may obtain free copies of the proxy statement/prospectus and other documents filed by AVROBIO with the SEC (when they become available) through the website maintained by the SEC at www.sec.gov. In addition, investors and stockholders should note that AVROBIO communicates with investors and the public using its website (https://www.avrobio.com) and the investor relations website (https://investors.avrobio.com) where anyone may obtain free copies of the proxy statement/prospectus and other documents filed by AVROBIO with the SEC and stockholders are urged to read the proxy statement/prospectus and the other relevant materials when they become available before making any voting or investment decision with respect to the proposed transaction.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1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AVROBIO, Tectonic and their respective directors and executive officers may be deemed to be participants in the solicitation of proxies from stockholders in connection with the proposed transaction. Information about AVROBIO’s directors and executive officers including a description of their interests in AVROBIO is included in AVROBIO’s most recent Annual Report on Form 10-K, including any information incorporated therein by reference, as filed with the SEC. Additional information regarding these persons and their interests in the proposed transaction is included in the proxy statement/prospectus relating to the proposed transaction filed with the SEC. These documents can be obtained free of charge from the sources indicated above.</w:t>
      </w:r>
    </w:p>
    <w:p>
      <w:pPr>
        <w:sectPr>
          <w:pgSz w:w="11900" w:h="16838" w:orient="portrait"/>
          <w:cols w:equalWidth="0" w:num="1">
            <w:col w:w="10220"/>
          </w:cols>
          <w:pgMar w:left="820" w:top="257" w:right="85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36830"/>
                    </a:xfrm>
                    <a:prstGeom prst="rect">
                      <a:avLst/>
                    </a:prstGeom>
                    <a:noFill/>
                  </pic:spPr>
                </pic:pic>
              </a:graphicData>
            </a:graphic>
          </wp:anchor>
        </w:drawing>
        <w:t>SIGNATURE</w:t>
      </w:r>
    </w:p>
    <w:p>
      <w:pPr>
        <w:spacing w:after="0" w:line="211"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AVROBIO, INC.</w:t>
      </w:r>
    </w:p>
    <w:p>
      <w:pPr>
        <w:spacing w:after="0" w:line="207" w:lineRule="exact"/>
        <w:rPr>
          <w:sz w:val="20"/>
          <w:szCs w:val="20"/>
          <w:color w:val="auto"/>
        </w:rPr>
      </w:pPr>
    </w:p>
    <w:p>
      <w:pPr>
        <w:spacing w:after="0"/>
        <w:tabs>
          <w:tab w:leader="none" w:pos="5220" w:val="left"/>
          <w:tab w:leader="none" w:pos="5620" w:val="left"/>
        </w:tabs>
        <w:rPr>
          <w:sz w:val="20"/>
          <w:szCs w:val="20"/>
          <w:color w:val="auto"/>
        </w:rPr>
      </w:pPr>
      <w:r>
        <w:rPr>
          <w:rFonts w:ascii="Times New Roman" w:cs="Times New Roman" w:eastAsia="Times New Roman" w:hAnsi="Times New Roman"/>
          <w:sz w:val="17"/>
          <w:szCs w:val="17"/>
          <w:color w:val="auto"/>
        </w:rPr>
        <w:t>Date: June 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3585210</wp:posOffset>
            </wp:positionH>
            <wp:positionV relativeFrom="paragraph">
              <wp:posOffset>13970</wp:posOffset>
            </wp:positionV>
            <wp:extent cx="2928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8620" cy="8255"/>
                    </a:xfrm>
                    <a:prstGeom prst="rect">
                      <a:avLst/>
                    </a:prstGeom>
                    <a:noFill/>
                  </pic:spPr>
                </pic:pic>
              </a:graphicData>
            </a:graphic>
          </wp:anchor>
        </w:drawing>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Erik Ostrowski</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President, Interim Chief Executive Officer, Chief Financial Officer</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and Treasurer</w:t>
      </w:r>
    </w:p>
    <w:sectPr>
      <w:pgSz w:w="11900" w:h="16838" w:orient="portrait"/>
      <w:cols w:equalWidth="0" w:num="1">
        <w:col w:w="10120"/>
      </w:cols>
      <w:pgMar w:left="820" w:top="25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2024-06-04T08:35:27Z</dcterms:created>
  <dcterms:modified xsi:type="dcterms:W3CDTF">2024-06-04T08:35:27Z</dcterms:modified>
</cp:coreProperties>
</file>