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5"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1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On January 4, 2022, the Compensation Committee (the “Committee”) of AVROBIO, Inc. (the “Company”) approved changes to the Company’s organization as well as a broader operational cost reduction plan in connection with its previously announced reprioritization of pipeline programs. As part of this plan, the Committee approved a reduction in the Company’s workforce by approximately 23% across different areas and functions in the Company (the “Workforce Reduction”). The Workforce Reduction is expected to be substantially complete in the first quarter of 2022.</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Affected employees will be offered separation benefits, including severance payments. The Company estimates that the severance and termination-related costs will total approximately $2.5 million in the aggregate and expects to record these charges in the first quarter of 2022. The Company expects that payments of these costs will substantially be made through the end of the first quarter of 2022.</w:t>
      </w:r>
    </w:p>
    <w:p>
      <w:pPr>
        <w:spacing w:after="0" w:line="328"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5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January 4, 2022, the Committee approved one-time cash retention payments (“Retention Payments”) to all employees remaining with the Company following the Workforce Reduction, including the Company’s executive officers. Pursuant to the terms of the Retention Payments, each eligible employee will receive a cash retention payment, payable in two equal installments in June 2022 and December 2022, provided that such eligible employee has not resigned from the Company or provided notice of intention to resign, and the Company has not terminated such employee’s employment for cause or provided notice of intent to terminate such employee’s employment for cause. The Company’s named executive officers are eligible to receive Retention Payments in the amounts as follows, in each case on the terms and conditions described in the foregoing sentence: Geoff MacKay, the Company’s President and Chief Executive Officer, $431,000; Erik Ostrowski, the Company’s Chief Financial Officer, $299,000; and Steven Avruch, the Company’s Chief Legal Officer, $231,000.</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of the Company’s executive officers are expected to enter into an Executive Retention Payment Agreement, the form of which the Company plans to file as an exhibit to its next Annual Report on Form 10-K.</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180"/>
        <w:spacing w:after="0"/>
        <w:tabs>
          <w:tab w:leader="none" w:pos="5600" w:val="left"/>
          <w:tab w:leader="none" w:pos="6040" w:val="left"/>
        </w:tabs>
        <w:rPr>
          <w:sz w:val="20"/>
          <w:szCs w:val="20"/>
          <w:color w:val="auto"/>
        </w:rPr>
      </w:pPr>
      <w:r>
        <w:rPr>
          <w:rFonts w:ascii="Arial" w:cs="Arial" w:eastAsia="Arial" w:hAnsi="Arial"/>
          <w:sz w:val="18"/>
          <w:szCs w:val="18"/>
          <w:color w:val="auto"/>
        </w:rPr>
        <w:t>Date: January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2022-01-07T15:24:13Z</dcterms:created>
  <dcterms:modified xsi:type="dcterms:W3CDTF">2022-01-07T15:24:13Z</dcterms:modified>
</cp:coreProperties>
</file>