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78693d10q.htm"/>
        <w:bookmarkStart w:id="1" w:name="ksd878693d10q"/>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June 30, 2024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transition period from ______________ to ______________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Commission File Number: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001-38537</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48"/>
          <w:shd w:fill="FFFFFF" w:val="clear"/>
        </w:rPr>
      </w:pPr>
      <w:r>
        <w:rPr>
          <w:rFonts w:ascii="Times New Roman" w:hAnsi="Times New Roman"/>
          <w:b/>
          <w:sz w:val="48"/>
          <w:shd w:fill="FFFFFF" w:val="clear"/>
        </w:rPr>
        <w:t xml:space="preserve">TECTONIC THERAPEUTIC,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81-0710585</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 xml:space="preserve">Watertown, </w:t>
            </w:r>
          </w:p>
          <w:p>
            <w:pPr>
              <w:pStyle w:val="TableContents"/>
              <w:bidi w:val="0"/>
              <w:spacing w:before="0" w:after="20"/>
              <w:jc w:val="center"/>
              <w:rPr>
                <w:rFonts w:ascii="Times New Roman" w:hAnsi="Times New Roman"/>
                <w:b/>
                <w:sz w:val="20"/>
              </w:rPr>
            </w:pPr>
            <w:r>
              <w:rPr>
                <w:rFonts w:ascii="Times New Roman" w:hAnsi="Times New Roman"/>
                <w:b/>
                <w:sz w:val="20"/>
              </w:rPr>
              <w:t>MA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02472</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(339)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666-3320</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jc w:val="left"/>
        <w:rPr>
          <w:shd w:fill="FFFFFF" w:val="clear"/>
        </w:rPr>
      </w:pPr>
      <w:r>
        <w:rPr>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Act). Yes ☐ No ☒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As of August 9, 2024, the registrant had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14,734,479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common stock, $0.0001 par value per share,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9120" w:type="dxa"/>
        <w:jc w:val="left"/>
        <w:tblInd w:w="0" w:type="dxa"/>
        <w:tblLayout w:type="fixed"/>
        <w:tblCellMar>
          <w:top w:w="0" w:type="dxa"/>
          <w:left w:w="0" w:type="dxa"/>
          <w:bottom w:w="0" w:type="dxa"/>
          <w:right w:w="0" w:type="dxa"/>
        </w:tblCellMar>
      </w:tblPr>
      <w:tblGrid>
        <w:gridCol w:w="1010"/>
        <w:gridCol w:w="60"/>
        <w:gridCol w:w="7340"/>
        <w:gridCol w:w="120"/>
        <w:gridCol w:w="96"/>
        <w:gridCol w:w="419"/>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b/>
              </w:rPr>
            </w:pPr>
            <w:r>
              <w:rPr>
                <w:b/>
              </w:rPr>
              <w:t>PART I.</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3">
              <w:r>
                <w:rPr>
                  <w:rStyle w:val="InternetLink"/>
                  <w:rFonts w:ascii="Times New Roman" w:hAnsi="Times New Roman"/>
                  <w:sz w:val="20"/>
                </w:rPr>
                <w:t xml:space="preserve">FINANCIAL INFORMATION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1.</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4">
              <w:r>
                <w:rPr>
                  <w:rStyle w:val="InternetLink"/>
                  <w:rFonts w:ascii="Times New Roman" w:hAnsi="Times New Roman"/>
                  <w:sz w:val="20"/>
                </w:rPr>
                <w:t>Financial Statements (Unaudited)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5">
              <w:r>
                <w:rPr>
                  <w:rStyle w:val="InternetLink"/>
                  <w:rFonts w:ascii="Times New Roman" w:hAnsi="Times New Roman"/>
                  <w:sz w:val="20"/>
                </w:rPr>
                <w:t>Balance Sheets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6">
              <w:r>
                <w:rPr>
                  <w:rStyle w:val="InternetLink"/>
                  <w:rFonts w:ascii="Times New Roman" w:hAnsi="Times New Roman"/>
                  <w:sz w:val="20"/>
                </w:rPr>
                <w:t>Statements of Operations and Comprehensive Loss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7">
              <w:r>
                <w:rPr>
                  <w:rStyle w:val="InternetLink"/>
                  <w:rFonts w:ascii="Times New Roman" w:hAnsi="Times New Roman"/>
                  <w:sz w:val="20"/>
                </w:rPr>
                <w:t xml:space="preserve">Statements of Redeemable Convertible Preferred Stock and Stockholders’ Equity (Deficit)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8">
              <w:r>
                <w:rPr>
                  <w:rStyle w:val="InternetLink"/>
                  <w:rFonts w:ascii="Times New Roman" w:hAnsi="Times New Roman"/>
                  <w:sz w:val="20"/>
                </w:rPr>
                <w:t>Statements of Cash Flows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9">
              <w:r>
                <w:rPr>
                  <w:rStyle w:val="InternetLink"/>
                  <w:rFonts w:ascii="Times New Roman" w:hAnsi="Times New Roman"/>
                  <w:sz w:val="20"/>
                </w:rPr>
                <w:t>Notes to Unaudited Interim Financial Statements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2.</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0">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3.</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1">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4.</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2">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b/>
              </w:rPr>
            </w:pPr>
            <w:r>
              <w:rPr>
                <w:b/>
              </w:rPr>
              <w:t>PART II.</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3">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1.</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4">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1A.</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2.</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6">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3.</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7">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4.</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8">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5.</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19">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6.</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20">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pPr>
            <w:hyperlink w:anchor="toc878693_21">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78693_1"/>
      <w:bookmarkEnd w:id="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our ability to fund our working capital requirements, our financial performance and our ability to effectively manage our anticipated growth, our ability to obtain additional funding for our operations, and other risks and uncertainties, including those listed under the section titled “Risk Factors” in this Quarterly Report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Quarterly Report on Form 10-Q (“Quarterly Report”) may include, for example, statements about: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current and future preclinical studies and clinical trials and related preparatory work and the period during which the results of the trials will become available, as well as our research and development programs;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needs for additional financing;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and any other product candidates, and our anticipated milestones and timing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or the commercial or market opportunity with respect to any of our future products;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additional product candidates using our GEODe™ platform;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enroll patients in clinical trials, to timely and successfully complete those trials and to receive necessary regulatory approvals;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timing of filings with regulatory authorities for any product candidates that we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market size and the rate and degree of market acceptance for any current or future product candidates that we develop; and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receive any milestone or royalty payments under our collaboration and license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changes in our expectations, except as required by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Item 1.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except share and per share amounts) </w:t>
      </w: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166"/>
        <w:gridCol w:w="120"/>
        <w:gridCol w:w="158"/>
        <w:gridCol w:w="998"/>
        <w:gridCol w:w="155"/>
        <w:gridCol w:w="60"/>
        <w:gridCol w:w="214"/>
        <w:gridCol w:w="1162"/>
        <w:gridCol w:w="172"/>
      </w:tblGrid>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0"/>
              <w:jc w:val="center"/>
              <w:rPr>
                <w:b/>
                <w:spacing w:val="0"/>
              </w:rPr>
            </w:pPr>
            <w:r>
              <w:rPr>
                <w:b/>
                <w:spacing w:val="0"/>
              </w:rPr>
              <w:t>December 31,</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(unaudited)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185,124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28,769</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2,115</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187,388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30,884</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equipment and improvements, net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2,639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3,122</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1,208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1,437</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2,669</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669</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587</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31</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193,910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39,399</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9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4,090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409</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20,009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8,141</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30,515</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current portion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1,348</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current portion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475</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26,001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40,888</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net of current portion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1,644</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net of current portion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876</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27,543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43,408</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7)</w:t>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Convertible preferred stock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A-3</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A-4),</w:t>
            </w:r>
          </w:p>
          <w:p>
            <w:pPr>
              <w:pStyle w:val="TableContents"/>
              <w:bidi w:val="0"/>
              <w:spacing w:before="0" w:after="0"/>
              <w:jc w:val="left"/>
              <w:rPr>
                <w:rFonts w:ascii="Times New Roman" w:hAnsi="Times New Roman"/>
                <w:sz w:val="20"/>
              </w:rPr>
            </w:pPr>
            <w:r>
              <w:rPr>
                <w:rFonts w:ascii="Times New Roman" w:hAnsi="Times New Roman"/>
                <w:sz w:val="20"/>
              </w:rPr>
              <w:t>$0.0001 par value; 6,825,483 shares authorized as of </w:t>
              <w:br/>
              <w:t>December 31, 2023; 6,825,483 shares issued and outstanding as of December 31, 2023; aggregate liquidation preference of $87,459 as of December 31, 2023</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80,627</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150,000,000 shares authorized as of June 30, 2024 and December 31, 2023; 14,734,323 and 2,634,246 shares issued and outstanding as of June 30, 2024 and December 31, 2023</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284,922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5,979</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(11</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(118,496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(90,604</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166,367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(84,636</w:t>
            </w:r>
          </w:p>
        </w:tc>
        <w:tc>
          <w:tcPr>
            <w:tcW w:w="172" w:type="dxa"/>
            <w:tcBorders/>
            <w:shd w:fill="CCEEFF" w:val="clear"/>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193,910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39,399</w:t>
            </w:r>
          </w:p>
        </w:tc>
        <w:tc>
          <w:tcPr>
            <w:tcW w:w="172" w:type="dxa"/>
            <w:tcBorders/>
            <w:vAlign w:val="center"/>
          </w:tcPr>
          <w:p>
            <w:pPr>
              <w:pStyle w:val="TableContents"/>
              <w:bidi w:val="0"/>
              <w:spacing w:before="0" w:after="283"/>
              <w:jc w:val="left"/>
              <w:rPr/>
            </w:pPr>
            <w:r>
              <w:rPr/>
              <w:t> </w:t>
            </w:r>
          </w:p>
        </w:tc>
      </w:tr>
      <w:tr>
        <w:trPr/>
        <w:tc>
          <w:tcPr>
            <w:tcW w:w="7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99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unaudited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except share and per share amounts) </w:t>
      </w: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947"/>
        <w:gridCol w:w="120"/>
        <w:gridCol w:w="175"/>
        <w:gridCol w:w="1235"/>
        <w:gridCol w:w="194"/>
        <w:gridCol w:w="74"/>
        <w:gridCol w:w="175"/>
        <w:gridCol w:w="1240"/>
        <w:gridCol w:w="155"/>
        <w:gridCol w:w="60"/>
        <w:gridCol w:w="151"/>
        <w:gridCol w:w="1060"/>
        <w:gridCol w:w="167"/>
        <w:gridCol w:w="64"/>
        <w:gridCol w:w="151"/>
        <w:gridCol w:w="1060"/>
        <w:gridCol w:w="177"/>
      </w:tblGrid>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7,074</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8,766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right"/>
              <w:rPr/>
            </w:pPr>
            <w:r>
              <w:rPr/>
              <w:t>17,892</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right"/>
              <w:rPr/>
            </w:pPr>
            <w:r>
              <w:rPr/>
              <w:t>21,751</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4,347</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1,865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6,497</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3,411</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11,421</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24,389</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25,162</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(11,421</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(10,631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(24,389</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(25,162</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(1,535</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(3,610</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318</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574</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352</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(28</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(59</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(82</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(408</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(8</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(1,250</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(3,503</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262</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(12,671</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(10,455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(27,892</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(24,900</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(4.34</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(12.97</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(20.60</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35" w:type="dxa"/>
            <w:tcBorders/>
            <w:vAlign w:val="center"/>
          </w:tcPr>
          <w:p>
            <w:pPr>
              <w:pStyle w:val="TableContents"/>
              <w:bidi w:val="0"/>
              <w:spacing w:before="0" w:after="0"/>
              <w:jc w:val="left"/>
              <w:rPr>
                <w:bdr w:val="double" w:sz="6" w:space="1" w:color="000000"/>
              </w:rPr>
            </w:pPr>
            <w:r>
              <w:rPr>
                <w:bdr w:val="double" w:sz="6"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2,919,872</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1,228,778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2,150,160</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1,208,447</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35" w:type="dxa"/>
            <w:tcBorders/>
            <w:vAlign w:val="center"/>
          </w:tcPr>
          <w:p>
            <w:pPr>
              <w:pStyle w:val="TableContents"/>
              <w:bidi w:val="0"/>
              <w:spacing w:before="0" w:after="0"/>
              <w:jc w:val="left"/>
              <w:rPr>
                <w:bdr w:val="double" w:sz="6" w:space="1" w:color="000000"/>
              </w:rPr>
            </w:pPr>
            <w:r>
              <w:rPr>
                <w:bdr w:val="double" w:sz="6"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60"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3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(8</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(50</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35"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0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(12,679</w:t>
            </w:r>
          </w:p>
        </w:tc>
        <w:tc>
          <w:tcPr>
            <w:tcW w:w="1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(10,455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(27,942</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(24,900</w:t>
            </w:r>
          </w:p>
        </w:tc>
        <w:tc>
          <w:tcPr>
            <w:tcW w:w="177" w:type="dxa"/>
            <w:tcBorders/>
            <w:shd w:fill="CCEEFF" w:val="clear"/>
            <w:vAlign w:val="center"/>
          </w:tcPr>
          <w:p>
            <w:pPr>
              <w:pStyle w:val="TableContents"/>
              <w:bidi w:val="0"/>
              <w:spacing w:before="0" w:after="283"/>
              <w:jc w:val="left"/>
              <w:rPr/>
            </w:pPr>
            <w:r>
              <w:rPr/>
              <w:t>) </w:t>
            </w:r>
          </w:p>
        </w:tc>
      </w:tr>
      <w:tr>
        <w:trPr/>
        <w:tc>
          <w:tcPr>
            <w:tcW w:w="3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35" w:type="dxa"/>
            <w:tcBorders/>
            <w:vAlign w:val="center"/>
          </w:tcPr>
          <w:p>
            <w:pPr>
              <w:pStyle w:val="TableContents"/>
              <w:bidi w:val="0"/>
              <w:spacing w:before="0" w:after="0"/>
              <w:jc w:val="left"/>
              <w:rPr>
                <w:bdr w:val="double" w:sz="6" w:space="1" w:color="000000"/>
              </w:rPr>
            </w:pPr>
            <w:r>
              <w:rPr>
                <w:bdr w:val="double" w:sz="6" w:space="1" w:color="000000"/>
              </w:rPr>
              <w:t> </w:t>
            </w:r>
          </w:p>
        </w:tc>
        <w:tc>
          <w:tcPr>
            <w:tcW w:w="1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0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unaudited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CONVERTIBLE PREFERRED STOCK AND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(DEFICIT) </w:t>
      </w: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except share and per share amounts) </w:t>
      </w: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tbl>
      <w:tblPr>
        <w:tblW w:w="13885" w:type="dxa"/>
        <w:jc w:val="left"/>
        <w:tblInd w:w="0" w:type="dxa"/>
        <w:tblLayout w:type="fixed"/>
        <w:tblCellMar>
          <w:top w:w="0" w:type="dxa"/>
          <w:left w:w="0" w:type="dxa"/>
          <w:bottom w:w="0" w:type="dxa"/>
          <w:right w:w="0" w:type="dxa"/>
        </w:tblCellMar>
      </w:tblPr>
      <w:tblGrid>
        <w:gridCol w:w="1310"/>
        <w:gridCol w:w="120"/>
        <w:gridCol w:w="78"/>
        <w:gridCol w:w="1375"/>
        <w:gridCol w:w="202"/>
        <w:gridCol w:w="78"/>
        <w:gridCol w:w="182"/>
        <w:gridCol w:w="985"/>
        <w:gridCol w:w="95"/>
        <w:gridCol w:w="120"/>
        <w:gridCol w:w="60"/>
        <w:gridCol w:w="1100"/>
        <w:gridCol w:w="155"/>
        <w:gridCol w:w="60"/>
        <w:gridCol w:w="301"/>
        <w:gridCol w:w="559"/>
        <w:gridCol w:w="60"/>
        <w:gridCol w:w="120"/>
        <w:gridCol w:w="163"/>
        <w:gridCol w:w="937"/>
        <w:gridCol w:w="155"/>
        <w:gridCol w:w="60"/>
        <w:gridCol w:w="629"/>
        <w:gridCol w:w="1506"/>
        <w:gridCol w:w="155"/>
        <w:gridCol w:w="60"/>
        <w:gridCol w:w="188"/>
        <w:gridCol w:w="1182"/>
        <w:gridCol w:w="155"/>
        <w:gridCol w:w="60"/>
        <w:gridCol w:w="224"/>
        <w:gridCol w:w="1281"/>
        <w:gridCol w:w="170"/>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00" w:type="dxa"/>
            <w:gridSpan w:val="6"/>
            <w:tcBorders/>
            <w:vAlign w:val="center"/>
          </w:tcPr>
          <w:p>
            <w:pPr>
              <w:pStyle w:val="TableContents"/>
              <w:bidi w:val="0"/>
              <w:spacing w:before="0" w:after="0"/>
              <w:jc w:val="center"/>
              <w:rPr>
                <w:b/>
                <w:spacing w:val="0"/>
              </w:rPr>
            </w:pPr>
            <w:r>
              <w:rPr>
                <w:b/>
                <w:spacing w:val="0"/>
              </w:rPr>
              <w:t>Convertible Preferred Stock</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Additional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3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50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53" w:type="dxa"/>
            <w:gridSpan w:val="2"/>
            <w:tcBorders/>
            <w:vAlign w:val="center"/>
          </w:tcPr>
          <w:p>
            <w:pPr>
              <w:pStyle w:val="TableContents"/>
              <w:bidi w:val="0"/>
              <w:spacing w:before="0" w:after="0"/>
              <w:jc w:val="center"/>
              <w:rPr>
                <w:b/>
                <w:spacing w:val="0"/>
              </w:rPr>
            </w:pPr>
            <w:r>
              <w:rPr>
                <w:b/>
                <w:spacing w:val="0"/>
              </w:rPr>
              <w:t>Shares</w:t>
            </w:r>
          </w:p>
        </w:tc>
        <w:tc>
          <w:tcPr>
            <w:tcW w:w="202" w:type="dxa"/>
            <w:tcBorders/>
            <w:vAlign w:val="center"/>
          </w:tcPr>
          <w:p>
            <w:pPr>
              <w:pStyle w:val="TableContents"/>
              <w:bidi w:val="0"/>
              <w:spacing w:before="0" w:after="0"/>
              <w:jc w:val="left"/>
              <w:rPr>
                <w:spacing w:val="0"/>
              </w:rPr>
            </w:pPr>
            <w:r>
              <w:rPr>
                <w:spacing w:val="0"/>
              </w:rPr>
              <w:t> </w:t>
            </w:r>
          </w:p>
        </w:tc>
        <w:tc>
          <w:tcPr>
            <w:tcW w:w="78" w:type="dxa"/>
            <w:tcBorders/>
            <w:vAlign w:val="center"/>
          </w:tcPr>
          <w:p>
            <w:pPr>
              <w:pStyle w:val="TableContents"/>
              <w:bidi w:val="0"/>
              <w:spacing w:before="0" w:after="0"/>
              <w:jc w:val="left"/>
              <w:rPr>
                <w:spacing w:val="0"/>
              </w:rPr>
            </w:pPr>
            <w:r>
              <w:rPr>
                <w:spacing w:val="0"/>
              </w:rPr>
              <w:t> </w:t>
            </w:r>
          </w:p>
        </w:tc>
        <w:tc>
          <w:tcPr>
            <w:tcW w:w="1167" w:type="dxa"/>
            <w:gridSpan w:val="2"/>
            <w:tcBorders/>
            <w:vAlign w:val="center"/>
          </w:tcPr>
          <w:p>
            <w:pPr>
              <w:pStyle w:val="TableContents"/>
              <w:bidi w:val="0"/>
              <w:spacing w:before="0" w:after="0"/>
              <w:jc w:val="center"/>
              <w:rPr>
                <w:b/>
                <w:spacing w:val="0"/>
              </w:rPr>
            </w:pPr>
            <w:r>
              <w:rPr>
                <w:b/>
                <w:spacing w:val="0"/>
              </w:rPr>
              <w:t>Amount</w:t>
            </w:r>
          </w:p>
        </w:tc>
        <w:tc>
          <w:tcPr>
            <w:tcW w:w="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35" w:type="dxa"/>
            <w:gridSpan w:val="2"/>
            <w:tcBorders/>
            <w:vAlign w:val="center"/>
          </w:tcPr>
          <w:p>
            <w:pPr>
              <w:pStyle w:val="TableContents"/>
              <w:bidi w:val="0"/>
              <w:spacing w:before="0" w:after="0"/>
              <w:jc w:val="center"/>
              <w:rPr>
                <w:b/>
                <w:spacing w:val="0"/>
              </w:rPr>
            </w:pPr>
            <w:r>
              <w:rPr>
                <w:b/>
                <w:spacing w:val="0"/>
              </w:rPr>
              <w:t>Accumulated 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 Loss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505" w:type="dxa"/>
            <w:gridSpan w:val="2"/>
            <w:tcBorders/>
            <w:vAlign w:val="center"/>
          </w:tcPr>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 (Deficit)</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January 1, 2024</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6,825,483</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80,627</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2,634,246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(90,604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(84,636</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Retroactive application of reverse </w:t>
              <w:br/>
              <w:t>recapitalization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(3,177,808</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(1,226,452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98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balance, beginning of </w:t>
              <w:br/>
              <w:t>period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3,647,675</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80,627</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1,407,794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(90,604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(84,636</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w:t>
              <w:br/>
              <w:t>expense</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321</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(42</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(15,221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(15,221</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98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3,647,675</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80,627</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1,409,329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6,304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w:t>
            </w:r>
          </w:p>
        </w:tc>
        <w:tc>
          <w:tcPr>
            <w:tcW w:w="1506" w:type="dxa"/>
            <w:tcBorders/>
            <w:vAlign w:val="center"/>
          </w:tcPr>
          <w:p>
            <w:pPr>
              <w:pStyle w:val="TableContents"/>
              <w:bidi w:val="0"/>
              <w:spacing w:before="0" w:after="283"/>
              <w:jc w:val="right"/>
              <w:rPr/>
            </w:pPr>
            <w:r>
              <w:rPr/>
              <w:t>(53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(105,825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81" w:type="dxa"/>
            <w:tcBorders/>
            <w:vAlign w:val="center"/>
          </w:tcPr>
          <w:p>
            <w:pPr>
              <w:pStyle w:val="TableContents"/>
              <w:bidi w:val="0"/>
              <w:spacing w:before="0" w:after="283"/>
              <w:jc w:val="right"/>
              <w:rPr/>
            </w:pPr>
            <w:r>
              <w:rPr/>
              <w:t>(99,574</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of convertible </w:t>
              <w:br/>
              <w:t xml:space="preserve">preferred stock into common </w:t>
              <w:br/>
              <w:t xml:space="preserve">stock in connection with the </w:t>
            </w:r>
          </w:p>
          <w:p>
            <w:pPr>
              <w:pStyle w:val="TableContents"/>
              <w:bidi w:val="0"/>
              <w:spacing w:before="0" w:after="0"/>
              <w:jc w:val="left"/>
              <w:rPr>
                <w:rFonts w:ascii="Times New Roman" w:hAnsi="Times New Roman"/>
                <w:sz w:val="20"/>
              </w:rPr>
            </w:pPr>
            <w:r>
              <w:rPr>
                <w:rFonts w:ascii="Times New Roman" w:hAnsi="Times New Roman"/>
                <w:sz w:val="20"/>
              </w:rPr>
              <w:t>M</w:t>
            </w:r>
          </w:p>
          <w:p>
            <w:pPr>
              <w:pStyle w:val="TableContents"/>
              <w:bidi w:val="0"/>
              <w:spacing w:before="0" w:after="0"/>
              <w:jc w:val="left"/>
              <w:rPr>
                <w:rFonts w:ascii="Times New Roman" w:hAnsi="Times New Roman"/>
                <w:sz w:val="20"/>
              </w:rPr>
            </w:pPr>
            <w:r>
              <w:rPr>
                <w:rFonts w:ascii="Times New Roman" w:hAnsi="Times New Roman"/>
                <w:sz w:val="20"/>
              </w:rPr>
              <w:t>erger</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(3,647,675</w:t>
            </w:r>
          </w:p>
        </w:tc>
        <w:tc>
          <w:tcPr>
            <w:tcW w:w="202" w:type="dxa"/>
            <w:tcBorders/>
            <w:shd w:fill="CCEEFF" w:val="clear"/>
            <w:vAlign w:val="center"/>
          </w:tcPr>
          <w:p>
            <w:pPr>
              <w:pStyle w:val="TableContents"/>
              <w:bidi w:val="0"/>
              <w:spacing w:before="0" w:after="0"/>
              <w:jc w:val="left"/>
              <w:rPr>
                <w:spacing w:val="0"/>
              </w:rPr>
            </w:pPr>
            <w:r>
              <w:rPr>
                <w:spacing w:val="0"/>
              </w:rPr>
              <w:t>)</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(80,627</w:t>
            </w:r>
          </w:p>
        </w:tc>
        <w:tc>
          <w:tcPr>
            <w:tcW w:w="95" w:type="dxa"/>
            <w:tcBorders>
              <w:right w:val="single" w:sz="6" w:space="0" w:color="000000"/>
            </w:tcBorders>
            <w:shd w:fill="CCEEFF" w:val="clear"/>
            <w:tcMar>
              <w:right w:w="28" w:type="dxa"/>
            </w:tcMar>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3,647,675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80,627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80,627</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265,165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644</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w:t>
              <w:br/>
              <w:t>expense</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403</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to </w:t>
              <w:br/>
              <w:t xml:space="preserve">related party investors upon </w:t>
              <w:br/>
              <w:t>redemption of the SAFEs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1,470,839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34,125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34,125</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subscription agreement, net of offering costs of $2,000</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4,163,606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94,600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94,601</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upon </w:t>
              <w:br/>
              <w:t xml:space="preserve">the </w:t>
            </w:r>
          </w:p>
          <w:p>
            <w:pPr>
              <w:pStyle w:val="TableContents"/>
              <w:bidi w:val="0"/>
              <w:spacing w:before="0" w:after="0"/>
              <w:jc w:val="left"/>
              <w:rPr>
                <w:rFonts w:ascii="Times New Roman" w:hAnsi="Times New Roman"/>
                <w:sz w:val="20"/>
              </w:rPr>
            </w:pPr>
            <w:r>
              <w:rPr>
                <w:rFonts w:ascii="Times New Roman" w:hAnsi="Times New Roman"/>
                <w:sz w:val="20"/>
              </w:rPr>
              <w:t>M</w:t>
            </w:r>
          </w:p>
          <w:p>
            <w:pPr>
              <w:pStyle w:val="TableContents"/>
              <w:bidi w:val="0"/>
              <w:spacing w:before="0" w:after="0"/>
              <w:jc w:val="left"/>
              <w:rPr>
                <w:rFonts w:ascii="Times New Roman" w:hAnsi="Times New Roman"/>
                <w:sz w:val="20"/>
              </w:rPr>
            </w:pPr>
            <w:r>
              <w:rPr>
                <w:rFonts w:ascii="Times New Roman" w:hAnsi="Times New Roman"/>
                <w:sz w:val="20"/>
              </w:rPr>
              <w:t>erger</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3,777,709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78,156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78,157</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Transaction costs in connection </w:t>
              <w:br/>
              <w:t xml:space="preserve">with the </w:t>
            </w:r>
          </w:p>
          <w:p>
            <w:pPr>
              <w:pStyle w:val="TableContents"/>
              <w:bidi w:val="0"/>
              <w:spacing w:before="0" w:after="0"/>
              <w:jc w:val="left"/>
              <w:rPr>
                <w:rFonts w:ascii="Times New Roman" w:hAnsi="Times New Roman"/>
                <w:sz w:val="20"/>
              </w:rPr>
            </w:pPr>
            <w:r>
              <w:rPr>
                <w:rFonts w:ascii="Times New Roman" w:hAnsi="Times New Roman"/>
                <w:sz w:val="20"/>
              </w:rPr>
              <w:t>M</w:t>
            </w:r>
          </w:p>
          <w:p>
            <w:pPr>
              <w:pStyle w:val="TableContents"/>
              <w:bidi w:val="0"/>
              <w:spacing w:before="0" w:after="0"/>
              <w:jc w:val="left"/>
              <w:rPr>
                <w:rFonts w:ascii="Times New Roman" w:hAnsi="Times New Roman"/>
                <w:sz w:val="20"/>
              </w:rPr>
            </w:pPr>
            <w:r>
              <w:rPr>
                <w:rFonts w:ascii="Times New Roman" w:hAnsi="Times New Roman"/>
                <w:sz w:val="20"/>
              </w:rPr>
              <w:t>erger</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(9,937</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(12,671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(12,671</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98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June 30, 2024</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— </w:t>
            </w:r>
          </w:p>
        </w:tc>
        <w:tc>
          <w:tcPr>
            <w:tcW w:w="95"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14,734,323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284,922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w:t>
            </w:r>
          </w:p>
        </w:tc>
        <w:tc>
          <w:tcPr>
            <w:tcW w:w="1506"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(118,496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81" w:type="dxa"/>
            <w:tcBorders/>
            <w:vAlign w:val="center"/>
          </w:tcPr>
          <w:p>
            <w:pPr>
              <w:pStyle w:val="TableContents"/>
              <w:bidi w:val="0"/>
              <w:spacing w:before="0" w:after="283"/>
              <w:jc w:val="right"/>
              <w:rPr/>
            </w:pPr>
            <w:r>
              <w:rPr/>
              <w:t>166,367</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375" w:type="dxa"/>
            <w:tcBorders/>
            <w:vAlign w:val="center"/>
          </w:tcPr>
          <w:p>
            <w:pPr>
              <w:pStyle w:val="TableContents"/>
              <w:bidi w:val="0"/>
              <w:spacing w:before="0" w:after="0"/>
              <w:jc w:val="left"/>
              <w:rPr>
                <w:bdr w:val="double" w:sz="6" w:space="1" w:color="000000"/>
              </w:rPr>
            </w:pPr>
            <w:r>
              <w:rPr>
                <w:bdr w:val="double" w:sz="6"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98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0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3570" w:type="dxa"/>
        <w:jc w:val="left"/>
        <w:tblInd w:w="0" w:type="dxa"/>
        <w:tblLayout w:type="fixed"/>
        <w:tblCellMar>
          <w:top w:w="0" w:type="dxa"/>
          <w:left w:w="0" w:type="dxa"/>
          <w:bottom w:w="0" w:type="dxa"/>
          <w:right w:w="0" w:type="dxa"/>
        </w:tblCellMar>
      </w:tblPr>
      <w:tblGrid>
        <w:gridCol w:w="1310"/>
        <w:gridCol w:w="120"/>
        <w:gridCol w:w="80"/>
        <w:gridCol w:w="1423"/>
        <w:gridCol w:w="209"/>
        <w:gridCol w:w="80"/>
        <w:gridCol w:w="188"/>
        <w:gridCol w:w="920"/>
        <w:gridCol w:w="60"/>
        <w:gridCol w:w="120"/>
        <w:gridCol w:w="60"/>
        <w:gridCol w:w="1055"/>
        <w:gridCol w:w="155"/>
        <w:gridCol w:w="60"/>
        <w:gridCol w:w="301"/>
        <w:gridCol w:w="559"/>
        <w:gridCol w:w="60"/>
        <w:gridCol w:w="120"/>
        <w:gridCol w:w="220"/>
        <w:gridCol w:w="880"/>
        <w:gridCol w:w="60"/>
        <w:gridCol w:w="120"/>
        <w:gridCol w:w="747"/>
        <w:gridCol w:w="1388"/>
        <w:gridCol w:w="60"/>
        <w:gridCol w:w="120"/>
        <w:gridCol w:w="214"/>
        <w:gridCol w:w="1156"/>
        <w:gridCol w:w="155"/>
        <w:gridCol w:w="60"/>
        <w:gridCol w:w="209"/>
        <w:gridCol w:w="1131"/>
        <w:gridCol w:w="170"/>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00" w:type="dxa"/>
            <w:gridSpan w:val="6"/>
            <w:tcBorders/>
            <w:vAlign w:val="center"/>
          </w:tcPr>
          <w:p>
            <w:pPr>
              <w:pStyle w:val="TableContents"/>
              <w:bidi w:val="0"/>
              <w:spacing w:before="0" w:after="0"/>
              <w:jc w:val="center"/>
              <w:rPr>
                <w:b/>
                <w:spacing w:val="0"/>
              </w:rPr>
            </w:pPr>
            <w:r>
              <w:rPr>
                <w:b/>
                <w:spacing w:val="0"/>
              </w:rPr>
              <w:t>Convertible Preferred Stock</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9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Additional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4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03" w:type="dxa"/>
            <w:gridSpan w:val="2"/>
            <w:tcBorders/>
            <w:vAlign w:val="center"/>
          </w:tcPr>
          <w:p>
            <w:pPr>
              <w:pStyle w:val="TableContents"/>
              <w:bidi w:val="0"/>
              <w:spacing w:before="0" w:after="0"/>
              <w:jc w:val="center"/>
              <w:rPr>
                <w:b/>
                <w:spacing w:val="0"/>
              </w:rPr>
            </w:pPr>
            <w:r>
              <w:rPr>
                <w:b/>
                <w:spacing w:val="0"/>
              </w:rPr>
              <w:t>Shares</w:t>
            </w:r>
          </w:p>
        </w:tc>
        <w:tc>
          <w:tcPr>
            <w:tcW w:w="209" w:type="dxa"/>
            <w:tcBorders/>
            <w:vAlign w:val="center"/>
          </w:tcPr>
          <w:p>
            <w:pPr>
              <w:pStyle w:val="TableContents"/>
              <w:bidi w:val="0"/>
              <w:spacing w:before="0" w:after="0"/>
              <w:jc w:val="left"/>
              <w:rPr>
                <w:spacing w:val="0"/>
              </w:rPr>
            </w:pPr>
            <w:r>
              <w:rPr>
                <w:spacing w:val="0"/>
              </w:rPr>
              <w:t> </w:t>
            </w:r>
          </w:p>
        </w:tc>
        <w:tc>
          <w:tcPr>
            <w:tcW w:w="80" w:type="dxa"/>
            <w:tcBorders/>
            <w:vAlign w:val="center"/>
          </w:tcPr>
          <w:p>
            <w:pPr>
              <w:pStyle w:val="TableContents"/>
              <w:bidi w:val="0"/>
              <w:spacing w:before="0" w:after="0"/>
              <w:jc w:val="left"/>
              <w:rPr>
                <w:spacing w:val="0"/>
              </w:rPr>
            </w:pPr>
            <w:r>
              <w:rPr>
                <w:spacing w:val="0"/>
              </w:rPr>
              <w:t> </w:t>
            </w:r>
          </w:p>
        </w:tc>
        <w:tc>
          <w:tcPr>
            <w:tcW w:w="1108"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1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35" w:type="dxa"/>
            <w:gridSpan w:val="2"/>
            <w:tcBorders/>
            <w:vAlign w:val="center"/>
          </w:tcPr>
          <w:p>
            <w:pPr>
              <w:pStyle w:val="TableContents"/>
              <w:bidi w:val="0"/>
              <w:spacing w:before="0" w:after="0"/>
              <w:jc w:val="center"/>
              <w:rPr>
                <w:b/>
                <w:spacing w:val="0"/>
              </w:rPr>
            </w:pPr>
            <w:r>
              <w:rPr>
                <w:b/>
                <w:spacing w:val="0"/>
              </w:rPr>
              <w:t>Accumulated 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 Loss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40" w:type="dxa"/>
            <w:gridSpan w:val="2"/>
            <w:tcBorders/>
            <w:vAlign w:val="center"/>
          </w:tcPr>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January 1, 2023</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6,825,483</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80,627</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2,525,771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2,127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w:t>
            </w:r>
          </w:p>
        </w:tc>
        <w:tc>
          <w:tcPr>
            <w:tcW w:w="13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(47,781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(45,654</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Retroactive application of reverse recapitalization</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(3,177,808</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(1,175,948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4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9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8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balance, beginning of period</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3,647,675</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80,627</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1,349,823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(47,781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(45,654</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275</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(14,445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(14,445</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4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9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8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March 31, 2023</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3,647,675</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80,627</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1,350,509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2,403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w:t>
            </w:r>
          </w:p>
        </w:tc>
        <w:tc>
          <w:tcPr>
            <w:tcW w:w="13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(62,226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(59,823</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277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277</w:t>
            </w:r>
          </w:p>
        </w:tc>
        <w:tc>
          <w:tcPr>
            <w:tcW w:w="17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(10,455</w:t>
            </w:r>
          </w:p>
        </w:tc>
        <w:tc>
          <w:tcPr>
            <w:tcW w:w="170"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423" w:type="dxa"/>
            <w:tcBorders/>
            <w:vAlign w:val="center"/>
          </w:tcPr>
          <w:p>
            <w:pPr>
              <w:pStyle w:val="TableContents"/>
              <w:bidi w:val="0"/>
              <w:spacing w:before="0" w:after="0"/>
              <w:jc w:val="left"/>
              <w:rPr>
                <w:bdr w:val="single" w:sz="2" w:space="1" w:color="000000"/>
              </w:rPr>
            </w:pPr>
            <w:r>
              <w:rPr>
                <w:bdr w:val="single" w:sz="2" w:space="1" w:color="000000"/>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9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8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Balances as of June 30, 2023</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3,647,675</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80,627</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1,350,509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2,680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w:t>
            </w:r>
          </w:p>
        </w:tc>
        <w:tc>
          <w:tcPr>
            <w:tcW w:w="13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(72,681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(70,001</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423" w:type="dxa"/>
            <w:tcBorders/>
            <w:vAlign w:val="center"/>
          </w:tcPr>
          <w:p>
            <w:pPr>
              <w:pStyle w:val="TableContents"/>
              <w:bidi w:val="0"/>
              <w:spacing w:before="0" w:after="0"/>
              <w:jc w:val="left"/>
              <w:rPr>
                <w:bdr w:val="double" w:sz="6" w:space="1" w:color="000000"/>
              </w:rPr>
            </w:pPr>
            <w:r>
              <w:rPr>
                <w:bdr w:val="double" w:sz="6" w:space="1" w:color="000000"/>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9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8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0"/>
              <w:jc w:val="left"/>
              <w:rPr>
                <w:bdr w:val="double" w:sz="6" w:space="1" w:color="000000"/>
              </w:rPr>
            </w:pPr>
            <w:r>
              <w:rPr>
                <w:bdr w:val="double" w:sz="6" w:space="1" w:color="000000"/>
              </w:rPr>
              <w:t> </w:t>
            </w:r>
          </w:p>
        </w:tc>
        <w:tc>
          <w:tcPr>
            <w:tcW w:w="138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0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unaudited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(In thousands) </w:t>
      </w:r>
    </w:p>
    <w:p>
      <w:pPr>
        <w:pStyle w:val="TextBody"/>
        <w:bidi w:val="0"/>
        <w:spacing w:before="12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865"/>
        <w:gridCol w:w="120"/>
        <w:gridCol w:w="140"/>
        <w:gridCol w:w="800"/>
        <w:gridCol w:w="155"/>
        <w:gridCol w:w="60"/>
        <w:gridCol w:w="140"/>
        <w:gridCol w:w="755"/>
        <w:gridCol w:w="170"/>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(27,892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(24,900</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right"/>
              <w:rPr/>
            </w:pPr>
            <w:r>
              <w:rPr/>
              <w:t>713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734</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724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552</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right"/>
              <w:rPr/>
            </w:pPr>
            <w:r>
              <w:rPr/>
              <w:t>595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549</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3,610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(479</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right"/>
              <w:rPr/>
            </w:pPr>
            <w:r>
              <w:rPr/>
              <w:t>422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(70</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1,706</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right"/>
              <w:rPr/>
            </w:pPr>
            <w:r>
              <w:rPr/>
              <w:t>153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1,645</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(658</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(22,655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(20,543</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(222</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(222</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the Subscription Agreement</w:t>
            </w:r>
          </w:p>
          <w:p>
            <w:pPr>
              <w:pStyle w:val="TableContents"/>
              <w:bidi w:val="0"/>
              <w:spacing w:before="0" w:after="0"/>
              <w:ind w:left="0" w:right="0" w:hanging="0"/>
              <w:jc w:val="left"/>
              <w:rPr>
                <w:rFonts w:ascii="Times New Roman;serif" w:hAnsi="Times New Roman;serif"/>
                <w:spacing w:val="0"/>
                <w:sz w:val="20"/>
              </w:rPr>
            </w:pPr>
            <w:r>
              <w:rPr>
                <w:rFonts w:ascii="Times New Roman;serif" w:hAnsi="Times New Roman;serif"/>
                <w:spacing w:val="0"/>
                <w:sz w:val="20"/>
              </w:rPr>
              <w:t>, net of offering costs of $2,000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acquired in connection with the Merger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85,230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Merger transaction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(1,168</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shd w:fill="FFFFFF" w:val="clear"/>
            <w:vAlign w:val="center"/>
          </w:tcPr>
          <w:p>
            <w:pPr>
              <w:pStyle w:val="TableContents"/>
              <w:bidi w:val="0"/>
              <w:spacing w:before="0" w:after="283"/>
              <w:jc w:val="right"/>
              <w:rPr/>
            </w:pPr>
            <w:r>
              <w:rPr/>
              <w:t>648</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(240</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179,070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(60</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 and restricted cash</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shd w:fill="FFFFFF" w:val="clear"/>
            <w:vAlign w:val="center"/>
          </w:tcPr>
          <w:p>
            <w:pPr>
              <w:pStyle w:val="TableContents"/>
              <w:bidi w:val="0"/>
              <w:spacing w:before="0" w:after="283"/>
              <w:jc w:val="right"/>
              <w:rPr/>
            </w:pPr>
            <w:r>
              <w:rPr/>
              <w:t>156,355</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(21,034</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29,356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36,553</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185,711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15,519</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185,124</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14,932</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pPr>
            <w:r>
              <w:rPr/>
              <w:t>587</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w:t>
            </w:r>
          </w:p>
        </w:tc>
        <w:tc>
          <w:tcPr>
            <w:tcW w:w="17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185,711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15,519</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Merger transaction costs included in accounts payable and accrued expenses and other current liabilities</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8,769</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SAFEs to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Convertible Preferred Stock to Common Stock</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80,627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r>
          </w:p>
        </w:tc>
        <w:tc>
          <w:tcPr>
            <w:tcW w:w="7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0"/>
              <w:jc w:val="left"/>
              <w:rPr/>
            </w:pPr>
            <w:r>
              <w:rPr/>
              <w:t> </w:t>
            </w:r>
          </w:p>
        </w:tc>
      </w:tr>
      <w:tr>
        <w:trPr/>
        <w:tc>
          <w:tcPr>
            <w:tcW w:w="7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8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59</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82</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The accompanying notes are an integral part of these unaudited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z w:val="20"/>
        </w:rPr>
      </w:pPr>
      <w:r>
        <w:rPr>
          <w:rFonts w:ascii="Times New Roman" w:hAnsi="Times New Roman"/>
          <w:b/>
          <w:sz w:val="20"/>
        </w:rPr>
        <w:t xml:space="preserve">NOTES TO UNAUDITED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215"/>
        <w:gridCol w:w="2705"/>
      </w:tblGrid>
      <w:tr>
        <w:trPr/>
        <w:tc>
          <w:tcPr>
            <w:tcW w:w="215" w:type="dxa"/>
            <w:tcBorders/>
            <w:vAlign w:val="center"/>
          </w:tcPr>
          <w:p>
            <w:pPr>
              <w:pStyle w:val="TableContents"/>
              <w:bidi w:val="0"/>
              <w:spacing w:before="0" w:after="0"/>
              <w:jc w:val="left"/>
              <w:rPr>
                <w:b/>
                <w:spacing w:val="0"/>
              </w:rPr>
            </w:pPr>
            <w:r>
              <w:rPr>
                <w:b/>
                <w:spacing w:val="0"/>
              </w:rPr>
              <w:t>1.</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w:t>
            </w:r>
          </w:p>
        </w:tc>
      </w:tr>
    </w:tbl>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Tectonic Therapeutic, Inc. (formerly AVROBIO, Inc.) (the “Company” or “Tectonic”) is a clinical-stage biotechnology company focused on the discovery and development of therapeutic proteins and antibodies that modulate the activity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G-protein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coupled receptors (“GPCRs”). The Company focuses on areas of significant unmet medical need, often where therapeutic options are poor or nonexistent, as these are areas where new medicines have the potential to improve patient quality of life. The Company’s corporate headquarters are in Watertown, Massachusetts.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Reverse Merger and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Pre-Merger</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Financing Transaction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is being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the closing of the Merger, each outstanding share of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stock, including outstanding and unvested restricted stock, was converted into the right to receive a number of shares of AVROBIO’s common stock based on an exchange ratio of 0.53 (the “Exchange Ratio”),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All of Legacy Tectonic’s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Legacy Tectonic stockholders received approximately</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10,956,614</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AVROBIO common stock in connection with the Merger, including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6,901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shares of AVROBIO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SAFEs, and Legacy Tectonic convertible preferred stock outstanding immediately prior to the Merger, which was converted into shares of Legacy Tectonic common stock 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 one-for-one basis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immediately prior to the closing of the Merger.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as a resulting from a disposition of certain AVROBIO intellectual property (including a license of AVROBIO’s pre-closing assets as defined in the CVR Agreement) after the closing and prior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18-month anniversary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losing, received within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 10-year period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following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losing; provided that no contingent payment will be payable to any holder of the CVRs until such time as the then-outstanding and undistributed proceeds exceeds $0.4 million in the aggregate. As of June 30, 2024, no</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 xml:space="preserve">proceeds have been received under the CVR Agreement. As of June 30, 2024 there is no liability recorded in connection with the CVR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Concurrently with the closing of the Merger, certain investors of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completed the purchase of 7,790,889 shares of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common stock pursuant to that certain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Subscription Agreement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dated January 30, 2024 (the “Subscription Agreement”) at a purchase price of approximately $12.40 per share for an aggregate purchase price of approximately $96.6 million. Shares of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common stock issued pursuant to the Subscription Agreements were converted into 4,163,606 shares of AVROBIO common stock at the closing of the Merger based on the Exchange Ratio, pursuant to the Merger Agreement.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Risks and Uncertainties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pre-clinical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Company’s proprietary GEODe</w:t>
      </w:r>
    </w:p>
    <w:p>
      <w:pPr>
        <w:pStyle w:val="TextBody"/>
        <w:bidi w:val="0"/>
        <w:spacing w:before="120" w:after="0"/>
        <w:jc w:val="left"/>
        <w:rPr>
          <w:shd w:fill="FFFFFF" w:val="clear"/>
        </w:rPr>
      </w:pPr>
      <w:r>
        <w:rPr>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Liquidity and Going Concern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June 30, 2024, the Company had an accumulated deficit of $118.5 million and has incurred losses and negative cash flows from operations since inception, including a net loss of $12.7 million and $27.9 million for the three and six months ended June 30, 2024, respectively.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Management believes that its current cash on hand, which includes the proceeds related to the Merger and Subscription Agreements, is sufficient to fund the Company’s planned operations for at least one year from the date of issuance of these unaudited condensed consolidated financial statements. </w:t>
      </w:r>
    </w:p>
    <w:p>
      <w:pPr>
        <w:pStyle w:val="TextBody"/>
        <w:bidi w:val="0"/>
        <w:spacing w:before="0" w:after="0"/>
        <w:jc w:val="left"/>
        <w:rPr>
          <w:shd w:fill="FFFFFF" w:val="clear"/>
        </w:rPr>
      </w:pPr>
      <w:r>
        <w:rPr>
          <w:shd w:fill="FFFFFF" w:val="clear"/>
        </w:rPr>
        <w:t> </w:t>
      </w:r>
    </w:p>
    <w:tbl>
      <w:tblPr>
        <w:tblW w:w="5275" w:type="dxa"/>
        <w:jc w:val="left"/>
        <w:tblInd w:w="0" w:type="dxa"/>
        <w:tblLayout w:type="fixed"/>
        <w:tblCellMar>
          <w:top w:w="0" w:type="dxa"/>
          <w:left w:w="0" w:type="dxa"/>
          <w:bottom w:w="0" w:type="dxa"/>
          <w:right w:w="0" w:type="dxa"/>
        </w:tblCellMar>
      </w:tblPr>
      <w:tblGrid>
        <w:gridCol w:w="215"/>
        <w:gridCol w:w="5060"/>
      </w:tblGrid>
      <w:tr>
        <w:trPr/>
        <w:tc>
          <w:tcPr>
            <w:tcW w:w="215" w:type="dxa"/>
            <w:tcBorders/>
            <w:vAlign w:val="center"/>
          </w:tcPr>
          <w:p>
            <w:pPr>
              <w:pStyle w:val="TableContents"/>
              <w:bidi w:val="0"/>
              <w:spacing w:before="0" w:after="0"/>
              <w:jc w:val="left"/>
              <w:rPr>
                <w:b/>
                <w:spacing w:val="0"/>
              </w:rPr>
            </w:pPr>
            <w:r>
              <w:rPr>
                <w:b/>
                <w:spacing w:val="0"/>
              </w:rPr>
              <w:t>2.</w:t>
            </w:r>
          </w:p>
        </w:tc>
        <w:tc>
          <w:tcPr>
            <w:tcW w:w="5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six months ended June 30, 2024, there were no significant changes to the Company’s significant accounting policies as described in the Company’s audited consolidated financial statements as of and for the years ended December 31, 2023 and 2022.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These unaudited interim condensed consolidated financial statements should be read in conjunction with the audited annual consolidated financial statements as of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and</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Use of Estimates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Principles of Consolidation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condensed consolidated financial statements include the accounts of the Company and its subsidiaries. All intercompany balances and transactions have been eliminated in consolidation.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new accounting pronouncements are issued by the FASB, or other standard setting bodies and are adopted by the Company as of the specified effective dates. Unless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otherwise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discussed, the impact of recently issued standards that are not yet effective are not anticipated to have a material impact on the Company’s condensed consolidated financial statements upon adoption.</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Recently Issued Accounting Pronouncements Not Yet Adopted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2023,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2023-07,</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Segment Reporting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(Topic 280)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which enhances the segment disclosure requirements for public entities on an annual and interim basis. Under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requires all segment disclosures for public entities that have only a single reportable segment. The amendments in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are effective for fiscal years beginning after December 15, 2023, and interim periods within fiscal years beginning after December 15, 2024, and early adoption is permitted. The Company is currently evaluating the impact of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its condensed consolidated financial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statements.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December 2023,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2023-09,</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Income Taxes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(Topic 740)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which enhances the income tax disclosure requirements for public entities on an annual basis. Under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public entities will be required to disclose in their rate reconciliation, on an annual basis, both percentages and amounts in their reporting currency for certain categories in a tabular format, with accompanying qualitative disclosures. The amendments in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are effective for fiscal years beginning after December 15, 2024, and early adoption is permitted. The Company is currently evaluating the impact of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 its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0"/>
              <w:jc w:val="left"/>
              <w:rPr>
                <w:b/>
                <w:spacing w:val="0"/>
              </w:rPr>
            </w:pPr>
            <w:r>
              <w:rPr>
                <w:b/>
                <w:spacing w:val="0"/>
              </w:rPr>
              <w:t>3.</w:t>
            </w:r>
          </w:p>
        </w:tc>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MERGER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 described in Note 1, the Company completed its previously announced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non-operating</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assets. Under such reverse recapitalization accounting, the assets and liabilities of AVROBIO were recorded at their fair value in AVROBIO’s financial statements at the effective time of the Merger, which approximated book value due to the short-term nature. No goodwill or intangible assets were recognized. Consequently, the condensed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As part of the recapitalization, Legacy Tectonic obtained the assets and liabilities listed below:</w:t>
      </w:r>
    </w:p>
    <w:p>
      <w:pPr>
        <w:pStyle w:val="TextBody"/>
        <w:bidi w:val="0"/>
        <w:spacing w:before="0" w:after="0"/>
        <w:ind w:left="0" w:right="0" w:hanging="0"/>
        <w:jc w:val="left"/>
        <w:rPr>
          <w:sz w:val="24"/>
        </w:rPr>
      </w:pPr>
      <w:r>
        <w:rPr>
          <w:sz w:val="24"/>
        </w:rPr>
      </w:r>
    </w:p>
    <w:tbl>
      <w:tblPr>
        <w:tblW w:w="4850" w:type="dxa"/>
        <w:jc w:val="left"/>
        <w:tblInd w:w="0" w:type="dxa"/>
        <w:tblLayout w:type="fixed"/>
        <w:tblCellMar>
          <w:top w:w="0" w:type="dxa"/>
          <w:left w:w="0" w:type="dxa"/>
          <w:bottom w:w="0" w:type="dxa"/>
          <w:right w:w="0" w:type="dxa"/>
        </w:tblCellMar>
      </w:tblPr>
      <w:tblGrid>
        <w:gridCol w:w="3740"/>
        <w:gridCol w:w="120"/>
        <w:gridCol w:w="140"/>
        <w:gridCol w:w="680"/>
        <w:gridCol w:w="170"/>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85,230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740" w:type="dxa"/>
            <w:tcBorders/>
            <w:shd w:fill="FFFF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rPr>
            </w:pPr>
            <w:r>
              <w:rPr>
                <w:spacing w:val="0"/>
              </w:rPr>
              <w:t> </w:t>
            </w:r>
          </w:p>
        </w:tc>
        <w:tc>
          <w:tcPr>
            <w:tcW w:w="680" w:type="dxa"/>
            <w:tcBorders/>
            <w:shd w:fill="FFFFFF" w:val="clear"/>
            <w:vAlign w:val="center"/>
          </w:tcPr>
          <w:p>
            <w:pPr>
              <w:pStyle w:val="TableContents"/>
              <w:bidi w:val="0"/>
              <w:spacing w:before="0" w:after="0"/>
              <w:jc w:val="right"/>
              <w:rPr>
                <w:spacing w:val="0"/>
              </w:rPr>
            </w:pPr>
            <w:r>
              <w:rPr>
                <w:spacing w:val="0"/>
              </w:rPr>
              <w:t>319</w:t>
            </w:r>
          </w:p>
        </w:tc>
        <w:tc>
          <w:tcPr>
            <w:tcW w:w="170" w:type="dxa"/>
            <w:tcBorders/>
            <w:shd w:fill="FFFFFF" w:val="clear"/>
            <w:vAlign w:val="center"/>
          </w:tcPr>
          <w:p>
            <w:pPr>
              <w:pStyle w:val="TableContents"/>
              <w:bidi w:val="0"/>
              <w:spacing w:before="0" w:after="0"/>
              <w:jc w:val="left"/>
              <w:rPr>
                <w:spacing w:val="0"/>
              </w:rPr>
            </w:pPr>
            <w:r>
              <w:rPr>
                <w:spacing w:val="0"/>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spacing w:val="0"/>
              </w:rPr>
            </w:pPr>
            <w:r>
              <w:rPr>
                <w:spacing w:val="0"/>
              </w:rPr>
              <w:t>(1,988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740" w:type="dxa"/>
            <w:tcBorders/>
            <w:shd w:fill="FFFF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rPr>
            </w:pPr>
            <w:r>
              <w:rPr>
                <w:spacing w:val="0"/>
              </w:rPr>
              <w:t> </w:t>
            </w:r>
          </w:p>
        </w:tc>
        <w:tc>
          <w:tcPr>
            <w:tcW w:w="680" w:type="dxa"/>
            <w:tcBorders/>
            <w:shd w:fill="FFFFFF" w:val="clear"/>
            <w:vAlign w:val="center"/>
          </w:tcPr>
          <w:p>
            <w:pPr>
              <w:pStyle w:val="TableContents"/>
              <w:bidi w:val="0"/>
              <w:spacing w:before="0" w:after="0"/>
              <w:jc w:val="right"/>
              <w:rPr>
                <w:spacing w:val="0"/>
              </w:rPr>
            </w:pPr>
            <w:r>
              <w:rPr>
                <w:spacing w:val="0"/>
              </w:rPr>
              <w:t>(5,405</w:t>
            </w:r>
          </w:p>
        </w:tc>
        <w:tc>
          <w:tcPr>
            <w:tcW w:w="170" w:type="dxa"/>
            <w:tcBorders/>
            <w:shd w:fill="FFFFFF" w:val="clear"/>
            <w:vAlign w:val="center"/>
          </w:tcPr>
          <w:p>
            <w:pPr>
              <w:pStyle w:val="TableContents"/>
              <w:bidi w:val="0"/>
              <w:spacing w:before="0" w:after="0"/>
              <w:jc w:val="left"/>
              <w:rPr>
                <w:spacing w:val="0"/>
              </w:rPr>
            </w:pPr>
            <w:r>
              <w:rPr>
                <w:spacing w:val="0"/>
              </w:rPr>
              <w:t>)</w:t>
            </w:r>
          </w:p>
        </w:tc>
      </w:tr>
      <w:tr>
        <w:trPr/>
        <w:tc>
          <w:tcPr>
            <w:tcW w:w="374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shd w:fill="FFFF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shd w:fill="FFFFFF" w:val="clear"/>
            <w:vAlign w:val="center"/>
          </w:tcPr>
          <w:p>
            <w:pPr>
              <w:pStyle w:val="TableContents"/>
              <w:bidi w:val="0"/>
              <w:spacing w:before="0" w:after="0"/>
              <w:jc w:val="left"/>
              <w:rPr>
                <w:spacing w:val="0"/>
              </w:rPr>
            </w:pPr>
            <w:r>
              <w:rPr>
                <w:spacing w:val="0"/>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assets acquired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0"/>
              <w:jc w:val="left"/>
              <w:rPr>
                <w:spacing w:val="0"/>
              </w:rPr>
            </w:pPr>
            <w:r>
              <w:rPr>
                <w:spacing w:val="0"/>
              </w:rPr>
              <w:t>$</w:t>
            </w:r>
          </w:p>
        </w:tc>
        <w:tc>
          <w:tcPr>
            <w:tcW w:w="680" w:type="dxa"/>
            <w:tcBorders/>
            <w:shd w:fill="CCEEFF" w:val="clear"/>
            <w:vAlign w:val="center"/>
          </w:tcPr>
          <w:p>
            <w:pPr>
              <w:pStyle w:val="TableContents"/>
              <w:bidi w:val="0"/>
              <w:spacing w:before="0" w:after="0"/>
              <w:jc w:val="right"/>
              <w:rPr>
                <w:spacing w:val="0"/>
              </w:rPr>
            </w:pPr>
            <w:r>
              <w:rPr>
                <w:spacing w:val="0"/>
              </w:rPr>
              <w:t>78,156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74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0"/>
              <w:jc w:val="left"/>
              <w:rPr>
                <w:spacing w:val="0"/>
              </w:rPr>
            </w:pPr>
            <w:r>
              <w:rPr>
                <w:spacing w:val="0"/>
              </w:rPr>
              <w:t>  </w:t>
            </w:r>
          </w:p>
        </w:tc>
        <w:tc>
          <w:tcPr>
            <w:tcW w:w="140"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shd w:fill="FFFFFF" w:val="clear"/>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shd w:fill="FFFFFF" w:val="clear"/>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incurred transaction costs of $9.9 million, of which $8.2 million was recorded within accrued expenses and other current liabilities on the condensed consolidated balance sheet, $0.6 million was recorded within accounts payable on the condensed consolidated balance sheet and $1.2</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was paid in cash as of June 30, 2024. This amount was recorded as a reduction to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capital in the condensed consolidated statements of convertible preferred stock and stockholders’ equity (deficit) for the three and six months ended June 30, 2024.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With respect to the CVRs issued in connection with the Merger, the Company believes that any receipt of payments resulting from an AVROBIO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June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30, 2024, no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receivables or liabilities were recorded on the condensed consolidated balance sheet relating to such contingent payments.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3175" w:type="dxa"/>
        <w:jc w:val="left"/>
        <w:tblInd w:w="0" w:type="dxa"/>
        <w:tblLayout w:type="fixed"/>
        <w:tblCellMar>
          <w:top w:w="0" w:type="dxa"/>
          <w:left w:w="0" w:type="dxa"/>
          <w:bottom w:w="0" w:type="dxa"/>
          <w:right w:w="0" w:type="dxa"/>
        </w:tblCellMar>
      </w:tblPr>
      <w:tblGrid>
        <w:gridCol w:w="215"/>
        <w:gridCol w:w="2960"/>
      </w:tblGrid>
      <w:tr>
        <w:trPr/>
        <w:tc>
          <w:tcPr>
            <w:tcW w:w="215" w:type="dxa"/>
            <w:tcBorders/>
            <w:vAlign w:val="center"/>
          </w:tcPr>
          <w:p>
            <w:pPr>
              <w:pStyle w:val="TableContents"/>
              <w:bidi w:val="0"/>
              <w:spacing w:before="0" w:after="0"/>
              <w:jc w:val="left"/>
              <w:rPr>
                <w:b/>
                <w:spacing w:val="0"/>
              </w:rPr>
            </w:pPr>
            <w:r>
              <w:rPr>
                <w:b/>
                <w:spacing w:val="0"/>
              </w:rPr>
              <w:t>4.</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ind w:left="0" w:right="0" w:hanging="0"/>
        <w:jc w:val="left"/>
        <w:rPr>
          <w:shd w:fill="FFFFFF" w:val="clear"/>
        </w:rPr>
      </w:pPr>
      <w:r>
        <w:rPr>
          <w:shd w:fill="FFFFFF" w:val="clear"/>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2024</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100,442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100,442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100,442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100,442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tbl>
      <w:tblPr>
        <w:tblW w:w="5665" w:type="dxa"/>
        <w:jc w:val="left"/>
        <w:tblInd w:w="0" w:type="dxa"/>
        <w:tblLayout w:type="fixed"/>
        <w:tblCellMar>
          <w:top w:w="0" w:type="dxa"/>
          <w:left w:w="0" w:type="dxa"/>
          <w:bottom w:w="0" w:type="dxa"/>
          <w:right w:w="0" w:type="dxa"/>
        </w:tblCellMar>
      </w:tblPr>
      <w:tblGrid>
        <w:gridCol w:w="1715"/>
        <w:gridCol w:w="120"/>
        <w:gridCol w:w="140"/>
        <w:gridCol w:w="680"/>
        <w:gridCol w:w="60"/>
        <w:gridCol w:w="120"/>
        <w:gridCol w:w="264"/>
        <w:gridCol w:w="491"/>
        <w:gridCol w:w="60"/>
        <w:gridCol w:w="120"/>
        <w:gridCol w:w="140"/>
        <w:gridCol w:w="680"/>
        <w:gridCol w:w="60"/>
        <w:gridCol w:w="120"/>
        <w:gridCol w:w="140"/>
        <w:gridCol w:w="68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5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27,278</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27,278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27,278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30,515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30,515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June 30, 2024 and December 31, 2023, the Company’s cash equivalents, which were invested in money market funds, were valued based on Level 1 inputs.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There were no transfers between the Level 1, Level 2 or Level 3 categories during the six months ended June 30, 2024 and 2023.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SAFE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October through December 2023,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entered into multiple SAFE agreements with certain existing investors and received $34.1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the closing of the Merger, the principal balance of the SAFEs was automatically redeemed for 2,752,216 shares of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Legacy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Tectonic common stock at the conversion price of $12.40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per share immediately prior to the Merger closing. As such the valuation inputs utilized to adjust the SAFE liability to fair value upon the closing of the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Merger</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was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12.40.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At closing, shares of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Legacy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Tectonic common stock issued pursuant to the redemption of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SAFEs were converted into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1,470,839 shares of AVROBIO common stock based on the Exchange Ratio, pursuant to the Merger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activity for the SAFE liabilities that were measured at fair value using significant unobservable Level 3 inputs during the six months ended June 30, 2024 and the year ended December 31, 2023 (in thousands): </w:t>
      </w:r>
    </w:p>
    <w:p>
      <w:pPr>
        <w:pStyle w:val="TextBody"/>
        <w:bidi w:val="0"/>
        <w:spacing w:before="0" w:after="0"/>
        <w:ind w:left="0" w:right="0" w:hanging="0"/>
        <w:jc w:val="left"/>
        <w:rPr>
          <w:shd w:fill="FFFFFF" w:val="clear"/>
        </w:rPr>
      </w:pPr>
      <w:r>
        <w:rPr>
          <w:shd w:fill="FFFFFF" w:val="clear"/>
        </w:rPr>
        <w:t> </w:t>
      </w:r>
    </w:p>
    <w:tbl>
      <w:tblPr>
        <w:tblW w:w="4725" w:type="dxa"/>
        <w:jc w:val="left"/>
        <w:tblInd w:w="0" w:type="dxa"/>
        <w:tblLayout w:type="fixed"/>
        <w:tblCellMar>
          <w:top w:w="0" w:type="dxa"/>
          <w:left w:w="0" w:type="dxa"/>
          <w:bottom w:w="0" w:type="dxa"/>
          <w:right w:w="0" w:type="dxa"/>
        </w:tblCellMar>
      </w:tblPr>
      <w:tblGrid>
        <w:gridCol w:w="2735"/>
        <w:gridCol w:w="120"/>
        <w:gridCol w:w="265"/>
        <w:gridCol w:w="1435"/>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SAFE Liabilities</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2023</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fair value recognition</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31,515</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(1,255</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4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30,515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3,610</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(34,125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4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2024</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14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5260" w:type="dxa"/>
        <w:jc w:val="left"/>
        <w:tblInd w:w="0" w:type="dxa"/>
        <w:tblLayout w:type="fixed"/>
        <w:tblCellMar>
          <w:top w:w="0" w:type="dxa"/>
          <w:left w:w="0" w:type="dxa"/>
          <w:bottom w:w="0" w:type="dxa"/>
          <w:right w:w="0" w:type="dxa"/>
        </w:tblCellMar>
      </w:tblPr>
      <w:tblGrid>
        <w:gridCol w:w="215"/>
        <w:gridCol w:w="5045"/>
      </w:tblGrid>
      <w:tr>
        <w:trPr/>
        <w:tc>
          <w:tcPr>
            <w:tcW w:w="215" w:type="dxa"/>
            <w:tcBorders/>
            <w:vAlign w:val="center"/>
          </w:tcPr>
          <w:p>
            <w:pPr>
              <w:pStyle w:val="TableContents"/>
              <w:bidi w:val="0"/>
              <w:spacing w:before="0" w:after="0"/>
              <w:jc w:val="left"/>
              <w:rPr>
                <w:b/>
                <w:spacing w:val="0"/>
              </w:rPr>
            </w:pPr>
            <w:r>
              <w:rPr>
                <w:b/>
                <w:spacing w:val="0"/>
              </w:rPr>
              <w:t>5.</w:t>
            </w:r>
          </w:p>
        </w:tc>
        <w:tc>
          <w:tcPr>
            <w:tcW w:w="5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EQUIPMENT AND IMPROVEMENTS, NET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equipment and improvements, net is comprised of the following (in thousands): </w:t>
      </w:r>
    </w:p>
    <w:p>
      <w:pPr>
        <w:pStyle w:val="TextBody"/>
        <w:bidi w:val="0"/>
        <w:spacing w:before="0" w:after="0"/>
        <w:jc w:val="left"/>
        <w:rPr>
          <w:shd w:fill="FFFFFF" w:val="clear"/>
        </w:rPr>
      </w:pPr>
      <w:r>
        <w:rPr>
          <w:shd w:fill="FFFFFF" w:val="clear"/>
        </w:rPr>
        <w:t> </w:t>
      </w:r>
    </w:p>
    <w:tbl>
      <w:tblPr>
        <w:tblW w:w="5455" w:type="dxa"/>
        <w:jc w:val="left"/>
        <w:tblInd w:w="0" w:type="dxa"/>
        <w:tblLayout w:type="fixed"/>
        <w:tblCellMar>
          <w:top w:w="0" w:type="dxa"/>
          <w:left w:w="0" w:type="dxa"/>
          <w:bottom w:w="0" w:type="dxa"/>
          <w:right w:w="0" w:type="dxa"/>
        </w:tblCellMar>
      </w:tblPr>
      <w:tblGrid>
        <w:gridCol w:w="2600"/>
        <w:gridCol w:w="120"/>
        <w:gridCol w:w="158"/>
        <w:gridCol w:w="717"/>
        <w:gridCol w:w="155"/>
        <w:gridCol w:w="120"/>
        <w:gridCol w:w="255"/>
        <w:gridCol w:w="1160"/>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4,554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4,510</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office equipment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244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161</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38</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5,021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4,978</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(2,382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(1,856</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717" w:type="dxa"/>
            <w:tcBorders/>
            <w:vAlign w:val="center"/>
          </w:tcPr>
          <w:p>
            <w:pPr>
              <w:pStyle w:val="TableContents"/>
              <w:bidi w:val="0"/>
              <w:spacing w:before="0" w:after="283"/>
              <w:jc w:val="right"/>
              <w:rPr/>
            </w:pPr>
            <w:r>
              <w:rPr/>
              <w:t>2,639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3,122</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1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Depreciation expense was $0.3 million and $0.2 million during the three months ended June 30, 2024 and 2023, respectively, and $0.5 million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during each of the six months ended June 30, 2024 and 2023, which was recorded as follows (in thousands): </w:t>
      </w:r>
    </w:p>
    <w:p>
      <w:pPr>
        <w:pStyle w:val="TextBody"/>
        <w:bidi w:val="0"/>
        <w:spacing w:before="0" w:after="0"/>
        <w:jc w:val="left"/>
        <w:rPr>
          <w:shd w:fill="FFFFFF" w:val="clear"/>
        </w:rPr>
      </w:pPr>
      <w:r>
        <w:rPr>
          <w:shd w:fill="FFFFFF" w:val="clear"/>
        </w:rPr>
        <w:t> </w:t>
      </w:r>
    </w:p>
    <w:tbl>
      <w:tblPr>
        <w:tblW w:w="8540" w:type="dxa"/>
        <w:jc w:val="left"/>
        <w:tblInd w:w="0" w:type="dxa"/>
        <w:tblLayout w:type="fixed"/>
        <w:tblCellMar>
          <w:top w:w="0" w:type="dxa"/>
          <w:left w:w="0" w:type="dxa"/>
          <w:bottom w:w="0" w:type="dxa"/>
          <w:right w:w="0" w:type="dxa"/>
        </w:tblCellMar>
      </w:tblPr>
      <w:tblGrid>
        <w:gridCol w:w="2225"/>
        <w:gridCol w:w="120"/>
        <w:gridCol w:w="357"/>
        <w:gridCol w:w="972"/>
        <w:gridCol w:w="152"/>
        <w:gridCol w:w="306"/>
        <w:gridCol w:w="357"/>
        <w:gridCol w:w="976"/>
        <w:gridCol w:w="60"/>
        <w:gridCol w:w="120"/>
        <w:gridCol w:w="323"/>
        <w:gridCol w:w="879"/>
        <w:gridCol w:w="137"/>
        <w:gridCol w:w="276"/>
        <w:gridCol w:w="323"/>
        <w:gridCol w:w="88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5</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9</w:t>
            </w:r>
          </w:p>
        </w:tc>
        <w:tc>
          <w:tcPr>
            <w:tcW w:w="13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259</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517</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468</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single" w:sz="2" w:space="1" w:color="000000"/>
              </w:rPr>
            </w:pPr>
            <w:r>
              <w:rPr>
                <w:bdr w:val="single" w:sz="2" w:space="1" w:color="000000"/>
              </w:rPr>
              <w:t> </w:t>
            </w:r>
          </w:p>
        </w:tc>
        <w:tc>
          <w:tcPr>
            <w:tcW w:w="87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single" w:sz="2" w:space="1" w:color="000000"/>
              </w:rPr>
            </w:pPr>
            <w:r>
              <w:rPr>
                <w:bdr w:val="single" w:sz="2" w:space="1" w:color="000000"/>
              </w:rPr>
              <w:t> </w:t>
            </w:r>
          </w:p>
        </w:tc>
        <w:tc>
          <w:tcPr>
            <w:tcW w:w="88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264</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526</w:t>
            </w:r>
          </w:p>
        </w:tc>
        <w:tc>
          <w:tcPr>
            <w:tcW w:w="13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476</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double" w:sz="6" w:space="1" w:color="000000"/>
              </w:rPr>
            </w:pPr>
            <w:r>
              <w:rPr>
                <w:bdr w:val="double" w:sz="6" w:space="1" w:color="000000"/>
              </w:rPr>
              <w:t> </w:t>
            </w:r>
          </w:p>
        </w:tc>
        <w:tc>
          <w:tcPr>
            <w:tcW w:w="87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double" w:sz="6" w:space="1" w:color="000000"/>
              </w:rPr>
            </w:pPr>
            <w:r>
              <w:rPr>
                <w:bdr w:val="double" w:sz="6" w:space="1" w:color="000000"/>
              </w:rPr>
              <w:t> </w:t>
            </w:r>
          </w:p>
        </w:tc>
        <w:tc>
          <w:tcPr>
            <w:tcW w:w="88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0"/>
              <w:jc w:val="left"/>
              <w:rPr>
                <w:b/>
                <w:spacing w:val="0"/>
              </w:rPr>
            </w:pPr>
            <w:r>
              <w:rPr>
                <w:b/>
                <w:spacing w:val="0"/>
              </w:rPr>
              <w:t>6.</w:t>
            </w:r>
          </w:p>
        </w:tc>
        <w:tc>
          <w:tcPr>
            <w:tcW w:w="55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Accrued expenses and other current liabilities is comprised of the following (in thousands): </w:t>
      </w:r>
    </w:p>
    <w:p>
      <w:pPr>
        <w:pStyle w:val="TextBody"/>
        <w:bidi w:val="0"/>
        <w:spacing w:before="0" w:after="0"/>
        <w:ind w:left="0" w:right="0" w:hanging="0"/>
        <w:jc w:val="left"/>
        <w:rPr>
          <w:spacing w:val="0"/>
          <w:shd w:fill="FFFFFF" w:val="clear"/>
        </w:rPr>
      </w:pPr>
      <w:r>
        <w:rPr>
          <w:spacing w:val="0"/>
          <w:shd w:fill="FFFFFF" w:val="clear"/>
        </w:rPr>
        <w:t> </w:t>
      </w:r>
    </w:p>
    <w:tbl>
      <w:tblPr>
        <w:tblW w:w="8204" w:type="dxa"/>
        <w:jc w:val="left"/>
        <w:tblInd w:w="0" w:type="dxa"/>
        <w:tblLayout w:type="fixed"/>
        <w:tblCellMar>
          <w:top w:w="0" w:type="dxa"/>
          <w:left w:w="0" w:type="dxa"/>
          <w:bottom w:w="0" w:type="dxa"/>
          <w:right w:w="0" w:type="dxa"/>
        </w:tblCellMar>
      </w:tblPr>
      <w:tblGrid>
        <w:gridCol w:w="5540"/>
        <w:gridCol w:w="120"/>
        <w:gridCol w:w="149"/>
        <w:gridCol w:w="725"/>
        <w:gridCol w:w="60"/>
        <w:gridCol w:w="120"/>
        <w:gridCol w:w="283"/>
        <w:gridCol w:w="1132"/>
        <w:gridCol w:w="75"/>
      </w:tblGrid>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4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 xml:space="preserve">2024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5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Tectonic transaction costs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AVROBIO transaction costs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2,821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compensation related costs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2,755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2,840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w:t>
            </w:r>
          </w:p>
          <w:p>
            <w:pPr>
              <w:pStyle w:val="TableContents"/>
              <w:widowControl/>
              <w:bidi w:val="0"/>
              <w:spacing w:before="0" w:after="0"/>
              <w:ind w:left="0" w:right="0" w:hanging="19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ccrued offering costs related to the Subscription Agreement</w:t>
            </w:r>
          </w:p>
        </w:tc>
        <w:tc>
          <w:tcPr>
            <w:tcW w:w="12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2,000</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professional fees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1,607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1,798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contract research organization fees</w:t>
            </w:r>
          </w:p>
        </w:tc>
        <w:tc>
          <w:tcPr>
            <w:tcW w:w="12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985</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2,298</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contract development and manufacturing organization fees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649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660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office and laboratory costs</w:t>
            </w:r>
          </w:p>
        </w:tc>
        <w:tc>
          <w:tcPr>
            <w:tcW w:w="12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91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211</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334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20,009</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8,141</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jc w:val="left"/>
              <w:rPr>
                <w:b/>
                <w:spacing w:val="0"/>
              </w:rPr>
            </w:pPr>
            <w:r>
              <w:rPr>
                <w:b/>
                <w:spacing w:val="0"/>
              </w:rPr>
              <w:t>7.</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commitments under its operating and finance leases are described in Note 8.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Harvard Agreement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in-progress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research and development asset without future alternative use; therefore, any consideration paid was expensed.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consideration for the License Agreement, </w:t>
      </w:r>
    </w:p>
    <w:p>
      <w:pPr>
        <w:pStyle w:val="TextBody"/>
        <w:bidi w:val="0"/>
        <w:spacing w:before="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agreed to pay Harvard a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The remaining installment amount of $56,668 is due in July 2024.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enabled product licenses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Enabled Products”) and (3) a percentage between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10-20%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all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non-royalty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income received by the Company under sublicenses, strategic partnerships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product-by-product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on the earlier of (i) the expiration of the patent rights covering the product, expected to be no earlier than May 2041, and (ii) the termination of the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royalty term from sales of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Enabled Products will terminate on the earlier of (i) ten years after the first commercial sale of the first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Enabled Product and (ii) twelve years after the first commercial sale of the first Licensed Product. There was $0.1 million due to Harvard as of June 30, 2024. During the three months ended June 30,</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2024 and 2023,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paid less than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0.1 million and $0.1 million, respectively, and during the six months ended June 30, 2024 and 2023, the Company paid $0.1 million and $0.2 million, respectively, to Harvard.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Alloy Therapeutics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29, 2021,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non-creditable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annual fee of $0.1 million on each anniversary of the agreement. On November 7, 2022,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During the three months ended June 30, 2024 and 2023, the Company paid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0 and $0.1 million to ATX, respectively, and during the six months ended June 30, 2024 and 2023, the Company paid $0.1 million and $0.1 million to ATX, respectively.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Adimab Agreement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 May 1, 2023, Legacy Tectonic entered into a discovery agreement with Adimab, LLC (“Adimab”), an antibody discovery company, whereby Legacy Tectonic and Adimab are collaborating on human antibody discovery in accordance with an agreed upon research program. Legacy Tectonic paid an upfront technology access fee totaling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$20,000 upon execution of the agreement.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non-creditable,</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As of June 30, 2024, the Company recorded $0.1 million of costs associated with the FTEs in accrued expenses and other current liabilities and $0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of discovery delivery fees in accounts payable.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three months ended June 30, 2024 and 2023, the Company paid $0.2 million and less than $0.1 million to Adimab, respectively. During the six months ended June 30, 2024 and 2023, the Company paid $0.3 million and less than $0.1 million to Adimab, respectively.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Indemnification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As of June 30, 2024 and December 31, 2023, the Company did not have any liabilities or other commitments related to indemnification claims.</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Litigation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the normal course of operations, the Company may become involved in various legal proceedings. As of June 30, 2024 and December 31,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 </w:t>
      </w:r>
    </w:p>
    <w:p>
      <w:pPr>
        <w:pStyle w:val="TextBody"/>
        <w:bidi w:val="0"/>
        <w:spacing w:before="0" w:after="0"/>
        <w:ind w:left="0" w:right="0" w:hanging="0"/>
        <w:jc w:val="left"/>
        <w:rPr>
          <w:shd w:fill="FFFFFF" w:val="clear"/>
        </w:rPr>
      </w:pPr>
      <w:r>
        <w:rPr>
          <w:shd w:fill="FFFFFF" w:val="clear"/>
        </w:rPr>
        <w:t> </w:t>
      </w:r>
    </w:p>
    <w:tbl>
      <w:tblPr>
        <w:tblW w:w="1045" w:type="dxa"/>
        <w:jc w:val="left"/>
        <w:tblInd w:w="0" w:type="dxa"/>
        <w:tblLayout w:type="fixed"/>
        <w:tblCellMar>
          <w:top w:w="0" w:type="dxa"/>
          <w:left w:w="0" w:type="dxa"/>
          <w:bottom w:w="0" w:type="dxa"/>
          <w:right w:w="0" w:type="dxa"/>
        </w:tblCellMar>
      </w:tblPr>
      <w:tblGrid>
        <w:gridCol w:w="215"/>
        <w:gridCol w:w="830"/>
      </w:tblGrid>
      <w:tr>
        <w:trPr/>
        <w:tc>
          <w:tcPr>
            <w:tcW w:w="215" w:type="dxa"/>
            <w:tcBorders/>
            <w:vAlign w:val="center"/>
          </w:tcPr>
          <w:p>
            <w:pPr>
              <w:pStyle w:val="TableContents"/>
              <w:bidi w:val="0"/>
              <w:spacing w:before="0" w:after="0"/>
              <w:jc w:val="left"/>
              <w:rPr>
                <w:b/>
                <w:spacing w:val="0"/>
              </w:rPr>
            </w:pPr>
            <w:r>
              <w:rPr>
                <w:b/>
                <w:spacing w:val="0"/>
              </w:rPr>
              <w:t>8.</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has entered into operating leases for office and laboratory facilities and financing leases for laboratory equipment used in research and development activities. The remaining lease terms for its leases range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from approximately</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two months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to approximately</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3.5</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years. These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2020,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components and are excluded from the measurement of the lease. The lease expires on January 31, 2026, and contains a five-year renewal option exercisable by the Company which is not included in the measurement of the lease.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information about lease costs for the three and six months ended June 30, 2024 and 2023 (in thousands): </w:t>
      </w:r>
    </w:p>
    <w:p>
      <w:pPr>
        <w:pStyle w:val="TextBody"/>
        <w:bidi w:val="0"/>
        <w:spacing w:before="0" w:after="0"/>
        <w:jc w:val="left"/>
        <w:rPr>
          <w:shd w:fill="FFFFFF" w:val="clear"/>
        </w:rPr>
      </w:pPr>
      <w:r>
        <w:rPr>
          <w:shd w:fill="FFFFFF" w:val="clear"/>
        </w:rPr>
        <w:t> </w:t>
      </w:r>
    </w:p>
    <w:tbl>
      <w:tblPr>
        <w:tblW w:w="8603" w:type="dxa"/>
        <w:jc w:val="left"/>
        <w:tblInd w:w="0" w:type="dxa"/>
        <w:tblLayout w:type="fixed"/>
        <w:tblCellMar>
          <w:top w:w="0" w:type="dxa"/>
          <w:left w:w="0" w:type="dxa"/>
          <w:bottom w:w="0" w:type="dxa"/>
          <w:right w:w="0" w:type="dxa"/>
        </w:tblCellMar>
      </w:tblPr>
      <w:tblGrid>
        <w:gridCol w:w="2285"/>
        <w:gridCol w:w="120"/>
        <w:gridCol w:w="357"/>
        <w:gridCol w:w="972"/>
        <w:gridCol w:w="152"/>
        <w:gridCol w:w="306"/>
        <w:gridCol w:w="357"/>
        <w:gridCol w:w="976"/>
        <w:gridCol w:w="60"/>
        <w:gridCol w:w="120"/>
        <w:gridCol w:w="250"/>
        <w:gridCol w:w="1001"/>
        <w:gridCol w:w="107"/>
        <w:gridCol w:w="214"/>
        <w:gridCol w:w="250"/>
        <w:gridCol w:w="1001"/>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972"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1001" w:type="dxa"/>
            <w:tcBorders/>
            <w:shd w:fill="CCEEFF" w:val="clear"/>
            <w:vAlign w:val="center"/>
          </w:tcPr>
          <w:p>
            <w:pPr>
              <w:pStyle w:val="TableContents"/>
              <w:bidi w:val="0"/>
              <w:spacing w:before="0" w:after="283"/>
              <w:jc w:val="left"/>
              <w:rPr>
                <w:sz w:val="4"/>
                <w:szCs w:val="4"/>
              </w:rPr>
            </w:pPr>
            <w:r>
              <w:rPr>
                <w:sz w:val="4"/>
                <w:szCs w:val="4"/>
              </w:rPr>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100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972" w:type="dxa"/>
            <w:tcBorders/>
            <w:vAlign w:val="center"/>
          </w:tcPr>
          <w:p>
            <w:pPr>
              <w:pStyle w:val="TableContents"/>
              <w:bidi w:val="0"/>
              <w:spacing w:before="0" w:after="283"/>
              <w:jc w:val="right"/>
              <w:rPr/>
            </w:pPr>
            <w:r>
              <w:rPr/>
              <w:t>115</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1" w:type="dxa"/>
            <w:tcBorders/>
            <w:vAlign w:val="center"/>
          </w:tcPr>
          <w:p>
            <w:pPr>
              <w:pStyle w:val="TableContents"/>
              <w:bidi w:val="0"/>
              <w:spacing w:before="0" w:after="283"/>
              <w:jc w:val="right"/>
              <w:rPr/>
            </w:pPr>
            <w:r>
              <w:rPr/>
              <w:t>230</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001" w:type="dxa"/>
            <w:tcBorders/>
            <w:vAlign w:val="center"/>
          </w:tcPr>
          <w:p>
            <w:pPr>
              <w:pStyle w:val="TableContents"/>
              <w:bidi w:val="0"/>
              <w:spacing w:before="0" w:after="283"/>
              <w:jc w:val="right"/>
              <w:rPr/>
            </w:pPr>
            <w:r>
              <w:rPr/>
              <w:t>258</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28</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59</w:t>
            </w:r>
          </w:p>
        </w:tc>
        <w:tc>
          <w:tcPr>
            <w:tcW w:w="10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81</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351</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702</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702</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185</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360</w:t>
            </w:r>
          </w:p>
        </w:tc>
        <w:tc>
          <w:tcPr>
            <w:tcW w:w="10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348</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198</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448</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401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1" w:type="dxa"/>
            <w:tcBorders/>
            <w:vAlign w:val="center"/>
          </w:tcPr>
          <w:p>
            <w:pPr>
              <w:pStyle w:val="TableContents"/>
              <w:bidi w:val="0"/>
              <w:spacing w:before="0" w:after="0"/>
              <w:jc w:val="left"/>
              <w:rPr>
                <w:bdr w:val="single" w:sz="2" w:space="1" w:color="000000"/>
              </w:rPr>
            </w:pPr>
            <w:r>
              <w:rPr>
                <w:bdr w:val="single" w:sz="2" w:space="1" w:color="000000"/>
              </w:rPr>
              <w:t> </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877</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1,799</w:t>
            </w:r>
          </w:p>
        </w:tc>
        <w:tc>
          <w:tcPr>
            <w:tcW w:w="10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1,790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1" w:type="dxa"/>
            <w:tcBorders/>
            <w:vAlign w:val="center"/>
          </w:tcPr>
          <w:p>
            <w:pPr>
              <w:pStyle w:val="TableContents"/>
              <w:bidi w:val="0"/>
              <w:spacing w:before="0" w:after="0"/>
              <w:jc w:val="left"/>
              <w:rPr>
                <w:bdr w:val="double" w:sz="6" w:space="1" w:color="000000"/>
              </w:rPr>
            </w:pPr>
            <w:r>
              <w:rPr>
                <w:bdr w:val="double" w:sz="6" w:space="1" w:color="000000"/>
              </w:rPr>
              <w:t> </w:t>
            </w:r>
          </w:p>
        </w:tc>
        <w:tc>
          <w:tcPr>
            <w:tcW w:w="10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information about the Company’s leases for the six months ended June 30, 2024 and 2023 (in thousands): </w:t>
      </w:r>
    </w:p>
    <w:p>
      <w:pPr>
        <w:pStyle w:val="TextBody"/>
        <w:bidi w:val="0"/>
        <w:spacing w:before="0" w:after="0"/>
        <w:jc w:val="left"/>
        <w:rPr>
          <w:shd w:fill="FFFFFF" w:val="clear"/>
        </w:rPr>
      </w:pPr>
      <w:r>
        <w:rPr>
          <w:shd w:fill="FFFFFF" w:val="clear"/>
        </w:rPr>
        <w:t> </w:t>
      </w:r>
    </w:p>
    <w:tbl>
      <w:tblPr>
        <w:tblW w:w="8952" w:type="dxa"/>
        <w:jc w:val="left"/>
        <w:tblInd w:w="0" w:type="dxa"/>
        <w:tblLayout w:type="fixed"/>
        <w:tblCellMar>
          <w:top w:w="0" w:type="dxa"/>
          <w:left w:w="0" w:type="dxa"/>
          <w:bottom w:w="0" w:type="dxa"/>
          <w:right w:w="0" w:type="dxa"/>
        </w:tblCellMar>
      </w:tblPr>
      <w:tblGrid>
        <w:gridCol w:w="5720"/>
        <w:gridCol w:w="120"/>
        <w:gridCol w:w="263"/>
        <w:gridCol w:w="830"/>
        <w:gridCol w:w="519"/>
        <w:gridCol w:w="112"/>
        <w:gridCol w:w="263"/>
        <w:gridCol w:w="835"/>
        <w:gridCol w:w="290"/>
      </w:tblGrid>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29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51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51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financing cash flows</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240</w:t>
            </w:r>
          </w:p>
        </w:tc>
        <w:tc>
          <w:tcPr>
            <w:tcW w:w="51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283"/>
              <w:jc w:val="right"/>
              <w:rPr/>
            </w:pPr>
            <w:r>
              <w:rPr/>
              <w:t>270</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operating cash flows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w:t>
            </w:r>
          </w:p>
        </w:tc>
        <w:tc>
          <w:tcPr>
            <w:tcW w:w="51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81</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 - operating cash flows</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765</w:t>
            </w:r>
          </w:p>
        </w:tc>
        <w:tc>
          <w:tcPr>
            <w:tcW w:w="51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489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terms (in years)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51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2.75</w:t>
            </w:r>
          </w:p>
        </w:tc>
        <w:tc>
          <w:tcPr>
            <w:tcW w:w="51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3.73</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w:t>
            </w:r>
          </w:p>
        </w:tc>
        <w:tc>
          <w:tcPr>
            <w:tcW w:w="51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2.59</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9.69</w:t>
            </w:r>
          </w:p>
        </w:tc>
        <w:tc>
          <w:tcPr>
            <w:tcW w:w="51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9.58</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8.25</w:t>
            </w:r>
          </w:p>
        </w:tc>
        <w:tc>
          <w:tcPr>
            <w:tcW w:w="51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8.25</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maturity of the Company’s finance and operating lease liabilities for as of ended June 30, 2024 (in thousands): </w:t>
      </w:r>
    </w:p>
    <w:p>
      <w:pPr>
        <w:pStyle w:val="TextBody"/>
        <w:bidi w:val="0"/>
        <w:spacing w:before="0" w:after="0"/>
        <w:jc w:val="left"/>
        <w:rPr>
          <w:shd w:fill="FFFFFF" w:val="clear"/>
        </w:rPr>
      </w:pPr>
      <w:r>
        <w:rPr>
          <w:shd w:fill="FFFFFF" w:val="clear"/>
        </w:rPr>
        <w:t> </w:t>
      </w:r>
    </w:p>
    <w:tbl>
      <w:tblPr>
        <w:tblW w:w="5815" w:type="dxa"/>
        <w:jc w:val="left"/>
        <w:tblInd w:w="0" w:type="dxa"/>
        <w:tblLayout w:type="fixed"/>
        <w:tblCellMar>
          <w:top w:w="0" w:type="dxa"/>
          <w:left w:w="0" w:type="dxa"/>
          <w:bottom w:w="0" w:type="dxa"/>
          <w:right w:w="0" w:type="dxa"/>
        </w:tblCellMar>
      </w:tblPr>
      <w:tblGrid>
        <w:gridCol w:w="1895"/>
        <w:gridCol w:w="120"/>
        <w:gridCol w:w="313"/>
        <w:gridCol w:w="1252"/>
        <w:gridCol w:w="155"/>
        <w:gridCol w:w="120"/>
        <w:gridCol w:w="358"/>
        <w:gridCol w:w="1432"/>
        <w:gridCol w:w="170"/>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 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 Leases</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(remaining)</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284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769</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1,580</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1,243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2,481</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(132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(148</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2,333</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double" w:sz="6" w:space="1" w:color="000000"/>
              </w:rPr>
            </w:pPr>
            <w:r>
              <w:rPr>
                <w:bdr w:val="double" w:sz="6" w:space="1" w:color="000000"/>
              </w:rPr>
              <w:t> </w:t>
            </w:r>
          </w:p>
        </w:tc>
        <w:tc>
          <w:tcPr>
            <w:tcW w:w="125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0"/>
              <w:jc w:val="left"/>
              <w:rPr>
                <w:b/>
                <w:spacing w:val="0"/>
              </w:rPr>
            </w:pPr>
            <w:r>
              <w:rPr>
                <w:b/>
                <w:spacing w:val="0"/>
              </w:rPr>
              <w:t>9.</w:t>
            </w:r>
          </w:p>
        </w:tc>
        <w:tc>
          <w:tcPr>
            <w:tcW w:w="2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EQUITY </w:t>
            </w:r>
          </w:p>
        </w:tc>
      </w:tr>
    </w:tbl>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Convertible Preferred Stock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Prior to the conversion upon the closing of the Merger, Legacy Tectonic issued Series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A-1,</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A-2, A-3 and A-4 convertible preferred stock (the “Preferred Stock”).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Prior to the completion of the Merger, Legacy Tectonic classified the Preferred Stock outside of permanent equity as the shares had redemption features that were not entirely within the control of Legacy Tectonic.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Upon the closing of the Merger, all outstanding shares of the Preferred Stock were converted into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3,647,675 shares of common stock. No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shares of the Preferred Stock were outstanding as of June 30, 2024.</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Preferred Stock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Subsequent to consummation of the Merger, the Company authorized the issuance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10,000,000</w:t>
      </w:r>
    </w:p>
    <w:p>
      <w:pPr>
        <w:pStyle w:val="TextBody"/>
        <w:bidi w:val="0"/>
        <w:spacing w:before="120" w:after="0"/>
        <w:ind w:left="0" w:right="0" w:hanging="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shares of new undesignated preferred stock, however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w:t>
      </w:r>
    </w:p>
    <w:p>
      <w:pPr>
        <w:pStyle w:val="TextBody"/>
        <w:bidi w:val="0"/>
        <w:spacing w:before="120" w:after="0"/>
        <w:ind w:left="0" w:right="0" w:hanging="0"/>
        <w:jc w:val="left"/>
        <w:rPr>
          <w:spacing w:val="0"/>
          <w:shd w:fill="FFFFFF" w:val="clear"/>
        </w:rPr>
      </w:pPr>
      <w:r>
        <w:rPr>
          <w:spacing w:val="0"/>
          <w:shd w:fill="FFFFFF" w:val="clear"/>
        </w:rPr>
        <w:t> </w:t>
      </w:r>
      <w:r>
        <w:rPr>
          <w:rFonts w:ascii="Times New Roman" w:hAnsi="Times New Roman"/>
          <w:spacing w:val="0"/>
          <w:sz w:val="20"/>
          <w:shd w:fill="FFFFFF" w:val="clear"/>
        </w:rPr>
        <w:t>such shares were issued or outstanding as of June 30, 2024.</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Common Stock</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of June 30, 2024 and as a result of the Merger, the Company’s ARCOI authorized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the Company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to issue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150,000,000</w:t>
      </w:r>
    </w:p>
    <w:p>
      <w:pPr>
        <w:pStyle w:val="TextBody"/>
        <w:bidi w:val="0"/>
        <w:spacing w:before="120" w:after="0"/>
        <w:ind w:left="0" w:right="0" w:hanging="0"/>
        <w:jc w:val="left"/>
        <w:rPr>
          <w:spacing w:val="0"/>
          <w:shd w:fill="FFFFFF" w:val="clear"/>
        </w:rPr>
      </w:pPr>
      <w:r>
        <w:rPr>
          <w:spacing w:val="0"/>
          <w:shd w:fill="FFFFFF" w:val="clear"/>
        </w:rPr>
        <w:t> </w:t>
      </w:r>
      <w:r>
        <w:rPr>
          <w:rFonts w:ascii="Times New Roman" w:hAnsi="Times New Roman"/>
          <w:spacing w:val="0"/>
          <w:sz w:val="20"/>
          <w:shd w:fill="FFFFFF" w:val="clear"/>
        </w:rPr>
        <w:t>shares of voting common stock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0.0001</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par value common stock, of which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14,734,323</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were issued and outstanding</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w:t>
      </w:r>
    </w:p>
    <w:p>
      <w:pPr>
        <w:pStyle w:val="TextBody"/>
        <w:bidi w:val="0"/>
        <w:spacing w:before="120" w:after="0"/>
        <w:ind w:left="0" w:right="0" w:hanging="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Holders of voting common stock are entitled to one vote per share</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In addition, holders of voting common stock are entitled to receive dividends, if and when declared by the Company’s Board of Directors. As of June 30, 2024,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w:t>
      </w:r>
    </w:p>
    <w:p>
      <w:pPr>
        <w:pStyle w:val="TextBody"/>
        <w:bidi w:val="0"/>
        <w:spacing w:before="120" w:after="0"/>
        <w:ind w:left="0" w:right="0" w:hanging="0"/>
        <w:jc w:val="left"/>
        <w:rPr>
          <w:spacing w:val="0"/>
          <w:shd w:fill="FFFFFF" w:val="clear"/>
        </w:rPr>
      </w:pPr>
      <w:r>
        <w:rPr>
          <w:spacing w:val="0"/>
          <w:shd w:fill="FFFFFF" w:val="clear"/>
        </w:rPr>
        <w:t> </w:t>
      </w:r>
      <w:r>
        <w:rPr>
          <w:rFonts w:ascii="Times New Roman" w:hAnsi="Times New Roman"/>
          <w:spacing w:val="0"/>
          <w:sz w:val="20"/>
          <w:shd w:fill="FFFFFF" w:val="clear"/>
        </w:rPr>
        <w:t>dividends had been declared.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included in issued and outstanding common stock shares of restricted common stock granted by the Company. As of June 30, 2024, there were 14,734,323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shares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common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stock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issued and outstanding, of which 11,447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relate to shares of restricted common stock (see Note 10). </w:t>
      </w:r>
    </w:p>
    <w:p>
      <w:pPr>
        <w:pStyle w:val="TextBody"/>
        <w:bidi w:val="0"/>
        <w:spacing w:before="0" w:after="0"/>
        <w:ind w:left="0" w:right="0" w:hanging="0"/>
        <w:jc w:val="left"/>
        <w:rPr>
          <w:shd w:fill="FFFFFF" w:val="clear"/>
        </w:rPr>
      </w:pPr>
      <w:r>
        <w:rPr>
          <w:shd w:fill="FFFFFF" w:val="clear"/>
        </w:rPr>
        <w:t> </w:t>
      </w:r>
    </w:p>
    <w:tbl>
      <w:tblPr>
        <w:tblW w:w="3250" w:type="dxa"/>
        <w:jc w:val="left"/>
        <w:tblInd w:w="0" w:type="dxa"/>
        <w:tblLayout w:type="fixed"/>
        <w:tblCellMar>
          <w:top w:w="0" w:type="dxa"/>
          <w:left w:w="0" w:type="dxa"/>
          <w:bottom w:w="0" w:type="dxa"/>
          <w:right w:w="0" w:type="dxa"/>
        </w:tblCellMar>
      </w:tblPr>
      <w:tblGrid>
        <w:gridCol w:w="155"/>
        <w:gridCol w:w="3095"/>
      </w:tblGrid>
      <w:tr>
        <w:trPr/>
        <w:tc>
          <w:tcPr>
            <w:tcW w:w="155" w:type="dxa"/>
            <w:tcBorders/>
            <w:vAlign w:val="center"/>
          </w:tcPr>
          <w:p>
            <w:pPr>
              <w:pStyle w:val="TableContents"/>
              <w:bidi w:val="0"/>
              <w:spacing w:before="0" w:after="0"/>
              <w:jc w:val="left"/>
              <w:rPr>
                <w:b/>
                <w:spacing w:val="0"/>
              </w:rPr>
            </w:pPr>
            <w:r>
              <w:rPr>
                <w:b/>
                <w:spacing w:val="0"/>
              </w:rPr>
              <w:t>1</w:t>
            </w:r>
          </w:p>
          <w:p>
            <w:pPr>
              <w:pStyle w:val="TableContents"/>
              <w:bidi w:val="0"/>
              <w:spacing w:before="0" w:after="0"/>
              <w:jc w:val="left"/>
              <w:rPr>
                <w:b/>
                <w:spacing w:val="0"/>
              </w:rPr>
            </w:pPr>
            <w:r>
              <w:rPr>
                <w:b/>
                <w:spacing w:val="0"/>
              </w:rPr>
              <w:t>0</w:t>
            </w:r>
          </w:p>
          <w:p>
            <w:pPr>
              <w:pStyle w:val="TableContents"/>
              <w:bidi w:val="0"/>
              <w:spacing w:before="0" w:after="0"/>
              <w:jc w:val="left"/>
              <w:rPr>
                <w:b/>
                <w:spacing w:val="0"/>
              </w:rPr>
            </w:pPr>
            <w:r>
              <w:rPr>
                <w:b/>
                <w:spacing w:val="0"/>
              </w:rPr>
              <w:t>.</w:t>
            </w:r>
          </w:p>
        </w:tc>
        <w:tc>
          <w:tcPr>
            <w:tcW w:w="3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2019 Equity Incentive Plan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Legacy Tectonic 2019 Equity Incentive Plan (the “2019 Plan”) provides employees, consultants and advisors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members of the Board of Directors and its affiliates with the opportunity to receive grants of stock options, stock awards and equity awards. Since inception, Legacy Tectonic has only issued stock options.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2024 Equity Incentive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directors of the Company. The terms of stock award agreements, including vesting requirements, are determined by the Company’s Board of Directors and are subject to the provisions of the 2024 Plan. The term of each stock option shall be no more than ten years from the date of grant. Following the effectiveness of the 2024 Plan, no further grants will be made under the 2019 Plan; however, any outstanding equity awards granted under the 2019 Plan will continue to be governed by the terms of the 2019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aggregate maximum number of shares of common stock that may be issued pursuant to the exercise of incentive stock options is three multiplied by the Initial Share Reserve.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June 30, 2024, there were 1,063,999 shares available for issuance under the 2024 Plan.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2024 Employee Stock Purchase Plan </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 xml:space="preserve">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w:t>
      </w:r>
    </w:p>
    <w:p>
      <w:pPr>
        <w:pStyle w:val="TextBody"/>
        <w:bidi w:val="0"/>
        <w:spacing w:before="80" w:after="0"/>
        <w:jc w:val="left"/>
        <w:rPr>
          <w:rFonts w:ascii="Times New Roman" w:hAnsi="Times New Roman"/>
          <w:spacing w:val="0"/>
          <w:sz w:val="20"/>
          <w:shd w:fill="FFFFFF" w:val="clear"/>
        </w:rPr>
      </w:pPr>
      <w:r>
        <w:rPr>
          <w:rFonts w:ascii="Times New Roman" w:hAnsi="Times New Roman"/>
          <w:spacing w:val="0"/>
          <w:sz w:val="20"/>
          <w:shd w:fill="FFFFFF" w:val="clear"/>
        </w:rPr>
        <w:t>B</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 xml:space="preserve">oard of </w:t>
      </w:r>
    </w:p>
    <w:p>
      <w:pPr>
        <w:pStyle w:val="TextBody"/>
        <w:bidi w:val="0"/>
        <w:spacing w:before="80" w:after="0"/>
        <w:jc w:val="left"/>
        <w:rPr>
          <w:rFonts w:ascii="Times New Roman" w:hAnsi="Times New Roman"/>
          <w:spacing w:val="0"/>
          <w:sz w:val="20"/>
          <w:shd w:fill="FFFFFF" w:val="clear"/>
        </w:rPr>
      </w:pPr>
      <w:r>
        <w:rPr>
          <w:rFonts w:ascii="Times New Roman" w:hAnsi="Times New Roman"/>
          <w:spacing w:val="0"/>
          <w:sz w:val="20"/>
          <w:shd w:fill="FFFFFF" w:val="clear"/>
        </w:rPr>
        <w:t>D</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June 30, 2024.</w:t>
      </w:r>
    </w:p>
    <w:p>
      <w:pPr>
        <w:pStyle w:val="TextBody"/>
        <w:bidi w:val="0"/>
        <w:spacing w:before="80" w:after="0"/>
        <w:jc w:val="left"/>
        <w:rPr>
          <w:spacing w:val="0"/>
          <w:shd w:fill="FFFFFF" w:val="clear"/>
        </w:rPr>
      </w:pPr>
      <w:r>
        <w:rPr>
          <w:spacing w:val="0"/>
          <w:shd w:fill="FFFFFF" w:val="clear"/>
        </w:rPr>
        <w:t> </w:t>
      </w:r>
    </w:p>
    <w:p>
      <w:pPr>
        <w:pStyle w:val="TextBody"/>
        <w:bidi w:val="0"/>
        <w:spacing w:before="80" w:after="0"/>
        <w:jc w:val="left"/>
        <w:rPr>
          <w:rFonts w:ascii="Times New Roman" w:hAnsi="Times New Roman"/>
          <w:spacing w:val="0"/>
          <w:sz w:val="20"/>
          <w:shd w:fill="FFFFFF" w:val="clear"/>
        </w:rPr>
      </w:pPr>
      <w:r>
        <w:rPr>
          <w:rFonts w:ascii="Times New Roman" w:hAnsi="Times New Roman"/>
          <w:spacing w:val="0"/>
          <w:sz w:val="20"/>
          <w:shd w:fill="FFFFFF" w:val="clear"/>
        </w:rPr>
        <w:t>The option activity below reflects the reverse stock split and retroactive application of the exchange ratio as discussed in Note 1.</w:t>
      </w:r>
    </w:p>
    <w:p>
      <w:pPr>
        <w:pStyle w:val="TextBody"/>
        <w:bidi w:val="0"/>
        <w:spacing w:before="8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 summary of the stock option activity for the six months ended June 30, 2024 is as follows (in thousands except share and per share amounts):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1165"/>
        <w:gridCol w:w="120"/>
        <w:gridCol w:w="108"/>
        <w:gridCol w:w="1772"/>
        <w:gridCol w:w="155"/>
        <w:gridCol w:w="120"/>
        <w:gridCol w:w="475"/>
        <w:gridCol w:w="1900"/>
        <w:gridCol w:w="60"/>
        <w:gridCol w:w="120"/>
        <w:gridCol w:w="382"/>
        <w:gridCol w:w="2038"/>
        <w:gridCol w:w="60"/>
        <w:gridCol w:w="120"/>
        <w:gridCol w:w="307"/>
        <w:gridCol w:w="1228"/>
        <w:gridCol w:w="75"/>
      </w:tblGrid>
      <w:tr>
        <w:trPr/>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80" w:type="dxa"/>
            <w:gridSpan w:val="2"/>
            <w:tcBorders/>
            <w:vAlign w:val="center"/>
          </w:tcPr>
          <w:p>
            <w:pPr>
              <w:pStyle w:val="TableContents"/>
              <w:bidi w:val="0"/>
              <w:spacing w:before="0" w:after="0"/>
              <w:jc w:val="center"/>
              <w:rPr>
                <w:b/>
                <w:spacing w:val="0"/>
              </w:rPr>
            </w:pPr>
            <w:r>
              <w:rPr>
                <w:b/>
                <w:spacing w:val="0"/>
              </w:rPr>
              <w:t>Number of Shares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375" w:type="dxa"/>
            <w:gridSpan w:val="2"/>
            <w:tcBorders/>
            <w:vAlign w:val="center"/>
          </w:tcPr>
          <w:p>
            <w:pPr>
              <w:pStyle w:val="TableContents"/>
              <w:bidi w:val="0"/>
              <w:spacing w:before="0" w:after="0"/>
              <w:jc w:val="center"/>
              <w:rPr>
                <w:b/>
                <w:spacing w:val="0"/>
              </w:rPr>
            </w:pPr>
            <w:r>
              <w:rPr>
                <w:b/>
                <w:spacing w:val="0"/>
              </w:rPr>
              <w:t>Weighted-</w:t>
              <w:br/>
              <w:t>Average Exercise Price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20" w:type="dxa"/>
            <w:gridSpan w:val="2"/>
            <w:tcBorders/>
            <w:vAlign w:val="center"/>
          </w:tcPr>
          <w:p>
            <w:pPr>
              <w:pStyle w:val="TableContents"/>
              <w:bidi w:val="0"/>
              <w:spacing w:before="0" w:after="0"/>
              <w:jc w:val="center"/>
              <w:rPr>
                <w:b/>
                <w:spacing w:val="0"/>
              </w:rPr>
            </w:pPr>
            <w:r>
              <w:rPr>
                <w:b/>
                <w:spacing w:val="0"/>
              </w:rPr>
              <w:t>Weighted-Average</w:t>
            </w:r>
          </w:p>
          <w:p>
            <w:pPr>
              <w:pStyle w:val="TableContents"/>
              <w:bidi w:val="0"/>
              <w:spacing w:before="0" w:after="0"/>
              <w:jc w:val="center"/>
              <w:rPr>
                <w:b/>
                <w:spacing w:val="0"/>
              </w:rPr>
            </w:pPr>
            <w:r>
              <w:rPr>
                <w:b/>
                <w:spacing w:val="0"/>
              </w:rPr>
              <w:br/>
              <w:t>Remaining Contractual</w:t>
              <w:br/>
              <w:t xml:space="preserve">Term (Years)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35" w:type="dxa"/>
            <w:gridSpan w:val="2"/>
            <w:tcBorders/>
            <w:vAlign w:val="center"/>
          </w:tcPr>
          <w:p>
            <w:pPr>
              <w:pStyle w:val="TableContents"/>
              <w:bidi w:val="0"/>
              <w:spacing w:before="0" w:after="0"/>
              <w:jc w:val="center"/>
              <w:rPr>
                <w:b/>
                <w:spacing w:val="0"/>
              </w:rPr>
            </w:pPr>
            <w:r>
              <w:rPr>
                <w:b/>
                <w:spacing w:val="0"/>
              </w:rPr>
              <w:t>Aggregate</w:t>
              <w:br/>
              <w:t>Intrinsic Value</w:t>
            </w:r>
          </w:p>
        </w:tc>
        <w:tc>
          <w:tcPr>
            <w:tcW w:w="75" w:type="dxa"/>
            <w:tcBorders/>
            <w:vAlign w:val="center"/>
          </w:tcPr>
          <w:p>
            <w:pPr>
              <w:pStyle w:val="TableContents"/>
              <w:bidi w:val="0"/>
              <w:spacing w:before="0" w:after="0"/>
              <w:jc w:val="left"/>
              <w:rPr>
                <w:spacing w:val="0"/>
              </w:rPr>
            </w:pPr>
            <w:r>
              <w:rPr>
                <w:spacing w:val="0"/>
              </w:rPr>
              <w:t> </w:t>
            </w:r>
          </w:p>
        </w:tc>
      </w:tr>
      <w:tr>
        <w:trPr/>
        <w:tc>
          <w:tcPr>
            <w:tcW w:w="1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1,002,485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75" w:type="dxa"/>
            <w:tcBorders/>
            <w:shd w:fill="CCEEFF" w:val="clear"/>
            <w:vAlign w:val="center"/>
          </w:tcPr>
          <w:p>
            <w:pPr>
              <w:pStyle w:val="TableContents"/>
              <w:bidi w:val="0"/>
              <w:spacing w:before="0" w:after="0"/>
              <w:jc w:val="left"/>
              <w:rPr>
                <w:spacing w:val="0"/>
              </w:rPr>
            </w:pPr>
            <w:r>
              <w:rPr>
                <w:spacing w:val="0"/>
              </w:rPr>
              <w:t>$</w:t>
            </w:r>
          </w:p>
        </w:tc>
        <w:tc>
          <w:tcPr>
            <w:tcW w:w="1900" w:type="dxa"/>
            <w:tcBorders/>
            <w:shd w:fill="CCEEFF" w:val="clear"/>
            <w:vAlign w:val="center"/>
          </w:tcPr>
          <w:p>
            <w:pPr>
              <w:pStyle w:val="TableContents"/>
              <w:bidi w:val="0"/>
              <w:spacing w:before="0" w:after="0"/>
              <w:jc w:val="right"/>
              <w:rPr>
                <w:spacing w:val="0"/>
              </w:rPr>
            </w:pPr>
            <w:r>
              <w:rPr>
                <w:spacing w:val="0"/>
              </w:rPr>
              <w:t>3.11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0"/>
              <w:jc w:val="left"/>
              <w:rPr>
                <w:spacing w:val="0"/>
              </w:rPr>
            </w:pPr>
            <w:r>
              <w:rPr>
                <w:spacing w:val="0"/>
              </w:rPr>
              <w:t> </w:t>
            </w:r>
          </w:p>
        </w:tc>
        <w:tc>
          <w:tcPr>
            <w:tcW w:w="2038" w:type="dxa"/>
            <w:tcBorders/>
            <w:shd w:fill="CCEEFF" w:val="clear"/>
            <w:vAlign w:val="center"/>
          </w:tcPr>
          <w:p>
            <w:pPr>
              <w:pStyle w:val="TableContents"/>
              <w:bidi w:val="0"/>
              <w:spacing w:before="0" w:after="0"/>
              <w:jc w:val="right"/>
              <w:rPr>
                <w:spacing w:val="0"/>
              </w:rPr>
            </w:pPr>
            <w:r>
              <w:rPr>
                <w:spacing w:val="0"/>
              </w:rPr>
              <w:t>8.2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7" w:type="dxa"/>
            <w:tcBorders/>
            <w:shd w:fill="CCEEFF" w:val="clear"/>
            <w:vAlign w:val="center"/>
          </w:tcPr>
          <w:p>
            <w:pPr>
              <w:pStyle w:val="TableContents"/>
              <w:bidi w:val="0"/>
              <w:spacing w:before="0" w:after="0"/>
              <w:jc w:val="left"/>
              <w:rPr>
                <w:spacing w:val="0"/>
              </w:rPr>
            </w:pPr>
            <w:r>
              <w:rPr>
                <w:spacing w:val="0"/>
              </w:rPr>
              <w:t>$</w:t>
            </w:r>
          </w:p>
        </w:tc>
        <w:tc>
          <w:tcPr>
            <w:tcW w:w="1228" w:type="dxa"/>
            <w:tcBorders/>
            <w:shd w:fill="CCEEFF" w:val="clear"/>
            <w:vAlign w:val="center"/>
          </w:tcPr>
          <w:p>
            <w:pPr>
              <w:pStyle w:val="TableContents"/>
              <w:bidi w:val="0"/>
              <w:spacing w:before="0" w:after="0"/>
              <w:jc w:val="right"/>
              <w:rPr>
                <w:spacing w:val="0"/>
              </w:rPr>
            </w:pPr>
            <w:r>
              <w:rPr>
                <w:spacing w:val="0"/>
              </w:rPr>
              <w:t>2,276</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874,800</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0"/>
              <w:jc w:val="left"/>
              <w:rPr>
                <w:spacing w:val="0"/>
              </w:rPr>
            </w:pPr>
            <w:r>
              <w:rPr>
                <w:spacing w:val="0"/>
              </w:rPr>
              <w:t> </w:t>
            </w:r>
          </w:p>
        </w:tc>
        <w:tc>
          <w:tcPr>
            <w:tcW w:w="1900" w:type="dxa"/>
            <w:tcBorders/>
            <w:vAlign w:val="center"/>
          </w:tcPr>
          <w:p>
            <w:pPr>
              <w:pStyle w:val="TableContents"/>
              <w:bidi w:val="0"/>
              <w:spacing w:before="0" w:after="0"/>
              <w:jc w:val="right"/>
              <w:rPr>
                <w:spacing w:val="0"/>
              </w:rPr>
            </w:pPr>
            <w:r>
              <w:rPr>
                <w:spacing w:val="0"/>
              </w:rPr>
              <w:t>16.80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(266,705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75" w:type="dxa"/>
            <w:tcBorders/>
            <w:shd w:fill="CCEEFF" w:val="clear"/>
            <w:vAlign w:val="center"/>
          </w:tcPr>
          <w:p>
            <w:pPr>
              <w:pStyle w:val="TableContents"/>
              <w:bidi w:val="0"/>
              <w:spacing w:before="0" w:after="0"/>
              <w:jc w:val="left"/>
              <w:rPr>
                <w:spacing w:val="0"/>
              </w:rPr>
            </w:pPr>
            <w:r>
              <w:rPr>
                <w:spacing w:val="0"/>
              </w:rPr>
              <w:t> </w:t>
            </w:r>
          </w:p>
        </w:tc>
        <w:tc>
          <w:tcPr>
            <w:tcW w:w="1900" w:type="dxa"/>
            <w:tcBorders/>
            <w:shd w:fill="CCEEFF" w:val="clear"/>
            <w:vAlign w:val="center"/>
          </w:tcPr>
          <w:p>
            <w:pPr>
              <w:pStyle w:val="TableContents"/>
              <w:bidi w:val="0"/>
              <w:spacing w:before="0" w:after="0"/>
              <w:jc w:val="right"/>
              <w:rPr>
                <w:spacing w:val="0"/>
              </w:rPr>
            </w:pPr>
            <w:r>
              <w:rPr>
                <w:spacing w:val="0"/>
              </w:rPr>
              <w:t>2.44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283"/>
              <w:jc w:val="left"/>
              <w:rPr>
                <w:sz w:val="4"/>
                <w:szCs w:val="4"/>
              </w:rPr>
            </w:pPr>
            <w:r>
              <w:rPr>
                <w:sz w:val="4"/>
                <w:szCs w:val="4"/>
              </w:rPr>
            </w:r>
          </w:p>
        </w:tc>
        <w:tc>
          <w:tcPr>
            <w:tcW w:w="203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7" w:type="dxa"/>
            <w:tcBorders/>
            <w:shd w:fill="CCEEFF" w:val="clear"/>
            <w:vAlign w:val="center"/>
          </w:tcPr>
          <w:p>
            <w:pPr>
              <w:pStyle w:val="TableContents"/>
              <w:bidi w:val="0"/>
              <w:spacing w:before="0" w:after="0"/>
              <w:jc w:val="left"/>
              <w:rPr>
                <w:spacing w:val="0"/>
              </w:rPr>
            </w:pPr>
            <w:r>
              <w:rPr>
                <w:spacing w:val="0"/>
              </w:rPr>
              <w:t>$</w:t>
            </w:r>
          </w:p>
        </w:tc>
        <w:tc>
          <w:tcPr>
            <w:tcW w:w="1228" w:type="dxa"/>
            <w:tcBorders/>
            <w:shd w:fill="CCEEFF" w:val="clear"/>
            <w:vAlign w:val="center"/>
          </w:tcPr>
          <w:p>
            <w:pPr>
              <w:pStyle w:val="TableContents"/>
              <w:bidi w:val="0"/>
              <w:spacing w:before="0" w:after="0"/>
              <w:jc w:val="right"/>
              <w:rPr>
                <w:spacing w:val="0"/>
              </w:rPr>
            </w:pPr>
            <w:r>
              <w:rPr>
                <w:spacing w:val="0"/>
              </w:rPr>
              <w:t>3,743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and expired</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(31,922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0"/>
              <w:jc w:val="left"/>
              <w:rPr>
                <w:spacing w:val="0"/>
              </w:rPr>
            </w:pPr>
            <w:r>
              <w:rPr>
                <w:spacing w:val="0"/>
              </w:rPr>
              <w:t> </w:t>
            </w:r>
          </w:p>
        </w:tc>
        <w:tc>
          <w:tcPr>
            <w:tcW w:w="1900" w:type="dxa"/>
            <w:tcBorders/>
            <w:vAlign w:val="center"/>
          </w:tcPr>
          <w:p>
            <w:pPr>
              <w:pStyle w:val="TableContents"/>
              <w:bidi w:val="0"/>
              <w:spacing w:before="0" w:after="0"/>
              <w:jc w:val="right"/>
              <w:rPr>
                <w:spacing w:val="0"/>
              </w:rPr>
            </w:pPr>
            <w:r>
              <w:rPr>
                <w:spacing w:val="0"/>
              </w:rPr>
              <w:t>2.71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assumed from AVROBIO upon Merger closing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365,428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75" w:type="dxa"/>
            <w:tcBorders/>
            <w:shd w:fill="CCEEFF" w:val="clear"/>
            <w:vAlign w:val="center"/>
          </w:tcPr>
          <w:p>
            <w:pPr>
              <w:pStyle w:val="TableContents"/>
              <w:bidi w:val="0"/>
              <w:spacing w:before="0" w:after="0"/>
              <w:jc w:val="left"/>
              <w:rPr>
                <w:spacing w:val="0"/>
              </w:rPr>
            </w:pPr>
            <w:r>
              <w:rPr>
                <w:spacing w:val="0"/>
              </w:rPr>
              <w:t> </w:t>
            </w:r>
          </w:p>
        </w:tc>
        <w:tc>
          <w:tcPr>
            <w:tcW w:w="1900" w:type="dxa"/>
            <w:tcBorders/>
            <w:shd w:fill="CCEEFF" w:val="clear"/>
            <w:vAlign w:val="center"/>
          </w:tcPr>
          <w:p>
            <w:pPr>
              <w:pStyle w:val="TableContents"/>
              <w:bidi w:val="0"/>
              <w:spacing w:before="0" w:after="0"/>
              <w:jc w:val="right"/>
              <w:rPr>
                <w:spacing w:val="0"/>
              </w:rPr>
            </w:pPr>
            <w:r>
              <w:rPr>
                <w:spacing w:val="0"/>
              </w:rPr>
              <w:t>89.92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283"/>
              <w:jc w:val="left"/>
              <w:rPr>
                <w:sz w:val="4"/>
                <w:szCs w:val="4"/>
              </w:rPr>
            </w:pPr>
            <w:r>
              <w:rPr>
                <w:sz w:val="4"/>
                <w:szCs w:val="4"/>
              </w:rPr>
            </w:r>
          </w:p>
        </w:tc>
        <w:tc>
          <w:tcPr>
            <w:tcW w:w="203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June 30, 2024</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1,944,086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0"/>
              <w:jc w:val="left"/>
              <w:rPr>
                <w:spacing w:val="0"/>
              </w:rPr>
            </w:pPr>
            <w:r>
              <w:rPr>
                <w:spacing w:val="0"/>
              </w:rPr>
              <w:t>$</w:t>
            </w:r>
          </w:p>
        </w:tc>
        <w:tc>
          <w:tcPr>
            <w:tcW w:w="1900" w:type="dxa"/>
            <w:tcBorders/>
            <w:vAlign w:val="center"/>
          </w:tcPr>
          <w:p>
            <w:pPr>
              <w:pStyle w:val="TableContents"/>
              <w:bidi w:val="0"/>
              <w:spacing w:before="0" w:after="0"/>
              <w:jc w:val="right"/>
              <w:rPr>
                <w:spacing w:val="0"/>
              </w:rPr>
            </w:pPr>
            <w:r>
              <w:rPr>
                <w:spacing w:val="0"/>
              </w:rPr>
              <w:t>25.68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2038" w:type="dxa"/>
            <w:tcBorders/>
            <w:vAlign w:val="center"/>
          </w:tcPr>
          <w:p>
            <w:pPr>
              <w:pStyle w:val="TableContents"/>
              <w:bidi w:val="0"/>
              <w:spacing w:before="0" w:after="0"/>
              <w:jc w:val="right"/>
              <w:rPr>
                <w:spacing w:val="0"/>
              </w:rPr>
            </w:pPr>
            <w:r>
              <w:rPr>
                <w:spacing w:val="0"/>
              </w:rPr>
              <w:t>7.5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0"/>
              <w:jc w:val="left"/>
              <w:rPr>
                <w:spacing w:val="0"/>
              </w:rPr>
            </w:pPr>
            <w:r>
              <w:rPr>
                <w:spacing w:val="0"/>
              </w:rPr>
              <w:t>$</w:t>
            </w:r>
          </w:p>
        </w:tc>
        <w:tc>
          <w:tcPr>
            <w:tcW w:w="1228" w:type="dxa"/>
            <w:tcBorders/>
            <w:vAlign w:val="center"/>
          </w:tcPr>
          <w:p>
            <w:pPr>
              <w:pStyle w:val="TableContents"/>
              <w:bidi w:val="0"/>
              <w:spacing w:before="0" w:after="0"/>
              <w:jc w:val="right"/>
              <w:rPr>
                <w:spacing w:val="0"/>
              </w:rPr>
            </w:pPr>
            <w:r>
              <w:rPr>
                <w:spacing w:val="0"/>
              </w:rPr>
              <w:t>9,830</w:t>
            </w:r>
          </w:p>
        </w:tc>
        <w:tc>
          <w:tcPr>
            <w:tcW w:w="75" w:type="dxa"/>
            <w:tcBorders/>
            <w:vAlign w:val="center"/>
          </w:tcPr>
          <w:p>
            <w:pPr>
              <w:pStyle w:val="TableContents"/>
              <w:bidi w:val="0"/>
              <w:spacing w:before="0" w:after="0"/>
              <w:jc w:val="left"/>
              <w:rPr>
                <w:spacing w:val="0"/>
              </w:rPr>
            </w:pPr>
            <w:r>
              <w:rPr>
                <w:spacing w:val="0"/>
              </w:rPr>
              <w:t> </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exercisable as of June 30, 2024</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683,184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75" w:type="dxa"/>
            <w:tcBorders/>
            <w:shd w:fill="CCEEFF" w:val="clear"/>
            <w:vAlign w:val="center"/>
          </w:tcPr>
          <w:p>
            <w:pPr>
              <w:pStyle w:val="TableContents"/>
              <w:bidi w:val="0"/>
              <w:spacing w:before="0" w:after="0"/>
              <w:jc w:val="left"/>
              <w:rPr>
                <w:spacing w:val="0"/>
              </w:rPr>
            </w:pPr>
            <w:r>
              <w:rPr>
                <w:spacing w:val="0"/>
              </w:rPr>
              <w:t>$</w:t>
            </w:r>
          </w:p>
        </w:tc>
        <w:tc>
          <w:tcPr>
            <w:tcW w:w="1900" w:type="dxa"/>
            <w:tcBorders/>
            <w:shd w:fill="CCEEFF" w:val="clear"/>
            <w:vAlign w:val="center"/>
          </w:tcPr>
          <w:p>
            <w:pPr>
              <w:pStyle w:val="TableContents"/>
              <w:bidi w:val="0"/>
              <w:spacing w:before="0" w:after="0"/>
              <w:jc w:val="right"/>
              <w:rPr>
                <w:spacing w:val="0"/>
              </w:rPr>
            </w:pPr>
            <w:r>
              <w:rPr>
                <w:spacing w:val="0"/>
              </w:rPr>
              <w:t>49.36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0"/>
              <w:jc w:val="left"/>
              <w:rPr>
                <w:spacing w:val="0"/>
              </w:rPr>
            </w:pPr>
            <w:r>
              <w:rPr>
                <w:spacing w:val="0"/>
              </w:rPr>
              <w:t> </w:t>
            </w:r>
          </w:p>
        </w:tc>
        <w:tc>
          <w:tcPr>
            <w:tcW w:w="2038" w:type="dxa"/>
            <w:tcBorders/>
            <w:shd w:fill="CCEEFF" w:val="clear"/>
            <w:vAlign w:val="center"/>
          </w:tcPr>
          <w:p>
            <w:pPr>
              <w:pStyle w:val="TableContents"/>
              <w:bidi w:val="0"/>
              <w:spacing w:before="0" w:after="0"/>
              <w:jc w:val="right"/>
              <w:rPr>
                <w:spacing w:val="0"/>
              </w:rPr>
            </w:pPr>
            <w:r>
              <w:rPr>
                <w:spacing w:val="0"/>
              </w:rPr>
              <w:t>3.8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7" w:type="dxa"/>
            <w:tcBorders/>
            <w:shd w:fill="CCEEFF" w:val="clear"/>
            <w:vAlign w:val="center"/>
          </w:tcPr>
          <w:p>
            <w:pPr>
              <w:pStyle w:val="TableContents"/>
              <w:bidi w:val="0"/>
              <w:spacing w:before="0" w:after="0"/>
              <w:jc w:val="left"/>
              <w:rPr>
                <w:spacing w:val="0"/>
              </w:rPr>
            </w:pPr>
            <w:r>
              <w:rPr>
                <w:spacing w:val="0"/>
              </w:rPr>
              <w:t>$</w:t>
            </w:r>
          </w:p>
        </w:tc>
        <w:tc>
          <w:tcPr>
            <w:tcW w:w="1228" w:type="dxa"/>
            <w:tcBorders/>
            <w:shd w:fill="CCEEFF" w:val="clear"/>
            <w:vAlign w:val="center"/>
          </w:tcPr>
          <w:p>
            <w:pPr>
              <w:pStyle w:val="TableContents"/>
              <w:bidi w:val="0"/>
              <w:spacing w:before="0" w:after="0"/>
              <w:jc w:val="right"/>
              <w:rPr>
                <w:spacing w:val="0"/>
              </w:rPr>
            </w:pPr>
            <w:r>
              <w:rPr>
                <w:spacing w:val="0"/>
              </w:rPr>
              <w:t>4,987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expected to vest as of June 30, 2024</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1,944,086</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75" w:type="dxa"/>
            <w:tcBorders/>
            <w:vAlign w:val="center"/>
          </w:tcPr>
          <w:p>
            <w:pPr>
              <w:pStyle w:val="TableContents"/>
              <w:bidi w:val="0"/>
              <w:spacing w:before="0" w:after="0"/>
              <w:jc w:val="left"/>
              <w:rPr>
                <w:spacing w:val="0"/>
              </w:rPr>
            </w:pPr>
            <w:r>
              <w:rPr>
                <w:spacing w:val="0"/>
              </w:rPr>
              <w:t>$</w:t>
            </w:r>
          </w:p>
        </w:tc>
        <w:tc>
          <w:tcPr>
            <w:tcW w:w="1900" w:type="dxa"/>
            <w:tcBorders/>
            <w:vAlign w:val="center"/>
          </w:tcPr>
          <w:p>
            <w:pPr>
              <w:pStyle w:val="TableContents"/>
              <w:bidi w:val="0"/>
              <w:spacing w:before="0" w:after="0"/>
              <w:jc w:val="right"/>
              <w:rPr>
                <w:spacing w:val="0"/>
              </w:rPr>
            </w:pPr>
            <w:r>
              <w:rPr>
                <w:spacing w:val="0"/>
              </w:rPr>
              <w:t>25.68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2038" w:type="dxa"/>
            <w:tcBorders/>
            <w:vAlign w:val="center"/>
          </w:tcPr>
          <w:p>
            <w:pPr>
              <w:pStyle w:val="TableContents"/>
              <w:bidi w:val="0"/>
              <w:spacing w:before="0" w:after="0"/>
              <w:jc w:val="right"/>
              <w:rPr>
                <w:spacing w:val="0"/>
              </w:rPr>
            </w:pPr>
            <w:r>
              <w:rPr>
                <w:spacing w:val="0"/>
              </w:rPr>
              <w:t>7.5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7" w:type="dxa"/>
            <w:tcBorders/>
            <w:vAlign w:val="center"/>
          </w:tcPr>
          <w:p>
            <w:pPr>
              <w:pStyle w:val="TableContents"/>
              <w:bidi w:val="0"/>
              <w:spacing w:before="0" w:after="0"/>
              <w:jc w:val="left"/>
              <w:rPr>
                <w:spacing w:val="0"/>
              </w:rPr>
            </w:pPr>
            <w:r>
              <w:rPr>
                <w:spacing w:val="0"/>
              </w:rPr>
              <w:t>$</w:t>
            </w:r>
          </w:p>
        </w:tc>
        <w:tc>
          <w:tcPr>
            <w:tcW w:w="1228" w:type="dxa"/>
            <w:tcBorders/>
            <w:vAlign w:val="center"/>
          </w:tcPr>
          <w:p>
            <w:pPr>
              <w:pStyle w:val="TableContents"/>
              <w:bidi w:val="0"/>
              <w:spacing w:before="0" w:after="0"/>
              <w:jc w:val="right"/>
              <w:rPr>
                <w:spacing w:val="0"/>
              </w:rPr>
            </w:pPr>
            <w:r>
              <w:rPr>
                <w:spacing w:val="0"/>
              </w:rPr>
              <w:t>9,830</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160" w:after="0"/>
        <w:ind w:left="0" w:right="0" w:hanging="0"/>
        <w:jc w:val="left"/>
        <w:rPr>
          <w:rFonts w:ascii="Times New Roman" w:hAnsi="Times New Roman"/>
          <w:sz w:val="20"/>
          <w:shd w:fill="FFFFFF" w:val="clear"/>
        </w:rPr>
      </w:pPr>
      <w:r>
        <w:rPr>
          <w:rFonts w:ascii="Times New Roman" w:hAnsi="Times New Roman"/>
          <w:sz w:val="20"/>
          <w:shd w:fill="FFFFFF" w:val="clear"/>
        </w:rPr>
        <w:t>The weighted-average grant-date fair value of options granted during the six months ended June 30, 2024 and 2023 was $13.95 and $2.51 per share, respectively. The total intrinsic value of options exercised during the three months ended June 30, 2024 and 2023 was $3.7 million and $0, respectively, and was $3.7 million and</w:t>
      </w:r>
    </w:p>
    <w:p>
      <w:pPr>
        <w:pStyle w:val="TextBody"/>
        <w:bidi w:val="0"/>
        <w:spacing w:before="160" w:after="0"/>
        <w:jc w:val="left"/>
        <w:rPr>
          <w:shd w:fill="FFFFFF" w:val="clear"/>
        </w:rPr>
      </w:pPr>
      <w:r>
        <w:rPr>
          <w:shd w:fill="FFFFFF" w:val="clear"/>
        </w:rPr>
        <w:t> </w:t>
      </w:r>
      <w:r>
        <w:rPr>
          <w:rFonts w:ascii="Times New Roman" w:hAnsi="Times New Roman"/>
          <w:sz w:val="20"/>
          <w:shd w:fill="FFFFFF" w:val="clear"/>
        </w:rPr>
        <w:t>less than</w:t>
      </w:r>
    </w:p>
    <w:p>
      <w:pPr>
        <w:pStyle w:val="TextBody"/>
        <w:bidi w:val="0"/>
        <w:spacing w:before="160" w:after="0"/>
        <w:jc w:val="left"/>
        <w:rPr>
          <w:shd w:fill="FFFFFF" w:val="clear"/>
        </w:rPr>
      </w:pPr>
      <w:r>
        <w:rPr>
          <w:shd w:fill="FFFFFF" w:val="clear"/>
        </w:rPr>
        <w:t> </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$0.1</w:t>
      </w:r>
    </w:p>
    <w:p>
      <w:pPr>
        <w:pStyle w:val="TextBody"/>
        <w:bidi w:val="0"/>
        <w:spacing w:before="160" w:after="0"/>
        <w:jc w:val="left"/>
        <w:rPr>
          <w:shd w:fill="FFFFFF" w:val="clear"/>
        </w:rPr>
      </w:pPr>
      <w:r>
        <w:rPr>
          <w:shd w:fill="FFFFFF" w:val="clear"/>
        </w:rPr>
        <w:t> </w:t>
      </w:r>
      <w:r>
        <w:rPr>
          <w:rFonts w:ascii="Times New Roman" w:hAnsi="Times New Roman"/>
          <w:sz w:val="20"/>
          <w:shd w:fill="FFFFFF" w:val="clear"/>
        </w:rPr>
        <w:t>million</w:t>
      </w:r>
    </w:p>
    <w:p>
      <w:pPr>
        <w:pStyle w:val="TextBody"/>
        <w:bidi w:val="0"/>
        <w:spacing w:before="160" w:after="0"/>
        <w:jc w:val="left"/>
        <w:rPr>
          <w:rFonts w:ascii="Times New Roman" w:hAnsi="Times New Roman"/>
          <w:sz w:val="20"/>
          <w:shd w:fill="FFFFFF" w:val="clear"/>
        </w:rPr>
      </w:pPr>
      <w:r>
        <w:rPr>
          <w:rFonts w:ascii="Times New Roman" w:hAnsi="Times New Roman"/>
          <w:sz w:val="20"/>
          <w:shd w:fill="FFFFFF" w:val="clear"/>
        </w:rPr>
        <w:t xml:space="preserve">during the six months ended June 30, 2024 and 2023, respectively. Forfeitures of options are recorded as incurred. </w:t>
      </w:r>
    </w:p>
    <w:tbl>
      <w:tblPr>
        <w:tblW w:w="145" w:type="dxa"/>
        <w:jc w:val="left"/>
        <w:tblInd w:w="0" w:type="dxa"/>
        <w:tblLayout w:type="fixed"/>
        <w:tblCellMar>
          <w:top w:w="0" w:type="dxa"/>
          <w:left w:w="0" w:type="dxa"/>
          <w:bottom w:w="0" w:type="dxa"/>
          <w:right w:w="0" w:type="dxa"/>
        </w:tblCellMar>
      </w:tblPr>
      <w:tblGrid>
        <w:gridCol w:w="38"/>
        <w:gridCol w:w="23"/>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Cash received from option exercises was $0.6 million for the three and six months ended June 30, 2024 and $0 </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and less tha</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n $0.1 million for the three and six months ended June 30, 2023, respectively</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w:t>
      </w:r>
    </w:p>
    <w:p>
      <w:pPr>
        <w:pStyle w:val="TextBody"/>
        <w:bidi w:val="0"/>
        <w:spacing w:before="8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fair values of the options granted in the six months ended June 30, 2023 were estimated based on the Black-Scholes-Merton option pricing model, using the following assumptions: </w:t>
      </w:r>
    </w:p>
    <w:p>
      <w:pPr>
        <w:pStyle w:val="TextBody"/>
        <w:bidi w:val="0"/>
        <w:spacing w:before="0" w:after="0"/>
        <w:ind w:left="0" w:right="0" w:hanging="0"/>
        <w:jc w:val="left"/>
        <w:rPr>
          <w:spacing w:val="0"/>
          <w:shd w:fill="FFFFFF" w:val="clear"/>
        </w:rPr>
      </w:pPr>
      <w:r>
        <w:rPr>
          <w:spacing w:val="0"/>
          <w:shd w:fill="FFFFFF" w:val="clear"/>
        </w:rPr>
        <w:t> </w:t>
      </w:r>
    </w:p>
    <w:tbl>
      <w:tblPr>
        <w:tblW w:w="6960" w:type="dxa"/>
        <w:jc w:val="left"/>
        <w:tblInd w:w="0" w:type="dxa"/>
        <w:tblLayout w:type="fixed"/>
        <w:tblCellMar>
          <w:top w:w="0" w:type="dxa"/>
          <w:left w:w="0" w:type="dxa"/>
          <w:bottom w:w="0" w:type="dxa"/>
          <w:right w:w="0" w:type="dxa"/>
        </w:tblCellMar>
      </w:tblPr>
      <w:tblGrid>
        <w:gridCol w:w="3995"/>
        <w:gridCol w:w="120"/>
        <w:gridCol w:w="875"/>
        <w:gridCol w:w="60"/>
        <w:gridCol w:w="1910"/>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45" w:type="dxa"/>
            <w:gridSpan w:val="3"/>
            <w:tcBorders/>
            <w:vAlign w:val="center"/>
          </w:tcPr>
          <w:p>
            <w:pPr>
              <w:pStyle w:val="TableContents"/>
              <w:bidi w:val="0"/>
              <w:spacing w:before="0" w:after="0"/>
              <w:jc w:val="center"/>
              <w:rPr>
                <w:b/>
                <w:spacing w:val="0"/>
              </w:rPr>
            </w:pPr>
            <w:r>
              <w:rPr>
                <w:b/>
                <w:spacing w:val="0"/>
              </w:rPr>
              <w:t>Six Months Ended June 30,</w:t>
            </w:r>
          </w:p>
        </w:tc>
      </w:tr>
      <w:tr>
        <w:trPr/>
        <w:tc>
          <w:tcPr>
            <w:tcW w:w="3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910" w:type="dxa"/>
            <w:tcBorders/>
            <w:vAlign w:val="center"/>
          </w:tcPr>
          <w:p>
            <w:pPr>
              <w:pStyle w:val="TableContents"/>
              <w:bidi w:val="0"/>
              <w:spacing w:before="0" w:after="0"/>
              <w:jc w:val="center"/>
              <w:rPr>
                <w:b/>
                <w:spacing w:val="0"/>
              </w:rPr>
            </w:pPr>
            <w:r>
              <w:rPr>
                <w:b/>
                <w:spacing w:val="0"/>
              </w:rPr>
              <w:t>2023</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per share of underlying common stock</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center"/>
              <w:rPr>
                <w:spacing w:val="0"/>
              </w:rPr>
            </w:pPr>
            <w:r>
              <w:rPr>
                <w:spacing w:val="0"/>
              </w:rPr>
              <w:t>$16.80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10" w:type="dxa"/>
            <w:tcBorders/>
            <w:shd w:fill="CCEEFF" w:val="clear"/>
            <w:vAlign w:val="center"/>
          </w:tcPr>
          <w:p>
            <w:pPr>
              <w:pStyle w:val="TableContents"/>
              <w:bidi w:val="0"/>
              <w:spacing w:before="0" w:after="0"/>
              <w:jc w:val="center"/>
              <w:rPr>
                <w:spacing w:val="0"/>
              </w:rPr>
            </w:pPr>
            <w:r>
              <w:rPr>
                <w:spacing w:val="0"/>
              </w:rPr>
              <w:t>$2.98</w:t>
            </w:r>
          </w:p>
        </w:tc>
      </w:tr>
      <w:tr>
        <w:trPr/>
        <w:tc>
          <w:tcPr>
            <w:tcW w:w="3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spacing w:val="0"/>
              </w:rPr>
            </w:pPr>
            <w:r>
              <w:rPr>
                <w:spacing w:val="0"/>
              </w:rPr>
              <w:t>6.25</w:t>
            </w:r>
          </w:p>
        </w:tc>
        <w:tc>
          <w:tcPr>
            <w:tcW w:w="60" w:type="dxa"/>
            <w:tcBorders/>
            <w:vAlign w:val="center"/>
          </w:tcPr>
          <w:p>
            <w:pPr>
              <w:pStyle w:val="TableContents"/>
              <w:bidi w:val="0"/>
              <w:spacing w:before="0" w:after="0"/>
              <w:jc w:val="left"/>
              <w:rPr>
                <w:spacing w:val="0"/>
              </w:rPr>
            </w:pPr>
            <w:r>
              <w:rPr>
                <w:spacing w:val="0"/>
              </w:rPr>
              <w:t> </w:t>
            </w:r>
          </w:p>
        </w:tc>
        <w:tc>
          <w:tcPr>
            <w:tcW w:w="1910" w:type="dxa"/>
            <w:tcBorders/>
            <w:vAlign w:val="center"/>
          </w:tcPr>
          <w:p>
            <w:pPr>
              <w:pStyle w:val="TableContents"/>
              <w:bidi w:val="0"/>
              <w:spacing w:before="0" w:after="0"/>
              <w:jc w:val="center"/>
              <w:rPr>
                <w:spacing w:val="0"/>
              </w:rPr>
            </w:pPr>
            <w:r>
              <w:rPr>
                <w:spacing w:val="0"/>
              </w:rPr>
              <w:t>5.93</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center"/>
              <w:rPr>
                <w:spacing w:val="0"/>
              </w:rPr>
            </w:pPr>
            <w:r>
              <w:rPr>
                <w:spacing w:val="0"/>
              </w:rPr>
              <w:t>104.00%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10" w:type="dxa"/>
            <w:tcBorders/>
            <w:shd w:fill="CCEEFF" w:val="clear"/>
            <w:vAlign w:val="center"/>
          </w:tcPr>
          <w:p>
            <w:pPr>
              <w:pStyle w:val="TableContents"/>
              <w:bidi w:val="0"/>
              <w:spacing w:before="0" w:after="0"/>
              <w:jc w:val="center"/>
              <w:rPr>
                <w:spacing w:val="0"/>
              </w:rPr>
            </w:pPr>
            <w:r>
              <w:rPr>
                <w:spacing w:val="0"/>
              </w:rPr>
              <w:t>111.05% - 111.21%</w:t>
            </w:r>
          </w:p>
        </w:tc>
      </w:tr>
      <w:tr>
        <w:trPr/>
        <w:tc>
          <w:tcPr>
            <w:tcW w:w="3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spacing w:val="0"/>
              </w:rPr>
            </w:pPr>
            <w:r>
              <w:rPr>
                <w:spacing w:val="0"/>
              </w:rPr>
              <w:t>4.26%</w:t>
            </w:r>
          </w:p>
        </w:tc>
        <w:tc>
          <w:tcPr>
            <w:tcW w:w="60" w:type="dxa"/>
            <w:tcBorders/>
            <w:vAlign w:val="center"/>
          </w:tcPr>
          <w:p>
            <w:pPr>
              <w:pStyle w:val="TableContents"/>
              <w:bidi w:val="0"/>
              <w:spacing w:before="0" w:after="0"/>
              <w:jc w:val="left"/>
              <w:rPr>
                <w:spacing w:val="0"/>
              </w:rPr>
            </w:pPr>
            <w:r>
              <w:rPr>
                <w:spacing w:val="0"/>
              </w:rPr>
              <w:t> </w:t>
            </w:r>
          </w:p>
        </w:tc>
        <w:tc>
          <w:tcPr>
            <w:tcW w:w="1910" w:type="dxa"/>
            <w:tcBorders/>
            <w:vAlign w:val="center"/>
          </w:tcPr>
          <w:p>
            <w:pPr>
              <w:pStyle w:val="TableContents"/>
              <w:bidi w:val="0"/>
              <w:spacing w:before="0" w:after="0"/>
              <w:jc w:val="center"/>
              <w:rPr>
                <w:spacing w:val="0"/>
              </w:rPr>
            </w:pPr>
            <w:r>
              <w:rPr>
                <w:spacing w:val="0"/>
              </w:rPr>
              <w:t>3.65%</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center"/>
              <w:rPr>
                <w:spacing w:val="0"/>
              </w:rPr>
            </w:pPr>
            <w:r>
              <w:rPr>
                <w:spacing w:val="0"/>
              </w:rPr>
              <w:t>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10" w:type="dxa"/>
            <w:tcBorders/>
            <w:shd w:fill="CCEEFF" w:val="clear"/>
            <w:vAlign w:val="center"/>
          </w:tcPr>
          <w:p>
            <w:pPr>
              <w:pStyle w:val="TableContents"/>
              <w:bidi w:val="0"/>
              <w:spacing w:before="0" w:after="0"/>
              <w:jc w:val="center"/>
              <w:rPr>
                <w:spacing w:val="0"/>
              </w:rPr>
            </w:pPr>
            <w:r>
              <w:rPr>
                <w:spacing w:val="0"/>
              </w:rPr>
              <w:t>0%</w:t>
            </w:r>
          </w:p>
        </w:tc>
      </w:tr>
    </w:tbl>
    <w:p>
      <w:pPr>
        <w:pStyle w:val="TextBody"/>
        <w:bidi w:val="0"/>
        <w:spacing w:before="8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Common Stock </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 xml:space="preserve">Since 2019, </w:t>
      </w:r>
    </w:p>
    <w:p>
      <w:pPr>
        <w:pStyle w:val="TextBody"/>
        <w:bidi w:val="0"/>
        <w:spacing w:before="8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80" w:after="0"/>
        <w:jc w:val="left"/>
        <w:rPr>
          <w:rFonts w:ascii="Times New Roman" w:hAnsi="Times New Roman"/>
          <w:sz w:val="20"/>
          <w:shd w:fill="FFFFFF" w:val="clear"/>
        </w:rPr>
      </w:pPr>
      <w:r>
        <w:rPr>
          <w:rFonts w:ascii="Times New Roman" w:hAnsi="Times New Roman"/>
          <w:sz w:val="20"/>
          <w:shd w:fill="FFFFFF" w:val="clear"/>
        </w:rPr>
        <w:t xml:space="preserve">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June 30, 2024, there were 11,447 shares of unvested restricted common stock, with a repurchase liability of less than $0.1 million, that is classified in accrued expenses and other current liabilities in the accompanying condensed consolidated balance sheet. </w:t>
      </w:r>
    </w:p>
    <w:p>
      <w:pPr>
        <w:pStyle w:val="TextBody"/>
        <w:bidi w:val="0"/>
        <w:spacing w:before="8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table summarizes restricted stock activity: </w:t>
      </w:r>
    </w:p>
    <w:p>
      <w:pPr>
        <w:pStyle w:val="TextBody"/>
        <w:bidi w:val="0"/>
        <w:spacing w:before="0" w:after="0"/>
        <w:ind w:left="0" w:right="0" w:hanging="0"/>
        <w:jc w:val="left"/>
        <w:rPr>
          <w:spacing w:val="0"/>
          <w:shd w:fill="FFFFFF" w:val="clear"/>
        </w:rPr>
      </w:pPr>
      <w:r>
        <w:rPr>
          <w:spacing w:val="0"/>
          <w:shd w:fill="FFFFFF" w:val="clear"/>
        </w:rPr>
        <w:t> </w:t>
      </w:r>
    </w:p>
    <w:tbl>
      <w:tblPr>
        <w:tblW w:w="6750" w:type="dxa"/>
        <w:jc w:val="left"/>
        <w:tblInd w:w="0" w:type="dxa"/>
        <w:tblLayout w:type="fixed"/>
        <w:tblCellMar>
          <w:top w:w="0" w:type="dxa"/>
          <w:left w:w="0" w:type="dxa"/>
          <w:bottom w:w="0" w:type="dxa"/>
          <w:right w:w="0" w:type="dxa"/>
        </w:tblCellMar>
      </w:tblPr>
      <w:tblGrid>
        <w:gridCol w:w="4580"/>
        <w:gridCol w:w="120"/>
        <w:gridCol w:w="138"/>
        <w:gridCol w:w="1742"/>
        <w:gridCol w:w="170"/>
      </w:tblGrid>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Shares</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 January 1, 2024</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18,968</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exercise of options</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6,859</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(14,380</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single" w:sz="2" w:space="1" w:color="000000"/>
              </w:rPr>
            </w:pPr>
            <w:r>
              <w:rPr>
                <w:bdr w:val="single" w:sz="2" w:space="1" w:color="000000"/>
              </w:rPr>
              <w:t> </w:t>
            </w:r>
          </w:p>
        </w:tc>
        <w:tc>
          <w:tcPr>
            <w:tcW w:w="174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 June 30, 2024</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11,447</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double" w:sz="6" w:space="1" w:color="000000"/>
              </w:rPr>
            </w:pPr>
            <w:r>
              <w:rPr>
                <w:bdr w:val="double" w:sz="6" w:space="1" w:color="000000"/>
              </w:rPr>
              <w:t> </w:t>
            </w:r>
          </w:p>
        </w:tc>
        <w:tc>
          <w:tcPr>
            <w:tcW w:w="174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weighted-average grant date fair value of unvested restricted common stock and restricted common stock vested and forfeited for the six months ended June 30, 2024 and 2023 was immaterial.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Expense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recorded stock-based compensation expense regarding its employees and nonemployees as follows (in thousands): </w:t>
      </w:r>
    </w:p>
    <w:p>
      <w:pPr>
        <w:pStyle w:val="TextBody"/>
        <w:bidi w:val="0"/>
        <w:spacing w:before="0" w:after="0"/>
        <w:ind w:left="0" w:right="0" w:hanging="0"/>
        <w:jc w:val="left"/>
        <w:rPr>
          <w:shd w:fill="FFFFFF" w:val="clear"/>
        </w:rPr>
      </w:pPr>
      <w:r>
        <w:rPr>
          <w:shd w:fill="FFFFFF" w:val="clear"/>
        </w:rPr>
        <w:t> </w:t>
      </w:r>
    </w:p>
    <w:tbl>
      <w:tblPr>
        <w:tblW w:w="8540" w:type="dxa"/>
        <w:jc w:val="left"/>
        <w:tblInd w:w="0" w:type="dxa"/>
        <w:tblLayout w:type="fixed"/>
        <w:tblCellMar>
          <w:top w:w="0" w:type="dxa"/>
          <w:left w:w="0" w:type="dxa"/>
          <w:bottom w:w="0" w:type="dxa"/>
          <w:right w:w="0" w:type="dxa"/>
        </w:tblCellMar>
      </w:tblPr>
      <w:tblGrid>
        <w:gridCol w:w="2225"/>
        <w:gridCol w:w="120"/>
        <w:gridCol w:w="357"/>
        <w:gridCol w:w="972"/>
        <w:gridCol w:w="152"/>
        <w:gridCol w:w="306"/>
        <w:gridCol w:w="357"/>
        <w:gridCol w:w="976"/>
        <w:gridCol w:w="60"/>
        <w:gridCol w:w="120"/>
        <w:gridCol w:w="323"/>
        <w:gridCol w:w="879"/>
        <w:gridCol w:w="137"/>
        <w:gridCol w:w="276"/>
        <w:gridCol w:w="323"/>
        <w:gridCol w:w="88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228</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421</w:t>
            </w:r>
          </w:p>
        </w:tc>
        <w:tc>
          <w:tcPr>
            <w:tcW w:w="13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349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175</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303</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203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single" w:sz="2" w:space="1" w:color="000000"/>
              </w:rPr>
            </w:pPr>
            <w:r>
              <w:rPr>
                <w:bdr w:val="single" w:sz="2" w:space="1" w:color="000000"/>
              </w:rPr>
              <w:t> </w:t>
            </w:r>
          </w:p>
        </w:tc>
        <w:tc>
          <w:tcPr>
            <w:tcW w:w="87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single" w:sz="2" w:space="1" w:color="000000"/>
              </w:rPr>
            </w:pPr>
            <w:r>
              <w:rPr>
                <w:bdr w:val="single" w:sz="2" w:space="1" w:color="000000"/>
              </w:rPr>
              <w:t> </w:t>
            </w:r>
          </w:p>
        </w:tc>
        <w:tc>
          <w:tcPr>
            <w:tcW w:w="88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403</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724</w:t>
            </w:r>
          </w:p>
        </w:tc>
        <w:tc>
          <w:tcPr>
            <w:tcW w:w="13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552</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97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double" w:sz="6" w:space="1" w:color="000000"/>
              </w:rPr>
            </w:pPr>
            <w:r>
              <w:rPr>
                <w:bdr w:val="double" w:sz="6" w:space="1" w:color="000000"/>
              </w:rPr>
              <w:t> </w:t>
            </w:r>
          </w:p>
        </w:tc>
        <w:tc>
          <w:tcPr>
            <w:tcW w:w="87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bdr w:val="double" w:sz="6" w:space="1" w:color="000000"/>
              </w:rPr>
            </w:pPr>
            <w:r>
              <w:rPr>
                <w:bdr w:val="double" w:sz="6" w:space="1" w:color="000000"/>
              </w:rPr>
              <w:t> </w:t>
            </w:r>
          </w:p>
        </w:tc>
        <w:tc>
          <w:tcPr>
            <w:tcW w:w="88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records compensation expense for options with service based vesting conditions on a straight-line basis over the vesting period. As of June 30, 2024, total compensation cost not yet recognized related to unvested stock options was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13.8 million, which is expected to be recognized over a weighted-average period of 3.4 years. </w:t>
      </w:r>
    </w:p>
    <w:p>
      <w:pPr>
        <w:pStyle w:val="TextBody"/>
        <w:bidi w:val="0"/>
        <w:spacing w:before="0" w:after="0"/>
        <w:ind w:left="0" w:right="0" w:hanging="0"/>
        <w:jc w:val="left"/>
        <w:rPr>
          <w:shd w:fill="FFFFFF" w:val="clear"/>
        </w:rPr>
      </w:pPr>
      <w:r>
        <w:rPr>
          <w:shd w:fill="FFFFFF" w:val="clear"/>
        </w:rPr>
        <w:t> </w:t>
      </w:r>
    </w:p>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0"/>
              <w:jc w:val="left"/>
              <w:rPr>
                <w:b/>
                <w:spacing w:val="0"/>
              </w:rPr>
            </w:pPr>
            <w:r>
              <w:rPr>
                <w:b/>
                <w:spacing w:val="0"/>
              </w:rPr>
              <w:t>1</w:t>
            </w:r>
          </w:p>
          <w:p>
            <w:pPr>
              <w:pStyle w:val="TableContents"/>
              <w:bidi w:val="0"/>
              <w:spacing w:before="0" w:after="0"/>
              <w:jc w:val="left"/>
              <w:rPr>
                <w:b/>
                <w:spacing w:val="0"/>
              </w:rPr>
            </w:pPr>
            <w:r>
              <w:rPr>
                <w:b/>
                <w:spacing w:val="0"/>
              </w:rPr>
              <w:t>1</w:t>
            </w:r>
          </w:p>
          <w:p>
            <w:pPr>
              <w:pStyle w:val="TableContents"/>
              <w:bidi w:val="0"/>
              <w:spacing w:before="0" w:after="0"/>
              <w:jc w:val="left"/>
              <w:rPr>
                <w:b/>
                <w:spacing w:val="0"/>
              </w:rPr>
            </w:pPr>
            <w:r>
              <w:rPr>
                <w:b/>
                <w:spacing w:val="0"/>
              </w:rPr>
              <w:t>.</w:t>
            </w:r>
          </w:p>
        </w:tc>
        <w:tc>
          <w:tcPr>
            <w:tcW w:w="1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three and six months ended June 30, 2024 and 2023, the Company recorded no income tax provision or benefit.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June 30, 2024, the Company has maintained a full valuation allowance against its net deferred tax assets. </w:t>
      </w:r>
    </w:p>
    <w:p>
      <w:pPr>
        <w:pStyle w:val="TextBody"/>
        <w:bidi w:val="0"/>
        <w:spacing w:before="0" w:after="0"/>
        <w:ind w:left="0" w:right="0" w:hanging="0"/>
        <w:jc w:val="left"/>
        <w:rPr>
          <w:shd w:fill="FFFFFF" w:val="clear"/>
        </w:rPr>
      </w:pPr>
      <w:r>
        <w:rPr>
          <w:shd w:fill="FFFFFF" w:val="clear"/>
        </w:rPr>
        <w:t> </w:t>
      </w:r>
    </w:p>
    <w:tbl>
      <w:tblPr>
        <w:tblW w:w="2320" w:type="dxa"/>
        <w:jc w:val="left"/>
        <w:tblInd w:w="0" w:type="dxa"/>
        <w:tblLayout w:type="fixed"/>
        <w:tblCellMar>
          <w:top w:w="0" w:type="dxa"/>
          <w:left w:w="0" w:type="dxa"/>
          <w:bottom w:w="0" w:type="dxa"/>
          <w:right w:w="0" w:type="dxa"/>
        </w:tblCellMar>
      </w:tblPr>
      <w:tblGrid>
        <w:gridCol w:w="155"/>
        <w:gridCol w:w="2165"/>
      </w:tblGrid>
      <w:tr>
        <w:trPr/>
        <w:tc>
          <w:tcPr>
            <w:tcW w:w="155" w:type="dxa"/>
            <w:tcBorders/>
            <w:vAlign w:val="center"/>
          </w:tcPr>
          <w:p>
            <w:pPr>
              <w:pStyle w:val="TableContents"/>
              <w:bidi w:val="0"/>
              <w:spacing w:before="0" w:after="0"/>
              <w:jc w:val="left"/>
              <w:rPr>
                <w:b/>
                <w:spacing w:val="0"/>
              </w:rPr>
            </w:pPr>
            <w:r>
              <w:rPr>
                <w:b/>
                <w:spacing w:val="0"/>
              </w:rPr>
              <w:t>1</w:t>
            </w:r>
          </w:p>
          <w:p>
            <w:pPr>
              <w:pStyle w:val="TableContents"/>
              <w:bidi w:val="0"/>
              <w:spacing w:before="0" w:after="0"/>
              <w:jc w:val="left"/>
              <w:rPr>
                <w:b/>
                <w:spacing w:val="0"/>
              </w:rPr>
            </w:pPr>
            <w:r>
              <w:rPr>
                <w:b/>
                <w:spacing w:val="0"/>
              </w:rPr>
              <w:t>2</w:t>
            </w:r>
          </w:p>
          <w:p>
            <w:pPr>
              <w:pStyle w:val="TableContents"/>
              <w:bidi w:val="0"/>
              <w:spacing w:before="0" w:after="0"/>
              <w:jc w:val="left"/>
              <w:rPr>
                <w:b/>
                <w:spacing w:val="0"/>
              </w:rPr>
            </w:pPr>
            <w:r>
              <w:rPr>
                <w:b/>
                <w:spacing w:val="0"/>
              </w:rPr>
              <w:t>.</w:t>
            </w:r>
          </w:p>
        </w:tc>
        <w:tc>
          <w:tcPr>
            <w:tcW w:w="2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and diluted net loss per share attributable to common stockholders was calculated as follows (in thousands, except share and per share amounts):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082"/>
        <w:gridCol w:w="120"/>
        <w:gridCol w:w="159"/>
        <w:gridCol w:w="1116"/>
        <w:gridCol w:w="176"/>
        <w:gridCol w:w="136"/>
        <w:gridCol w:w="159"/>
        <w:gridCol w:w="1116"/>
        <w:gridCol w:w="155"/>
        <w:gridCol w:w="120"/>
        <w:gridCol w:w="149"/>
        <w:gridCol w:w="1049"/>
        <w:gridCol w:w="165"/>
        <w:gridCol w:w="128"/>
        <w:gridCol w:w="149"/>
        <w:gridCol w:w="1049"/>
        <w:gridCol w:w="177"/>
      </w:tblGrid>
      <w:tr>
        <w:trPr/>
        <w:tc>
          <w:tcPr>
            <w:tcW w:w="4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177" w:type="dxa"/>
            <w:tcBorders/>
            <w:vAlign w:val="center"/>
          </w:tcPr>
          <w:p>
            <w:pPr>
              <w:pStyle w:val="TableContents"/>
              <w:bidi w:val="0"/>
              <w:spacing w:before="0" w:after="283"/>
              <w:jc w:val="left"/>
              <w:rPr/>
            </w:pPr>
            <w:r>
              <w:rPr/>
              <w:t> </w:t>
            </w:r>
          </w:p>
        </w:tc>
      </w:tr>
      <w:tr>
        <w:trPr/>
        <w:tc>
          <w:tcPr>
            <w:tcW w:w="4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7" w:type="dxa"/>
            <w:tcBorders/>
            <w:vAlign w:val="center"/>
          </w:tcPr>
          <w:p>
            <w:pPr>
              <w:pStyle w:val="TableContents"/>
              <w:bidi w:val="0"/>
              <w:spacing w:before="0" w:after="283"/>
              <w:jc w:val="left"/>
              <w:rPr/>
            </w:pPr>
            <w:r>
              <w:rPr/>
              <w:t> </w:t>
            </w:r>
          </w:p>
        </w:tc>
      </w:tr>
      <w:tr>
        <w:trPr/>
        <w:tc>
          <w:tcPr>
            <w:tcW w:w="4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049"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049"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4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(12,671)</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116" w:type="dxa"/>
            <w:tcBorders/>
            <w:vAlign w:val="center"/>
          </w:tcPr>
          <w:p>
            <w:pPr>
              <w:pStyle w:val="TableContents"/>
              <w:bidi w:val="0"/>
              <w:spacing w:before="0" w:after="283"/>
              <w:jc w:val="right"/>
              <w:rPr/>
            </w:pPr>
            <w:r>
              <w:rPr/>
              <w:t>(10,455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049" w:type="dxa"/>
            <w:tcBorders/>
            <w:vAlign w:val="center"/>
          </w:tcPr>
          <w:p>
            <w:pPr>
              <w:pStyle w:val="TableContents"/>
              <w:bidi w:val="0"/>
              <w:spacing w:before="0" w:after="283"/>
              <w:jc w:val="right"/>
              <w:rPr/>
            </w:pPr>
            <w:r>
              <w:rPr/>
              <w:t>(27,892</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049" w:type="dxa"/>
            <w:tcBorders/>
            <w:vAlign w:val="center"/>
          </w:tcPr>
          <w:p>
            <w:pPr>
              <w:pStyle w:val="TableContents"/>
              <w:bidi w:val="0"/>
              <w:spacing w:before="0" w:after="283"/>
              <w:jc w:val="right"/>
              <w:rPr/>
            </w:pPr>
            <w:r>
              <w:rPr/>
              <w:t>(24,900</w:t>
            </w:r>
          </w:p>
        </w:tc>
        <w:tc>
          <w:tcPr>
            <w:tcW w:w="177" w:type="dxa"/>
            <w:tcBorders/>
            <w:vAlign w:val="center"/>
          </w:tcPr>
          <w:p>
            <w:pPr>
              <w:pStyle w:val="TableContents"/>
              <w:bidi w:val="0"/>
              <w:spacing w:before="0" w:after="283"/>
              <w:jc w:val="left"/>
              <w:rPr/>
            </w:pPr>
            <w:r>
              <w:rPr/>
              <w:t>) </w:t>
            </w:r>
          </w:p>
        </w:tc>
      </w:tr>
      <w:tr>
        <w:trPr/>
        <w:tc>
          <w:tcPr>
            <w:tcW w:w="4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4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1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049"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049"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4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2,919,872</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1,228,778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2,150,160</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1,208,447</w:t>
            </w:r>
          </w:p>
        </w:tc>
        <w:tc>
          <w:tcPr>
            <w:tcW w:w="177" w:type="dxa"/>
            <w:tcBorders/>
            <w:vAlign w:val="center"/>
          </w:tcPr>
          <w:p>
            <w:pPr>
              <w:pStyle w:val="TableContents"/>
              <w:bidi w:val="0"/>
              <w:spacing w:before="0" w:after="283"/>
              <w:jc w:val="left"/>
              <w:rPr/>
            </w:pPr>
            <w:r>
              <w:rPr/>
              <w:t> </w:t>
            </w:r>
          </w:p>
        </w:tc>
      </w:tr>
      <w:tr>
        <w:trPr/>
        <w:tc>
          <w:tcPr>
            <w:tcW w:w="4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4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(4.34</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(12.97</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(20.60</w:t>
            </w:r>
          </w:p>
        </w:tc>
        <w:tc>
          <w:tcPr>
            <w:tcW w:w="177" w:type="dxa"/>
            <w:tcBorders/>
            <w:shd w:fill="CCEEFF" w:val="clear"/>
            <w:vAlign w:val="center"/>
          </w:tcPr>
          <w:p>
            <w:pPr>
              <w:pStyle w:val="TableContents"/>
              <w:bidi w:val="0"/>
              <w:spacing w:before="0" w:after="283"/>
              <w:jc w:val="left"/>
              <w:rPr/>
            </w:pPr>
            <w:r>
              <w:rPr/>
              <w:t>) </w:t>
            </w:r>
          </w:p>
        </w:tc>
      </w:tr>
      <w:tr>
        <w:trPr/>
        <w:tc>
          <w:tcPr>
            <w:tcW w:w="4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0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and six months ended June 30, 2024 and 2023, the Company excluded the following potential common shares from the computation of diluted net loss per share attributable to common stockholders for the period because including them would have had an anti-dilutive effect: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020"/>
        <w:gridCol w:w="120"/>
        <w:gridCol w:w="81"/>
        <w:gridCol w:w="1349"/>
        <w:gridCol w:w="81"/>
        <w:gridCol w:w="164"/>
        <w:gridCol w:w="81"/>
        <w:gridCol w:w="1351"/>
        <w:gridCol w:w="60"/>
        <w:gridCol w:w="120"/>
        <w:gridCol w:w="71"/>
        <w:gridCol w:w="1170"/>
        <w:gridCol w:w="71"/>
        <w:gridCol w:w="143"/>
        <w:gridCol w:w="71"/>
        <w:gridCol w:w="1170"/>
        <w:gridCol w:w="82"/>
      </w:tblGrid>
      <w:tr>
        <w:trPr/>
        <w:tc>
          <w:tcPr>
            <w:tcW w:w="4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 June 30,</w:t>
            </w:r>
          </w:p>
        </w:tc>
        <w:tc>
          <w:tcPr>
            <w:tcW w:w="82"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8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82"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3,647,675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3,647,675</w:t>
            </w:r>
          </w:p>
        </w:tc>
        <w:tc>
          <w:tcPr>
            <w:tcW w:w="82"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1,944,086</w:t>
            </w:r>
          </w:p>
        </w:tc>
        <w:tc>
          <w:tcPr>
            <w:tcW w:w="8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852,667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1,944,086</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852,667</w:t>
            </w:r>
          </w:p>
        </w:tc>
        <w:tc>
          <w:tcPr>
            <w:tcW w:w="82"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11,447</w:t>
            </w:r>
          </w:p>
        </w:tc>
        <w:tc>
          <w:tcPr>
            <w:tcW w:w="8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36,504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11,447</w:t>
            </w:r>
          </w:p>
        </w:tc>
        <w:tc>
          <w:tcPr>
            <w:tcW w:w="7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36,504</w:t>
            </w:r>
          </w:p>
        </w:tc>
        <w:tc>
          <w:tcPr>
            <w:tcW w:w="82" w:type="dxa"/>
            <w:tcBorders/>
            <w:shd w:fill="CCEEFF" w:val="clear"/>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1349" w:type="dxa"/>
            <w:tcBorders/>
            <w:vAlign w:val="center"/>
          </w:tcPr>
          <w:p>
            <w:pPr>
              <w:pStyle w:val="TableContents"/>
              <w:bidi w:val="0"/>
              <w:spacing w:before="0" w:after="0"/>
              <w:jc w:val="left"/>
              <w:rPr>
                <w:bdr w:val="single" w:sz="2" w:space="1" w:color="000000"/>
              </w:rPr>
            </w:pPr>
            <w:r>
              <w:rPr>
                <w:bdr w:val="single" w:sz="2" w:space="1" w:color="000000"/>
              </w:rPr>
              <w:t> </w:t>
            </w:r>
          </w:p>
        </w:tc>
        <w:tc>
          <w:tcPr>
            <w:tcW w:w="8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0" w:type="dxa"/>
            <w:tcBorders/>
            <w:vAlign w:val="center"/>
          </w:tcPr>
          <w:p>
            <w:pPr>
              <w:pStyle w:val="TableContents"/>
              <w:bidi w:val="0"/>
              <w:spacing w:before="0" w:after="0"/>
              <w:jc w:val="left"/>
              <w:rPr>
                <w:bdr w:val="single" w:sz="2" w:space="1" w:color="000000"/>
              </w:rPr>
            </w:pPr>
            <w:r>
              <w:rPr>
                <w:bdr w:val="single" w:sz="2" w:space="1" w:color="000000"/>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1,955,533</w:t>
            </w:r>
          </w:p>
        </w:tc>
        <w:tc>
          <w:tcPr>
            <w:tcW w:w="8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4,536,846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1,955,533</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4,536,846</w:t>
            </w:r>
          </w:p>
        </w:tc>
        <w:tc>
          <w:tcPr>
            <w:tcW w:w="82"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1349" w:type="dxa"/>
            <w:tcBorders/>
            <w:vAlign w:val="center"/>
          </w:tcPr>
          <w:p>
            <w:pPr>
              <w:pStyle w:val="TableContents"/>
              <w:bidi w:val="0"/>
              <w:spacing w:before="0" w:after="0"/>
              <w:jc w:val="left"/>
              <w:rPr>
                <w:bdr w:val="double" w:sz="6" w:space="1" w:color="000000"/>
              </w:rPr>
            </w:pPr>
            <w:r>
              <w:rPr>
                <w:bdr w:val="double" w:sz="6" w:space="1" w:color="000000"/>
              </w:rPr>
              <w:t> </w:t>
            </w:r>
          </w:p>
        </w:tc>
        <w:tc>
          <w:tcPr>
            <w:tcW w:w="8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0" w:type="dxa"/>
            <w:tcBorders/>
            <w:vAlign w:val="center"/>
          </w:tcPr>
          <w:p>
            <w:pPr>
              <w:pStyle w:val="TableContents"/>
              <w:bidi w:val="0"/>
              <w:spacing w:before="0" w:after="0"/>
              <w:jc w:val="left"/>
              <w:rPr>
                <w:bdr w:val="double" w:sz="6" w:space="1" w:color="000000"/>
              </w:rPr>
            </w:pPr>
            <w:r>
              <w:rPr>
                <w:bdr w:val="double" w:sz="6" w:space="1" w:color="000000"/>
              </w:rPr>
              <w:t> </w:t>
            </w:r>
          </w:p>
        </w:tc>
        <w:tc>
          <w:tcPr>
            <w:tcW w:w="7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0"/>
              <w:jc w:val="left"/>
              <w:rPr>
                <w:b/>
                <w:spacing w:val="0"/>
              </w:rPr>
            </w:pPr>
            <w:r>
              <w:rPr>
                <w:b/>
                <w:spacing w:val="0"/>
              </w:rPr>
              <w:t>13.</w:t>
            </w:r>
          </w:p>
        </w:tc>
        <w:tc>
          <w:tcPr>
            <w:tcW w:w="32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Scientific Advisory Board Member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One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co-founders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and former director is a member of the Company’s Scientific Advisory Board (“SAB”) and meets the criteria of a related party. The Company paid the SAB member fees in the amount of less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than $0.1 million during the three months ended June 30, 2024 and 2023, respectively, and less than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0.1</w:t>
      </w:r>
    </w:p>
    <w:p>
      <w:pPr>
        <w:pStyle w:val="TextBody"/>
        <w:bidi w:val="0"/>
        <w:spacing w:before="120" w:after="0"/>
        <w:jc w:val="left"/>
        <w:rPr>
          <w:shd w:fill="FFFFFF" w:val="clear"/>
        </w:rPr>
      </w:pPr>
      <w:r>
        <w:rPr>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during the six months ended June 30, 2024 and 2023 for advisory services provided. There was less than $0.1 million and $0 due to this related party as of June 30, 2024 and December 31, 2023.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License Agreement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Harvard meets the criteria of a related party resulting from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co-founders’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employment as professors in the Harvard Department of Molecular Pharmacology. Additionally, both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co-founders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were members of the Board during the six months ended June 30, 2024 and one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co-founder</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is a major shareholder in the Company. Core intellectual property utilized by the Company is licensed from Harvard in exchange for license fees, future milestones and royalties, and equity in the Company in the form of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For the six months ended June 30, 2024 and 2023, the Company paid Harvard $0.1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million and $0.2 million in cash considerations, respectively (see Note 7). Accounts payable to Harvard amounted to less than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0.1 million and $0.1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as of June 30, 2024 and December 31, 2023, respectively.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SAFE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October through December 2023,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entered into multiple SAFE agreements with certain existing investors and received $34.1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representing the purchase amount. All investors were considered related parties of the Company. The SAFE agreements had no maturity date, bore no interest, and were redeemable by </w:t>
      </w:r>
    </w:p>
    <w:p>
      <w:pPr>
        <w:pStyle w:val="TextBody"/>
        <w:bidi w:val="0"/>
        <w:spacing w:before="120" w:after="0"/>
        <w:ind w:left="0" w:right="0" w:hanging="0"/>
        <w:jc w:val="left"/>
        <w:rPr>
          <w:rFonts w:ascii="Times New Roman;serif" w:hAnsi="Times New Roman;serif"/>
          <w:spacing w:val="0"/>
          <w:sz w:val="20"/>
          <w:shd w:fill="FFFFFF" w:val="clear"/>
        </w:rPr>
      </w:pPr>
      <w:r>
        <w:rPr>
          <w:rFonts w:ascii="Times New Roman;serif" w:hAnsi="Times New Roman;serif"/>
          <w:spacing w:val="0"/>
          <w:sz w:val="20"/>
          <w:shd w:fill="FFFFFF" w:val="clear"/>
        </w:rPr>
        <w:t>Legacy Tectonic</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upon the occurrence of a triggering event, including the Merger which qualified as a public listing transaction under the SAFE agreements.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discussed in Note 4, the SAFEs were redeemed for shares of Legacy Tectonic common stock in connection with the closing of the Merger. </w:t>
      </w:r>
    </w:p>
    <w:p>
      <w:pPr>
        <w:pStyle w:val="TextBody"/>
        <w:bidi w:val="0"/>
        <w:spacing w:before="0" w:after="0"/>
        <w:ind w:left="0" w:right="0" w:hanging="0"/>
        <w:jc w:val="left"/>
        <w:rPr>
          <w:spacing w:val="0"/>
          <w:shd w:fill="FFFFFF" w:val="clear"/>
        </w:rPr>
      </w:pPr>
      <w:r>
        <w:rPr>
          <w:spacing w:val="0"/>
          <w:shd w:fill="FFFFFF" w:val="clear"/>
        </w:rPr>
        <w:t> </w:t>
      </w:r>
    </w:p>
    <w:tbl>
      <w:tblPr>
        <w:tblW w:w="3025" w:type="dxa"/>
        <w:jc w:val="left"/>
        <w:tblInd w:w="0" w:type="dxa"/>
        <w:tblLayout w:type="fixed"/>
        <w:tblCellMar>
          <w:top w:w="0" w:type="dxa"/>
          <w:left w:w="0" w:type="dxa"/>
          <w:bottom w:w="0" w:type="dxa"/>
          <w:right w:w="0" w:type="dxa"/>
        </w:tblCellMar>
      </w:tblPr>
      <w:tblGrid>
        <w:gridCol w:w="335"/>
        <w:gridCol w:w="2690"/>
      </w:tblGrid>
      <w:tr>
        <w:trPr/>
        <w:tc>
          <w:tcPr>
            <w:tcW w:w="335" w:type="dxa"/>
            <w:tcBorders/>
            <w:vAlign w:val="center"/>
          </w:tcPr>
          <w:p>
            <w:pPr>
              <w:pStyle w:val="TableContents"/>
              <w:bidi w:val="0"/>
              <w:spacing w:before="0" w:after="0"/>
              <w:jc w:val="left"/>
              <w:rPr>
                <w:b/>
                <w:spacing w:val="0"/>
              </w:rPr>
            </w:pPr>
            <w:r>
              <w:rPr>
                <w:b/>
                <w:spacing w:val="0"/>
              </w:rPr>
              <w:t>14.</w:t>
            </w:r>
          </w:p>
        </w:tc>
        <w:tc>
          <w:tcPr>
            <w:tcW w:w="26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EMPLOYEE BENEFIT PLAN </w:t>
            </w:r>
          </w:p>
        </w:tc>
      </w:tr>
    </w:tbl>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Highly compensated employees (as defined by the Plan) are not eligible to receive the Nonelective Contribution. The Company’s contributions were $0.1 million during each of the three and six months ended June 30, 2024 and 2023 and were recorded as follows: </w:t>
      </w:r>
    </w:p>
    <w:p>
      <w:pPr>
        <w:pStyle w:val="TextBody"/>
        <w:bidi w:val="0"/>
        <w:spacing w:before="0" w:after="0"/>
        <w:ind w:left="0" w:right="0" w:hanging="0"/>
        <w:jc w:val="left"/>
        <w:rPr>
          <w:spacing w:val="0"/>
          <w:shd w:fill="FFFFFF" w:val="clear"/>
        </w:rPr>
      </w:pPr>
      <w:r>
        <w:rPr>
          <w:spacing w:val="0"/>
          <w:shd w:fill="FFFFFF" w:val="clear"/>
        </w:rPr>
        <w:t> </w:t>
      </w:r>
    </w:p>
    <w:tbl>
      <w:tblPr>
        <w:tblW w:w="8541" w:type="dxa"/>
        <w:jc w:val="left"/>
        <w:tblInd w:w="0" w:type="dxa"/>
        <w:tblLayout w:type="fixed"/>
        <w:tblCellMar>
          <w:top w:w="0" w:type="dxa"/>
          <w:left w:w="0" w:type="dxa"/>
          <w:bottom w:w="0" w:type="dxa"/>
          <w:right w:w="0" w:type="dxa"/>
        </w:tblCellMar>
      </w:tblPr>
      <w:tblGrid>
        <w:gridCol w:w="2225"/>
        <w:gridCol w:w="120"/>
        <w:gridCol w:w="445"/>
        <w:gridCol w:w="828"/>
        <w:gridCol w:w="190"/>
        <w:gridCol w:w="382"/>
        <w:gridCol w:w="445"/>
        <w:gridCol w:w="831"/>
        <w:gridCol w:w="60"/>
        <w:gridCol w:w="120"/>
        <w:gridCol w:w="323"/>
        <w:gridCol w:w="879"/>
        <w:gridCol w:w="137"/>
        <w:gridCol w:w="276"/>
        <w:gridCol w:w="323"/>
        <w:gridCol w:w="88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121" w:type="dxa"/>
            <w:gridSpan w:val="6"/>
            <w:tcBorders/>
            <w:vAlign w:val="center"/>
          </w:tcPr>
          <w:p>
            <w:pPr>
              <w:pStyle w:val="TableContents"/>
              <w:bidi w:val="0"/>
              <w:spacing w:before="0" w:after="0"/>
              <w:jc w:val="center"/>
              <w:rPr>
                <w:b/>
                <w:spacing w:val="0"/>
              </w:rPr>
            </w:pPr>
            <w:r>
              <w:rPr>
                <w:b/>
                <w:spacing w:val="0"/>
              </w:rPr>
              <w:t>Three Months Ended 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20" w:type="dxa"/>
            <w:gridSpan w:val="6"/>
            <w:tcBorders/>
            <w:vAlign w:val="center"/>
          </w:tcPr>
          <w:p>
            <w:pPr>
              <w:pStyle w:val="TableContents"/>
              <w:bidi w:val="0"/>
              <w:spacing w:before="0" w:after="0"/>
              <w:jc w:val="center"/>
              <w:rPr>
                <w:b/>
                <w:spacing w:val="0"/>
              </w:rPr>
            </w:pPr>
            <w:r>
              <w:rPr>
                <w:b/>
                <w:spacing w:val="0"/>
              </w:rPr>
              <w:t>Six Months Ended June 30,</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73" w:type="dxa"/>
            <w:gridSpan w:val="2"/>
            <w:tcBorders/>
            <w:vAlign w:val="center"/>
          </w:tcPr>
          <w:p>
            <w:pPr>
              <w:pStyle w:val="TableContents"/>
              <w:bidi w:val="0"/>
              <w:spacing w:before="0" w:after="0"/>
              <w:jc w:val="center"/>
              <w:rPr>
                <w:b/>
                <w:spacing w:val="0"/>
              </w:rPr>
            </w:pPr>
            <w:r>
              <w:rPr>
                <w:b/>
                <w:spacing w:val="0"/>
              </w:rPr>
              <w:t>2024</w:t>
            </w:r>
          </w:p>
        </w:tc>
        <w:tc>
          <w:tcPr>
            <w:tcW w:w="19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1276"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02" w:type="dxa"/>
            <w:gridSpan w:val="2"/>
            <w:tcBorders/>
            <w:vAlign w:val="center"/>
          </w:tcPr>
          <w:p>
            <w:pPr>
              <w:pStyle w:val="TableContents"/>
              <w:bidi w:val="0"/>
              <w:spacing w:before="0" w:after="0"/>
              <w:jc w:val="center"/>
              <w:rPr>
                <w:b/>
                <w:spacing w:val="0"/>
              </w:rPr>
            </w:pPr>
            <w:r>
              <w:rPr>
                <w:b/>
                <w:spacing w:val="0"/>
              </w:rPr>
              <w:t>2024</w:t>
            </w:r>
          </w:p>
        </w:tc>
        <w:tc>
          <w:tcPr>
            <w:tcW w:w="137" w:type="dxa"/>
            <w:tcBorders/>
            <w:vAlign w:val="center"/>
          </w:tcPr>
          <w:p>
            <w:pPr>
              <w:pStyle w:val="TableContents"/>
              <w:bidi w:val="0"/>
              <w:spacing w:before="0" w:after="0"/>
              <w:jc w:val="left"/>
              <w:rPr>
                <w:spacing w:val="0"/>
              </w:rPr>
            </w:pPr>
            <w:r>
              <w:rPr>
                <w:spacing w:val="0"/>
              </w:rPr>
              <w:t> </w:t>
            </w:r>
          </w:p>
        </w:tc>
        <w:tc>
          <w:tcPr>
            <w:tcW w:w="276" w:type="dxa"/>
            <w:tcBorders/>
            <w:vAlign w:val="center"/>
          </w:tcPr>
          <w:p>
            <w:pPr>
              <w:pStyle w:val="TableContents"/>
              <w:bidi w:val="0"/>
              <w:spacing w:before="0" w:after="0"/>
              <w:jc w:val="left"/>
              <w:rPr>
                <w:spacing w:val="0"/>
              </w:rPr>
            </w:pPr>
            <w:r>
              <w:rPr>
                <w:spacing w:val="0"/>
              </w:rPr>
              <w:t>  </w:t>
            </w:r>
          </w:p>
        </w:tc>
        <w:tc>
          <w:tcPr>
            <w:tcW w:w="1205"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45" w:type="dxa"/>
            <w:tcBorders/>
            <w:shd w:fill="CCEEFF" w:val="clear"/>
            <w:vAlign w:val="center"/>
          </w:tcPr>
          <w:p>
            <w:pPr>
              <w:pStyle w:val="TableContents"/>
              <w:bidi w:val="0"/>
              <w:spacing w:before="0" w:after="0"/>
              <w:jc w:val="left"/>
              <w:rPr>
                <w:spacing w:val="0"/>
              </w:rPr>
            </w:pPr>
            <w:r>
              <w:rPr>
                <w:spacing w:val="0"/>
              </w:rPr>
              <w:t>$</w:t>
            </w:r>
          </w:p>
        </w:tc>
        <w:tc>
          <w:tcPr>
            <w:tcW w:w="828" w:type="dxa"/>
            <w:tcBorders/>
            <w:shd w:fill="CCEEFF" w:val="clear"/>
            <w:vAlign w:val="center"/>
          </w:tcPr>
          <w:p>
            <w:pPr>
              <w:pStyle w:val="TableContents"/>
              <w:bidi w:val="0"/>
              <w:spacing w:before="0" w:after="0"/>
              <w:jc w:val="right"/>
              <w:rPr>
                <w:spacing w:val="0"/>
              </w:rPr>
            </w:pPr>
            <w:r>
              <w:rPr>
                <w:spacing w:val="0"/>
              </w:rPr>
              <w:t>10</w:t>
            </w:r>
          </w:p>
        </w:tc>
        <w:tc>
          <w:tcPr>
            <w:tcW w:w="19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0"/>
              <w:jc w:val="left"/>
              <w:rPr>
                <w:spacing w:val="0"/>
              </w:rPr>
            </w:pPr>
            <w:r>
              <w:rPr>
                <w:spacing w:val="0"/>
              </w:rPr>
              <w:t>  </w:t>
            </w:r>
          </w:p>
        </w:tc>
        <w:tc>
          <w:tcPr>
            <w:tcW w:w="445" w:type="dxa"/>
            <w:tcBorders/>
            <w:shd w:fill="CCEEFF" w:val="clear"/>
            <w:vAlign w:val="center"/>
          </w:tcPr>
          <w:p>
            <w:pPr>
              <w:pStyle w:val="TableContents"/>
              <w:bidi w:val="0"/>
              <w:spacing w:before="0" w:after="0"/>
              <w:jc w:val="left"/>
              <w:rPr>
                <w:spacing w:val="0"/>
              </w:rPr>
            </w:pPr>
            <w:r>
              <w:rPr>
                <w:spacing w:val="0"/>
              </w:rPr>
              <w:t>$</w:t>
            </w:r>
          </w:p>
        </w:tc>
        <w:tc>
          <w:tcPr>
            <w:tcW w:w="831" w:type="dxa"/>
            <w:tcBorders/>
            <w:shd w:fill="CCEEFF" w:val="clear"/>
            <w:vAlign w:val="center"/>
          </w:tcPr>
          <w:p>
            <w:pPr>
              <w:pStyle w:val="TableContents"/>
              <w:bidi w:val="0"/>
              <w:spacing w:before="0" w:after="0"/>
              <w:jc w:val="right"/>
              <w:rPr>
                <w:spacing w:val="0"/>
              </w:rPr>
            </w:pPr>
            <w:r>
              <w:rPr>
                <w:spacing w:val="0"/>
              </w:rPr>
              <w:t>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23" w:type="dxa"/>
            <w:tcBorders/>
            <w:shd w:fill="CCEEFF" w:val="clear"/>
            <w:vAlign w:val="center"/>
          </w:tcPr>
          <w:p>
            <w:pPr>
              <w:pStyle w:val="TableContents"/>
              <w:bidi w:val="0"/>
              <w:spacing w:before="0" w:after="0"/>
              <w:jc w:val="left"/>
              <w:rPr>
                <w:spacing w:val="0"/>
              </w:rPr>
            </w:pPr>
            <w:r>
              <w:rPr>
                <w:spacing w:val="0"/>
              </w:rPr>
              <w:t>$</w:t>
            </w:r>
          </w:p>
        </w:tc>
        <w:tc>
          <w:tcPr>
            <w:tcW w:w="879" w:type="dxa"/>
            <w:tcBorders/>
            <w:shd w:fill="CCEEFF" w:val="clear"/>
            <w:vAlign w:val="center"/>
          </w:tcPr>
          <w:p>
            <w:pPr>
              <w:pStyle w:val="TableContents"/>
              <w:bidi w:val="0"/>
              <w:spacing w:before="0" w:after="0"/>
              <w:jc w:val="right"/>
              <w:rPr>
                <w:spacing w:val="0"/>
              </w:rPr>
            </w:pPr>
            <w:r>
              <w:rPr>
                <w:spacing w:val="0"/>
              </w:rPr>
              <w:t>16</w:t>
            </w:r>
          </w:p>
        </w:tc>
        <w:tc>
          <w:tcPr>
            <w:tcW w:w="137" w:type="dxa"/>
            <w:tcBorders/>
            <w:shd w:fill="CCEEFF" w:val="clear"/>
            <w:vAlign w:val="center"/>
          </w:tcPr>
          <w:p>
            <w:pPr>
              <w:pStyle w:val="TableContents"/>
              <w:bidi w:val="0"/>
              <w:spacing w:before="0" w:after="0"/>
              <w:jc w:val="left"/>
              <w:rPr>
                <w:spacing w:val="0"/>
              </w:rPr>
            </w:pPr>
            <w:r>
              <w:rPr>
                <w:spacing w:val="0"/>
              </w:rPr>
              <w:t> </w:t>
            </w:r>
          </w:p>
        </w:tc>
        <w:tc>
          <w:tcPr>
            <w:tcW w:w="276" w:type="dxa"/>
            <w:tcBorders/>
            <w:shd w:fill="CCEEFF" w:val="clear"/>
            <w:vAlign w:val="center"/>
          </w:tcPr>
          <w:p>
            <w:pPr>
              <w:pStyle w:val="TableContents"/>
              <w:bidi w:val="0"/>
              <w:spacing w:before="0" w:after="0"/>
              <w:jc w:val="left"/>
              <w:rPr>
                <w:spacing w:val="0"/>
              </w:rPr>
            </w:pPr>
            <w:r>
              <w:rPr>
                <w:spacing w:val="0"/>
              </w:rPr>
              <w:t>  </w:t>
            </w:r>
          </w:p>
        </w:tc>
        <w:tc>
          <w:tcPr>
            <w:tcW w:w="323" w:type="dxa"/>
            <w:tcBorders/>
            <w:shd w:fill="CCEEFF" w:val="clear"/>
            <w:vAlign w:val="center"/>
          </w:tcPr>
          <w:p>
            <w:pPr>
              <w:pStyle w:val="TableContents"/>
              <w:bidi w:val="0"/>
              <w:spacing w:before="0" w:after="0"/>
              <w:jc w:val="left"/>
              <w:rPr>
                <w:spacing w:val="0"/>
              </w:rPr>
            </w:pPr>
            <w:r>
              <w:rPr>
                <w:spacing w:val="0"/>
              </w:rPr>
              <w:t>$</w:t>
            </w:r>
          </w:p>
        </w:tc>
        <w:tc>
          <w:tcPr>
            <w:tcW w:w="882" w:type="dxa"/>
            <w:tcBorders/>
            <w:shd w:fill="CCEEFF" w:val="clear"/>
            <w:vAlign w:val="center"/>
          </w:tcPr>
          <w:p>
            <w:pPr>
              <w:pStyle w:val="TableContents"/>
              <w:bidi w:val="0"/>
              <w:spacing w:before="0" w:after="0"/>
              <w:jc w:val="right"/>
              <w:rPr>
                <w:spacing w:val="0"/>
              </w:rPr>
            </w:pPr>
            <w:r>
              <w:rPr>
                <w:spacing w:val="0"/>
              </w:rPr>
              <w:t>12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rPr>
            </w:pPr>
            <w:r>
              <w:rPr>
                <w:spacing w:val="0"/>
              </w:rPr>
              <w:t> </w:t>
            </w:r>
          </w:p>
        </w:tc>
        <w:tc>
          <w:tcPr>
            <w:tcW w:w="828" w:type="dxa"/>
            <w:tcBorders/>
            <w:vAlign w:val="center"/>
          </w:tcPr>
          <w:p>
            <w:pPr>
              <w:pStyle w:val="TableContents"/>
              <w:bidi w:val="0"/>
              <w:spacing w:before="0" w:after="0"/>
              <w:jc w:val="right"/>
              <w:rPr>
                <w:spacing w:val="0"/>
              </w:rPr>
            </w:pPr>
            <w:r>
              <w:rPr>
                <w:spacing w:val="0"/>
              </w:rPr>
              <w:t>70</w:t>
            </w:r>
          </w:p>
        </w:tc>
        <w:tc>
          <w:tcPr>
            <w:tcW w:w="19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rPr>
            </w:pPr>
            <w:r>
              <w:rPr>
                <w:spacing w:val="0"/>
              </w:rPr>
              <w:t> </w:t>
            </w:r>
          </w:p>
        </w:tc>
        <w:tc>
          <w:tcPr>
            <w:tcW w:w="831" w:type="dxa"/>
            <w:tcBorders/>
            <w:vAlign w:val="center"/>
          </w:tcPr>
          <w:p>
            <w:pPr>
              <w:pStyle w:val="TableContents"/>
              <w:bidi w:val="0"/>
              <w:spacing w:before="0" w:after="0"/>
              <w:jc w:val="right"/>
              <w:rPr>
                <w:spacing w:val="0"/>
              </w:rPr>
            </w:pPr>
            <w:r>
              <w:rPr>
                <w:spacing w:val="0"/>
              </w:rPr>
              <w:t>47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rPr>
            </w:pPr>
            <w:r>
              <w:rPr>
                <w:spacing w:val="0"/>
              </w:rPr>
              <w:t> </w:t>
            </w:r>
          </w:p>
        </w:tc>
        <w:tc>
          <w:tcPr>
            <w:tcW w:w="879" w:type="dxa"/>
            <w:tcBorders/>
            <w:vAlign w:val="center"/>
          </w:tcPr>
          <w:p>
            <w:pPr>
              <w:pStyle w:val="TableContents"/>
              <w:bidi w:val="0"/>
              <w:spacing w:before="0" w:after="0"/>
              <w:jc w:val="right"/>
              <w:rPr>
                <w:spacing w:val="0"/>
              </w:rPr>
            </w:pPr>
            <w:r>
              <w:rPr>
                <w:spacing w:val="0"/>
              </w:rPr>
              <w:t>114</w:t>
            </w:r>
          </w:p>
        </w:tc>
        <w:tc>
          <w:tcPr>
            <w:tcW w:w="137" w:type="dxa"/>
            <w:tcBorders/>
            <w:vAlign w:val="center"/>
          </w:tcPr>
          <w:p>
            <w:pPr>
              <w:pStyle w:val="TableContents"/>
              <w:bidi w:val="0"/>
              <w:spacing w:before="0" w:after="0"/>
              <w:jc w:val="left"/>
              <w:rPr>
                <w:spacing w:val="0"/>
              </w:rPr>
            </w:pPr>
            <w:r>
              <w:rPr>
                <w:spacing w:val="0"/>
              </w:rPr>
              <w:t> </w:t>
            </w:r>
          </w:p>
        </w:tc>
        <w:tc>
          <w:tcPr>
            <w:tcW w:w="276"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rPr>
            </w:pPr>
            <w:r>
              <w:rPr>
                <w:spacing w:val="0"/>
              </w:rPr>
              <w:t> </w:t>
            </w:r>
          </w:p>
        </w:tc>
        <w:tc>
          <w:tcPr>
            <w:tcW w:w="882" w:type="dxa"/>
            <w:tcBorders/>
            <w:vAlign w:val="center"/>
          </w:tcPr>
          <w:p>
            <w:pPr>
              <w:pStyle w:val="TableContents"/>
              <w:bidi w:val="0"/>
              <w:spacing w:before="0" w:after="0"/>
              <w:jc w:val="right"/>
              <w:rPr>
                <w:spacing w:val="0"/>
              </w:rPr>
            </w:pPr>
            <w:r>
              <w:rPr>
                <w:spacing w:val="0"/>
              </w:rPr>
              <w:t>116</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 w:type="dxa"/>
            <w:tcBorders/>
            <w:vAlign w:val="center"/>
          </w:tcPr>
          <w:p>
            <w:pPr>
              <w:pStyle w:val="TableContents"/>
              <w:bidi w:val="0"/>
              <w:spacing w:before="0" w:after="0"/>
              <w:jc w:val="left"/>
              <w:rPr>
                <w:spacing w:val="0"/>
              </w:rPr>
            </w:pPr>
            <w:r>
              <w:rPr>
                <w:spacing w:val="0"/>
              </w:rPr>
              <w:t> </w:t>
            </w:r>
          </w:p>
        </w:tc>
        <w:tc>
          <w:tcPr>
            <w:tcW w:w="276"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45" w:type="dxa"/>
            <w:tcBorders/>
            <w:shd w:fill="CCEEFF" w:val="clear"/>
            <w:vAlign w:val="center"/>
          </w:tcPr>
          <w:p>
            <w:pPr>
              <w:pStyle w:val="TableContents"/>
              <w:bidi w:val="0"/>
              <w:spacing w:before="0" w:after="0"/>
              <w:jc w:val="left"/>
              <w:rPr>
                <w:spacing w:val="0"/>
              </w:rPr>
            </w:pPr>
            <w:r>
              <w:rPr>
                <w:spacing w:val="0"/>
              </w:rPr>
              <w:t>$</w:t>
            </w:r>
          </w:p>
        </w:tc>
        <w:tc>
          <w:tcPr>
            <w:tcW w:w="828" w:type="dxa"/>
            <w:tcBorders/>
            <w:shd w:fill="CCEEFF" w:val="clear"/>
            <w:vAlign w:val="center"/>
          </w:tcPr>
          <w:p>
            <w:pPr>
              <w:pStyle w:val="TableContents"/>
              <w:bidi w:val="0"/>
              <w:spacing w:before="0" w:after="0"/>
              <w:jc w:val="right"/>
              <w:rPr>
                <w:spacing w:val="0"/>
              </w:rPr>
            </w:pPr>
            <w:r>
              <w:rPr>
                <w:spacing w:val="0"/>
              </w:rPr>
              <w:t>80</w:t>
            </w:r>
          </w:p>
        </w:tc>
        <w:tc>
          <w:tcPr>
            <w:tcW w:w="190" w:type="dxa"/>
            <w:tcBorders/>
            <w:shd w:fill="CCEEFF" w:val="clear"/>
            <w:vAlign w:val="center"/>
          </w:tcPr>
          <w:p>
            <w:pPr>
              <w:pStyle w:val="TableContents"/>
              <w:bidi w:val="0"/>
              <w:spacing w:before="0" w:after="0"/>
              <w:jc w:val="left"/>
              <w:rPr>
                <w:spacing w:val="0"/>
              </w:rPr>
            </w:pPr>
            <w:r>
              <w:rPr>
                <w:spacing w:val="0"/>
              </w:rPr>
              <w:t> </w:t>
            </w:r>
          </w:p>
        </w:tc>
        <w:tc>
          <w:tcPr>
            <w:tcW w:w="382" w:type="dxa"/>
            <w:tcBorders/>
            <w:shd w:fill="CCEEFF" w:val="clear"/>
            <w:vAlign w:val="center"/>
          </w:tcPr>
          <w:p>
            <w:pPr>
              <w:pStyle w:val="TableContents"/>
              <w:bidi w:val="0"/>
              <w:spacing w:before="0" w:after="0"/>
              <w:jc w:val="left"/>
              <w:rPr>
                <w:spacing w:val="0"/>
              </w:rPr>
            </w:pPr>
            <w:r>
              <w:rPr>
                <w:spacing w:val="0"/>
              </w:rPr>
              <w:t>  </w:t>
            </w:r>
          </w:p>
        </w:tc>
        <w:tc>
          <w:tcPr>
            <w:tcW w:w="445" w:type="dxa"/>
            <w:tcBorders/>
            <w:shd w:fill="CCEEFF" w:val="clear"/>
            <w:vAlign w:val="center"/>
          </w:tcPr>
          <w:p>
            <w:pPr>
              <w:pStyle w:val="TableContents"/>
              <w:bidi w:val="0"/>
              <w:spacing w:before="0" w:after="0"/>
              <w:jc w:val="left"/>
              <w:rPr>
                <w:spacing w:val="0"/>
              </w:rPr>
            </w:pPr>
            <w:r>
              <w:rPr>
                <w:spacing w:val="0"/>
              </w:rPr>
              <w:t>$</w:t>
            </w:r>
          </w:p>
        </w:tc>
        <w:tc>
          <w:tcPr>
            <w:tcW w:w="831" w:type="dxa"/>
            <w:tcBorders/>
            <w:shd w:fill="CCEEFF" w:val="clear"/>
            <w:vAlign w:val="center"/>
          </w:tcPr>
          <w:p>
            <w:pPr>
              <w:pStyle w:val="TableContents"/>
              <w:bidi w:val="0"/>
              <w:spacing w:before="0" w:after="0"/>
              <w:jc w:val="right"/>
              <w:rPr>
                <w:spacing w:val="0"/>
              </w:rPr>
            </w:pPr>
            <w:r>
              <w:rPr>
                <w:spacing w:val="0"/>
              </w:rPr>
              <w:t>52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23" w:type="dxa"/>
            <w:tcBorders/>
            <w:shd w:fill="CCEEFF" w:val="clear"/>
            <w:vAlign w:val="center"/>
          </w:tcPr>
          <w:p>
            <w:pPr>
              <w:pStyle w:val="TableContents"/>
              <w:bidi w:val="0"/>
              <w:spacing w:before="0" w:after="0"/>
              <w:jc w:val="left"/>
              <w:rPr>
                <w:spacing w:val="0"/>
              </w:rPr>
            </w:pPr>
            <w:r>
              <w:rPr>
                <w:spacing w:val="0"/>
              </w:rPr>
              <w:t>$</w:t>
            </w:r>
          </w:p>
        </w:tc>
        <w:tc>
          <w:tcPr>
            <w:tcW w:w="879" w:type="dxa"/>
            <w:tcBorders/>
            <w:shd w:fill="CCEEFF" w:val="clear"/>
            <w:vAlign w:val="center"/>
          </w:tcPr>
          <w:p>
            <w:pPr>
              <w:pStyle w:val="TableContents"/>
              <w:bidi w:val="0"/>
              <w:spacing w:before="0" w:after="0"/>
              <w:jc w:val="right"/>
              <w:rPr>
                <w:spacing w:val="0"/>
              </w:rPr>
            </w:pPr>
            <w:r>
              <w:rPr>
                <w:spacing w:val="0"/>
              </w:rPr>
              <w:t>130</w:t>
            </w:r>
          </w:p>
        </w:tc>
        <w:tc>
          <w:tcPr>
            <w:tcW w:w="137" w:type="dxa"/>
            <w:tcBorders/>
            <w:shd w:fill="CCEEFF" w:val="clear"/>
            <w:vAlign w:val="center"/>
          </w:tcPr>
          <w:p>
            <w:pPr>
              <w:pStyle w:val="TableContents"/>
              <w:bidi w:val="0"/>
              <w:spacing w:before="0" w:after="0"/>
              <w:jc w:val="left"/>
              <w:rPr>
                <w:spacing w:val="0"/>
              </w:rPr>
            </w:pPr>
            <w:r>
              <w:rPr>
                <w:spacing w:val="0"/>
              </w:rPr>
              <w:t> </w:t>
            </w:r>
          </w:p>
        </w:tc>
        <w:tc>
          <w:tcPr>
            <w:tcW w:w="276" w:type="dxa"/>
            <w:tcBorders/>
            <w:shd w:fill="CCEEFF" w:val="clear"/>
            <w:vAlign w:val="center"/>
          </w:tcPr>
          <w:p>
            <w:pPr>
              <w:pStyle w:val="TableContents"/>
              <w:bidi w:val="0"/>
              <w:spacing w:before="0" w:after="0"/>
              <w:jc w:val="left"/>
              <w:rPr>
                <w:spacing w:val="0"/>
              </w:rPr>
            </w:pPr>
            <w:r>
              <w:rPr>
                <w:spacing w:val="0"/>
              </w:rPr>
              <w:t>  </w:t>
            </w:r>
          </w:p>
        </w:tc>
        <w:tc>
          <w:tcPr>
            <w:tcW w:w="323" w:type="dxa"/>
            <w:tcBorders/>
            <w:shd w:fill="CCEEFF" w:val="clear"/>
            <w:vAlign w:val="center"/>
          </w:tcPr>
          <w:p>
            <w:pPr>
              <w:pStyle w:val="TableContents"/>
              <w:bidi w:val="0"/>
              <w:spacing w:before="0" w:after="0"/>
              <w:jc w:val="left"/>
              <w:rPr>
                <w:spacing w:val="0"/>
              </w:rPr>
            </w:pPr>
            <w:r>
              <w:rPr>
                <w:spacing w:val="0"/>
              </w:rPr>
              <w:t>$</w:t>
            </w:r>
          </w:p>
        </w:tc>
        <w:tc>
          <w:tcPr>
            <w:tcW w:w="882" w:type="dxa"/>
            <w:tcBorders/>
            <w:shd w:fill="CCEEFF" w:val="clear"/>
            <w:vAlign w:val="center"/>
          </w:tcPr>
          <w:p>
            <w:pPr>
              <w:pStyle w:val="TableContents"/>
              <w:bidi w:val="0"/>
              <w:spacing w:before="0" w:after="0"/>
              <w:jc w:val="right"/>
              <w:rPr>
                <w:spacing w:val="0"/>
              </w:rPr>
            </w:pPr>
            <w:r>
              <w:rPr>
                <w:spacing w:val="0"/>
              </w:rPr>
              <w:t>128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0" w:type="dxa"/>
            <w:tcBorders/>
            <w:vAlign w:val="center"/>
          </w:tcPr>
          <w:p>
            <w:pPr>
              <w:pStyle w:val="TableContents"/>
              <w:bidi w:val="0"/>
              <w:spacing w:before="0" w:after="0"/>
              <w:jc w:val="left"/>
              <w:rPr>
                <w:spacing w:val="0"/>
              </w:rPr>
            </w:pPr>
            <w:r>
              <w:rPr>
                <w:spacing w:val="0"/>
              </w:rPr>
              <w:t> </w:t>
            </w:r>
          </w:p>
        </w:tc>
        <w:tc>
          <w:tcPr>
            <w:tcW w:w="382" w:type="dxa"/>
            <w:tcBorders/>
            <w:vAlign w:val="center"/>
          </w:tcPr>
          <w:p>
            <w:pPr>
              <w:pStyle w:val="TableContents"/>
              <w:bidi w:val="0"/>
              <w:spacing w:before="0" w:after="0"/>
              <w:jc w:val="left"/>
              <w:rPr>
                <w:spacing w:val="0"/>
              </w:rPr>
            </w:pPr>
            <w:r>
              <w:rPr>
                <w:spacing w:val="0"/>
              </w:rPr>
              <w:t>  </w:t>
            </w:r>
          </w:p>
        </w:tc>
        <w:tc>
          <w:tcPr>
            <w:tcW w:w="4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 w:type="dxa"/>
            <w:tcBorders/>
            <w:vAlign w:val="center"/>
          </w:tcPr>
          <w:p>
            <w:pPr>
              <w:pStyle w:val="TableContents"/>
              <w:bidi w:val="0"/>
              <w:spacing w:before="0" w:after="0"/>
              <w:jc w:val="left"/>
              <w:rPr>
                <w:spacing w:val="0"/>
              </w:rPr>
            </w:pPr>
            <w:r>
              <w:rPr>
                <w:spacing w:val="0"/>
              </w:rPr>
              <w:t> </w:t>
            </w:r>
          </w:p>
        </w:tc>
        <w:tc>
          <w:tcPr>
            <w:tcW w:w="276" w:type="dxa"/>
            <w:tcBorders/>
            <w:vAlign w:val="center"/>
          </w:tcPr>
          <w:p>
            <w:pPr>
              <w:pStyle w:val="TableContents"/>
              <w:bidi w:val="0"/>
              <w:spacing w:before="0" w:after="0"/>
              <w:jc w:val="left"/>
              <w:rPr>
                <w:spacing w:val="0"/>
              </w:rPr>
            </w:pPr>
            <w:r>
              <w:rPr>
                <w:spacing w:val="0"/>
              </w:rPr>
              <w:t>  </w:t>
            </w:r>
          </w:p>
        </w:tc>
        <w:tc>
          <w:tcPr>
            <w:tcW w:w="3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shd w:fill="FFFFFF" w:val="clear"/>
        </w:rPr>
      </w:pPr>
      <w:r>
        <w:rPr>
          <w:spacing w:val="0"/>
          <w:shd w:fill="FFFFFF" w:val="clear"/>
        </w:rPr>
        <w:t> </w:t>
      </w:r>
    </w:p>
    <w:p>
      <w:pPr>
        <w:pStyle w:val="TextBody"/>
        <w:bidi w:val="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 w:name="toc878693_10"/>
      <w:bookmarkEnd w:id="4"/>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together with our unaudited condensed consolidated financial statements and the related notes included elsewhere in this Quarterly Report. In addition to historical information,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“Special Note Regarding Forward-Looking Statements” in this Quarterly Report. </w:t>
      </w:r>
    </w:p>
    <w:p>
      <w:pPr>
        <w:pStyle w:val="TextBody"/>
        <w:bidi w:val="0"/>
        <w:spacing w:before="36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 technology platform in an attempt to overcome the known challenges of GPCR-targeted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Unfortunately, the 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remodeling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in 2019,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primarily with proceeds from sales of Series A-1, A-2, A-3, and A-4 convertible preferred stock (collectively, the “Preferred Stock”), proceeds received from the Merger (as defined below), proceeds from the issuance of common stock, proceeds from issuance of convertible promissory notes, which were all converted to convertible preferred stock in March 2021 and proceeds from issuance of Simple Agreements for Future Equity (“SAFEs”) in October and December 2023. From inception through June 30, 2024, we have received $288.6 million in capital contributions from sales of Preferred Stock, issuance of convertible promissory notes, proceeds from issuance of SAFEs, proceeds from the Merger and proceeds from the issuance of common stock. As of June 30, 2024, we had $185.1 million in cash and cash equivalents. Based on our current operating plan, we believe that our existing cash and cash equivalents should be sufficient to fund our operations for at least the next twelve months following the issuance of our interim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incurred significant operating losses. Our net losses were $12.7 million and $10.5 million for the three months ended June 30, 2024 and 2023, respectively, and $27.9 million and $24.9 million for the six months ended June 30, 2024 and 2023, respectively. As of June 30, 2024, we had an accumulated deficit of $118.5 million. We expect to continue to incur significant expenses and operating losses for the foreseeable future. We anticipate that our expenses will increase significantly in connection with our ongoing activities, as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our ongoing and planned research and clinical development of our lead product candidate TX45 and our other product candidates;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preclinical studies and clinical trials for any additional product candidates that we may pursue in the future;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to discover and develop additional product candidates and further expand our clinical product pipeline;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product candidates that successfully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scale up external manufacturing capacity with the aim of securing sufficient quantities to meet our capacity requirements for clinical trials and eventual potential commercialization;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and distribution infrastructure to commercialize any product candidate for which we may obtain regulatory approval;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 maintain, expand and protect our intellectual property portfolio;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or in-licenses other product candidates and technologies;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clinical, quality control, regulatory and manufacturing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 discovery, clinical, operational, financial and management information systems and personnel, including personnel to support our product development and planned future commercialization efforts; and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legal, accounting, investor relations and other expenses associated with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 As a result, we will need substantial additional funding to support our continuing operations and pursue our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 </w:t>
      </w:r>
    </w:p>
    <w:p>
      <w:pPr>
        <w:pStyle w:val="TextBody"/>
        <w:bidi w:val="0"/>
        <w:spacing w:before="240" w:after="0"/>
        <w:jc w:val="left"/>
        <w:rPr>
          <w:rFonts w:ascii="Times New Roman" w:hAnsi="Times New Roman"/>
          <w:sz w:val="20"/>
        </w:rPr>
      </w:pPr>
      <w:r>
        <w:rPr>
          <w:rFonts w:ascii="Times New Roman" w:hAnsi="Times New Roman"/>
          <w:sz w:val="20"/>
        </w:rPr>
        <w:t xml:space="preserve">Legacy Tectonic stockholders received approximately 10,956,614 shares of AVROBIO common stock in connection with the Merger, including 11,448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Merger, on June 20, 2024, certain investors completed the purchase of shares of Legacy Tectonic common stock pursuant to the Subscription Agreement at a price of approximately $12.40 per share for an aggregate purchase price of approximately $96.6 million. The shares of Legacy Tectonic common stock that were issued pursuant to the Subscription Agreement were converted into 4,163,606 shares of our common stock upon the closing of the Merger based on the exchange ratio, pursuant to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Macroeconomic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our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in collaboration or license agreements with third parties, we may generate revenue in the future from product sales or payments from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and bonuses, related benefits and share-based compensation expense, for employees engaged in research and development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our programs and our product candidates, including under agreements with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manufacturing material for our preclinical studies and clinical trials, including fees paid to contract manufacturing organizations, (“CMOs”);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direct research and development expenses relate to the development of our lead product candidate,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Costs that are deployed across multiple of our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our discovery efforts and projects are included in unallocated employee-related expenses, laboratory supplies and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conduct preclinical studies required to advance our product candidates into clinical development;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including based on the number of doses that patients received;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who enroll in each trial;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the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failing to comply with regulatory requirements or meet their contractual obligations to us in a timely manner, or at all;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manufacture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personnel-related costs, including share-based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general and administrative expenses will increase in the future as we expect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Loss on Issuance of SAFE Liabilities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Legacy Tectonic issued SAFEs for proceeds of $34.1 million. The SAFEs were recorded as liabilities in the consolidated balance sheet at their fair value on the issuance dates. Until redemption, the SAFEs were measured at a fair value on a recurring basis, with subsequent changes in fair value recorded in other income and expenses on the consolidated statement of operations and comprehensive loss. We recorded a loss of $3.6 million resulting from the remeasurement of the SAFEs to fair value from March 31, 2024 to June 20, 2024.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closing of the Merger, the principal balance of the SAFEs was automatically redeemed into 2,752,216 shares of Legacy Tectonic’s common stock at the conversion price of approximately $12.40 per share. At the closing of the Merger, shares of Legacy Tectonic common stock issued pursuant to the redemption of the SAFEs were converted into 1,470,839 shares of our common stock based on the exchange ratio, pursuant to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our invested cash balances, which consist of deposit accounts and a sweep account.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primarily consists of interest expense on finance lease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w:t>
      </w:r>
    </w:p>
    <w:p>
      <w:pPr>
        <w:pStyle w:val="TextBody"/>
        <w:bidi w:val="0"/>
        <w:spacing w:before="120" w:after="0"/>
        <w:jc w:val="left"/>
        <w:rPr>
          <w:rFonts w:ascii="Times New Roman" w:hAnsi="Times New Roman"/>
          <w:sz w:val="20"/>
        </w:rPr>
      </w:pPr>
      <w:r>
        <w:rPr>
          <w:rFonts w:ascii="Times New Roman" w:hAnsi="Times New Roman"/>
          <w:sz w:val="20"/>
        </w:rPr>
        <w:t xml:space="preserve">Other expense primarily consists of the difference between transactional currency and functional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not recorded any income tax benefits for the net losses we have incurred or for the research and development tax credits earned in each year by our operations in the United States, as we believe, based upon the weight of available evidence, that it is more likely than not that all of our net operating loss carryforwards and tax credit carryforwards will not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June 30, 2024 and 2023: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3530"/>
        <w:gridCol w:w="120"/>
        <w:gridCol w:w="149"/>
        <w:gridCol w:w="808"/>
        <w:gridCol w:w="165"/>
        <w:gridCol w:w="128"/>
        <w:gridCol w:w="149"/>
        <w:gridCol w:w="811"/>
        <w:gridCol w:w="155"/>
        <w:gridCol w:w="120"/>
        <w:gridCol w:w="147"/>
        <w:gridCol w:w="668"/>
        <w:gridCol w:w="155"/>
        <w:gridCol w:w="120"/>
        <w:gridCol w:w="60"/>
        <w:gridCol w:w="455"/>
        <w:gridCol w:w="36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0" w:type="dxa"/>
            <w:gridSpan w:val="14"/>
            <w:tcBorders/>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7,074</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11" w:type="dxa"/>
            <w:tcBorders/>
            <w:vAlign w:val="center"/>
          </w:tcPr>
          <w:p>
            <w:pPr>
              <w:pStyle w:val="TableContents"/>
              <w:bidi w:val="0"/>
              <w:spacing w:before="0" w:after="283"/>
              <w:jc w:val="right"/>
              <w:rPr/>
            </w:pPr>
            <w:r>
              <w:rPr/>
              <w:t>8,766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(1,692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(19</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4,347</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1,865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2,482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133</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1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11,421</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10,631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7</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1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(11,421</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(10,631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7</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1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(1,535</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(1,535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318</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224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42</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(28</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(5</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(38</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1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(1,250</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(1,426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(810</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08" w:type="dxa"/>
            <w:tcBorders/>
            <w:vAlign w:val="center"/>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81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(12,671</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811" w:type="dxa"/>
            <w:tcBorders/>
            <w:vAlign w:val="center"/>
          </w:tcPr>
          <w:p>
            <w:pPr>
              <w:pStyle w:val="TableContents"/>
              <w:bidi w:val="0"/>
              <w:spacing w:before="0" w:after="283"/>
              <w:jc w:val="right"/>
              <w:rPr/>
            </w:pPr>
            <w:r>
              <w:rPr/>
              <w:t>(10,455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(2,216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21</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808" w:type="dxa"/>
            <w:tcBorders/>
            <w:vAlign w:val="center"/>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81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55"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Operating Expenses</w:t>
      </w:r>
    </w:p>
    <w:p>
      <w:pPr>
        <w:pStyle w:val="TextBody"/>
        <w:bidi w:val="0"/>
        <w:spacing w:before="12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0" w:after="0"/>
        <w:jc w:val="left"/>
        <w:rPr/>
      </w:pPr>
      <w:r>
        <w:rPr/>
        <w:t> </w:t>
      </w:r>
    </w:p>
    <w:tbl>
      <w:tblPr>
        <w:tblW w:w="10110" w:type="dxa"/>
        <w:jc w:val="left"/>
        <w:tblInd w:w="0" w:type="dxa"/>
        <w:tblLayout w:type="fixed"/>
        <w:tblCellMar>
          <w:top w:w="0" w:type="dxa"/>
          <w:left w:w="0" w:type="dxa"/>
          <w:bottom w:w="0" w:type="dxa"/>
          <w:right w:w="0" w:type="dxa"/>
        </w:tblCellMar>
      </w:tblPr>
      <w:tblGrid>
        <w:gridCol w:w="5705"/>
        <w:gridCol w:w="120"/>
        <w:gridCol w:w="195"/>
        <w:gridCol w:w="783"/>
        <w:gridCol w:w="83"/>
        <w:gridCol w:w="167"/>
        <w:gridCol w:w="195"/>
        <w:gridCol w:w="787"/>
        <w:gridCol w:w="60"/>
        <w:gridCol w:w="120"/>
        <w:gridCol w:w="147"/>
        <w:gridCol w:w="668"/>
        <w:gridCol w:w="155"/>
        <w:gridCol w:w="120"/>
        <w:gridCol w:w="60"/>
        <w:gridCol w:w="380"/>
        <w:gridCol w:w="365"/>
      </w:tblGrid>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20" w:type="dxa"/>
            <w:gridSpan w:val="14"/>
            <w:tcBorders/>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2,460</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787" w:type="dxa"/>
            <w:tcBorders/>
            <w:vAlign w:val="center"/>
          </w:tcPr>
          <w:p>
            <w:pPr>
              <w:pStyle w:val="TableContents"/>
              <w:bidi w:val="0"/>
              <w:spacing w:before="0" w:after="283"/>
              <w:jc w:val="right"/>
              <w:rPr/>
            </w:pPr>
            <w:r>
              <w:rPr/>
              <w:t>4,381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(1,921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w:t>
            </w:r>
          </w:p>
        </w:tc>
        <w:tc>
          <w:tcPr>
            <w:tcW w:w="36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Platform development, early-stage research and unallocated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2,763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2,873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w:t>
            </w:r>
          </w:p>
        </w:tc>
        <w:tc>
          <w:tcPr>
            <w:tcW w:w="36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786</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318</w:t>
            </w:r>
          </w:p>
        </w:tc>
        <w:tc>
          <w:tcPr>
            <w:tcW w:w="36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Facility, supplies and other</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1,065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w:t>
            </w:r>
          </w:p>
        </w:tc>
        <w:tc>
          <w:tcPr>
            <w:tcW w:w="36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78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7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7,074</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8,766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(1,692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(19</w:t>
            </w:r>
          </w:p>
        </w:tc>
        <w:tc>
          <w:tcPr>
            <w:tcW w:w="36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78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78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$7.1 million for the three months ended June 30, 2024, as compared to $8.8 million for the three months ended June 30, 2023. The decrease of $1.7 million resulted from a reduction of $1.1 million in direct research and development costs from our CMO as a result of fewer batches of clinical trial supply produced during the three months ended June 30, 2024 as compared to the three months ended June 30, 2023 due to the completed production of drug substance for the TX45 program in 2023 for planned Phase 1 and Phase 2 studies and a reduction of $1.0 million in preclinical Contract Research Organization (“CRO”) research costs, partially offset by an increase of $0.3 million in clinical trial CRO costs. The decrease of $0.1 million in personnel related costs was primarily due to a reduction in salary and bonus expenses subsequent to the reduction in force that occurred during the three months ended March 31, 2024. The increase of $0.6 million in external services was primarily due to an increase in consulting and professional services to support the ongoing development activities. The decrease of $0.3 million in facility, supplies and other expenses was primarily due to the receipt of reimbursements during the three months ended June 30, 2024 for leasehold improvements made during the year ended December 31, 2023. </w:t>
      </w:r>
    </w:p>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565"/>
        <w:gridCol w:w="120"/>
        <w:gridCol w:w="195"/>
        <w:gridCol w:w="783"/>
        <w:gridCol w:w="83"/>
        <w:gridCol w:w="167"/>
        <w:gridCol w:w="195"/>
        <w:gridCol w:w="787"/>
        <w:gridCol w:w="60"/>
        <w:gridCol w:w="120"/>
        <w:gridCol w:w="163"/>
        <w:gridCol w:w="652"/>
        <w:gridCol w:w="155"/>
        <w:gridCol w:w="120"/>
        <w:gridCol w:w="60"/>
        <w:gridCol w:w="380"/>
        <w:gridCol w:w="29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20" w:type="dxa"/>
            <w:gridSpan w:val="14"/>
            <w:tcBorders/>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1,543</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530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52</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2,475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2,055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489</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329</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78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7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65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4,347</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787" w:type="dxa"/>
            <w:tcBorders/>
            <w:vAlign w:val="center"/>
          </w:tcPr>
          <w:p>
            <w:pPr>
              <w:pStyle w:val="TableContents"/>
              <w:bidi w:val="0"/>
              <w:spacing w:before="0" w:after="283"/>
              <w:jc w:val="right"/>
              <w:rPr/>
            </w:pPr>
            <w:r>
              <w:rPr/>
              <w:t>1,865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2,482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133</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78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78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double" w:sz="6" w:space="1" w:color="000000"/>
              </w:pBdr>
              <w:bidi w:val="0"/>
              <w:spacing w:before="0" w:after="0"/>
              <w:jc w:val="left"/>
              <w:rPr/>
            </w:pPr>
            <w:r>
              <w:rPr/>
              <w:t> </w:t>
            </w:r>
          </w:p>
        </w:tc>
        <w:tc>
          <w:tcPr>
            <w:tcW w:w="65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$4.3 million for the three months ended June 30, 2024 as compared to $1.9 million for the three months ended June 30, 2023. The increase of $2.5 million resulted from an increase of $0.5 million in personnel related costs and was primarily due to increases in employee compensation and bonus expense during the three months ended June 30, 2024 as well as recruiting costs incurred during the three months ended June 30, 2024. The increase of $2.1 million in professional and consultant fees was related to an increase in consulting and professional services fees to support Merger-related activities during the three months ended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loss of $1.5 million resulted from the remeasurement of the SAFE liabilities to fair value during the three months ended June 30, 2024.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$0.1 million for the three months ended June 30, 2024 compared to the three months ended June 30, 2023 due to an increase in interest rates between the three months ended June 30, 2023 and the three months ended June 30, 2024.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consistent for the three months ended June 30, 2024 and 2023.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w:t>
      </w:r>
    </w:p>
    <w:p>
      <w:pPr>
        <w:pStyle w:val="TextBody"/>
        <w:bidi w:val="0"/>
        <w:spacing w:before="120" w:after="0"/>
        <w:jc w:val="left"/>
        <w:rPr>
          <w:rFonts w:ascii="Times New Roman" w:hAnsi="Times New Roman"/>
          <w:sz w:val="20"/>
        </w:rPr>
      </w:pPr>
      <w:r>
        <w:rPr>
          <w:rFonts w:ascii="Times New Roman" w:hAnsi="Times New Roman"/>
          <w:sz w:val="20"/>
        </w:rPr>
        <w:t xml:space="preserve">Other expense was consistent for the three months ended June 30, 2024 and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Tectonic’s results of operations for the six months ended June 30, 2024 and 2023: </w:t>
      </w:r>
    </w:p>
    <w:p>
      <w:pPr>
        <w:pStyle w:val="TextBody"/>
        <w:bidi w:val="0"/>
        <w:spacing w:before="0" w:after="0"/>
        <w:jc w:val="left"/>
        <w:rPr/>
      </w:pPr>
      <w:r>
        <w:rPr/>
        <w:t> </w:t>
      </w:r>
    </w:p>
    <w:tbl>
      <w:tblPr>
        <w:tblW w:w="8704" w:type="dxa"/>
        <w:jc w:val="left"/>
        <w:tblInd w:w="0" w:type="dxa"/>
        <w:tblLayout w:type="fixed"/>
        <w:tblCellMar>
          <w:top w:w="0" w:type="dxa"/>
          <w:left w:w="0" w:type="dxa"/>
          <w:bottom w:w="0" w:type="dxa"/>
          <w:right w:w="0" w:type="dxa"/>
        </w:tblCellMar>
      </w:tblPr>
      <w:tblGrid>
        <w:gridCol w:w="3530"/>
        <w:gridCol w:w="120"/>
        <w:gridCol w:w="140"/>
        <w:gridCol w:w="755"/>
        <w:gridCol w:w="155"/>
        <w:gridCol w:w="120"/>
        <w:gridCol w:w="227"/>
        <w:gridCol w:w="1232"/>
        <w:gridCol w:w="155"/>
        <w:gridCol w:w="120"/>
        <w:gridCol w:w="147"/>
        <w:gridCol w:w="668"/>
        <w:gridCol w:w="155"/>
        <w:gridCol w:w="120"/>
        <w:gridCol w:w="60"/>
        <w:gridCol w:w="635"/>
        <w:gridCol w:w="36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17,892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21,751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(3,859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(18</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3,411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3,086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90</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24,389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25,162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(24,389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(25,162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(3,610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63</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5,000</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(3,765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(1,437</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(27,892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(24,900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(2,992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double" w:sz="6" w:space="1" w:color="000000"/>
              </w:pBdr>
              <w:bidi w:val="0"/>
              <w:spacing w:before="0" w:after="0"/>
              <w:jc w:val="left"/>
              <w:rPr/>
            </w:pPr>
            <w:r>
              <w:rPr/>
              <w:t> </w:t>
            </w:r>
          </w:p>
        </w:tc>
        <w:tc>
          <w:tcPr>
            <w:tcW w:w="123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4565"/>
        <w:gridCol w:w="120"/>
        <w:gridCol w:w="146"/>
        <w:gridCol w:w="713"/>
        <w:gridCol w:w="62"/>
        <w:gridCol w:w="125"/>
        <w:gridCol w:w="246"/>
        <w:gridCol w:w="1213"/>
        <w:gridCol w:w="60"/>
        <w:gridCol w:w="120"/>
        <w:gridCol w:w="147"/>
        <w:gridCol w:w="668"/>
        <w:gridCol w:w="155"/>
        <w:gridCol w:w="120"/>
        <w:gridCol w:w="60"/>
        <w:gridCol w:w="380"/>
        <w:gridCol w:w="365"/>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12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3" w:type="dxa"/>
            <w:tcBorders/>
            <w:vAlign w:val="center"/>
          </w:tcPr>
          <w:p>
            <w:pPr>
              <w:pStyle w:val="TableContents"/>
              <w:bidi w:val="0"/>
              <w:spacing w:before="0" w:after="283"/>
              <w:jc w:val="right"/>
              <w:rPr/>
            </w:pPr>
            <w:r>
              <w:rPr/>
              <w:t>8,169</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283"/>
              <w:jc w:val="right"/>
              <w:rPr/>
            </w:pPr>
            <w:r>
              <w:rPr/>
              <w:t>13,037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(4,868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5,966</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5,726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1,570</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241</w:t>
            </w:r>
          </w:p>
        </w:tc>
        <w:tc>
          <w:tcPr>
            <w:tcW w:w="36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supplies and other</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2,187</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2,527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single" w:sz="2" w:space="1" w:color="000000"/>
              </w:pBdr>
              <w:bidi w:val="0"/>
              <w:spacing w:before="0" w:after="0"/>
              <w:jc w:val="left"/>
              <w:rPr/>
            </w:pPr>
            <w:r>
              <w:rPr/>
              <w:t> </w:t>
            </w:r>
          </w:p>
        </w:tc>
        <w:tc>
          <w:tcPr>
            <w:tcW w:w="121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13" w:type="dxa"/>
            <w:tcBorders/>
            <w:vAlign w:val="center"/>
          </w:tcPr>
          <w:p>
            <w:pPr>
              <w:pStyle w:val="TableContents"/>
              <w:bidi w:val="0"/>
              <w:spacing w:before="0" w:after="283"/>
              <w:jc w:val="right"/>
              <w:rPr/>
            </w:pPr>
            <w:r>
              <w:rPr/>
              <w:t>17,892</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213" w:type="dxa"/>
            <w:tcBorders/>
            <w:vAlign w:val="center"/>
          </w:tcPr>
          <w:p>
            <w:pPr>
              <w:pStyle w:val="TableContents"/>
              <w:bidi w:val="0"/>
              <w:spacing w:before="0" w:after="283"/>
              <w:jc w:val="right"/>
              <w:rPr/>
            </w:pPr>
            <w:r>
              <w:rPr/>
              <w:t>21,751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(3,859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w:t>
            </w:r>
          </w:p>
        </w:tc>
        <w:tc>
          <w:tcPr>
            <w:tcW w:w="36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double" w:sz="6" w:space="1" w:color="000000"/>
              </w:pBdr>
              <w:bidi w:val="0"/>
              <w:spacing w:before="0" w:after="0"/>
              <w:jc w:val="left"/>
              <w:rPr/>
            </w:pPr>
            <w:r>
              <w:rPr/>
              <w:t> </w:t>
            </w:r>
          </w:p>
        </w:tc>
        <w:tc>
          <w:tcPr>
            <w:tcW w:w="121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$17.9 million for the six months ended June 30, 2024, as compared to $21.8 million for the six months ended June 30, 2023. The decrease of $3.9 million resulted from a reduction of $6.2 million in direct research and development costs from our CMO as a result of fewer batches of clinical trial supply produced during the three months ended June 30, 2024 as compared to the three months ended June 30, 2023 due to the completed production of drug substance for the TX45 program in 2023 for planned Phase 1 and Phase 2 studies, a reduction of $0.7 million in preclinical CRO research costs and a $0.6 million reduction in lab supplies and lab services costs, partially offset by an increase of $2.6 million in clinical trial CRO costs. The increase of $0.2 million in personnel related costs was primarily due to severance and related costs incurred as a result of a reduction in force that occurred during the six months ended June 30, 2024. The increase of $1.1 million in external services was primarily due to an increase in consulting and professional services to support the ongoing development activities. The decrease of $0.3 million in facility, supplies and other expenses was primarily due to the receipt of reimbursements during the six months ended June 30, 2024 for leasehold improvements made during the year ended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9111" w:type="dxa"/>
        <w:jc w:val="left"/>
        <w:tblInd w:w="0" w:type="dxa"/>
        <w:tblLayout w:type="fixed"/>
        <w:tblCellMar>
          <w:top w:w="0" w:type="dxa"/>
          <w:left w:w="0" w:type="dxa"/>
          <w:bottom w:w="0" w:type="dxa"/>
          <w:right w:w="0" w:type="dxa"/>
        </w:tblCellMar>
      </w:tblPr>
      <w:tblGrid>
        <w:gridCol w:w="4565"/>
        <w:gridCol w:w="120"/>
        <w:gridCol w:w="169"/>
        <w:gridCol w:w="676"/>
        <w:gridCol w:w="72"/>
        <w:gridCol w:w="145"/>
        <w:gridCol w:w="290"/>
        <w:gridCol w:w="1169"/>
        <w:gridCol w:w="60"/>
        <w:gridCol w:w="120"/>
        <w:gridCol w:w="163"/>
        <w:gridCol w:w="652"/>
        <w:gridCol w:w="60"/>
        <w:gridCol w:w="120"/>
        <w:gridCol w:w="60"/>
        <w:gridCol w:w="380"/>
        <w:gridCol w:w="29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1"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2,789</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761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right"/>
              <w:rPr/>
            </w:pPr>
            <w:r>
              <w:rPr/>
              <w:t>2,774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1,980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249</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934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59</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676" w:type="dxa"/>
            <w:tcBorders/>
            <w:vAlign w:val="center"/>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single" w:sz="2" w:space="1" w:color="000000"/>
              </w:pBdr>
              <w:bidi w:val="0"/>
              <w:spacing w:before="0" w:after="0"/>
              <w:jc w:val="left"/>
              <w:rPr/>
            </w:pPr>
            <w:r>
              <w:rPr/>
              <w:t> </w:t>
            </w:r>
          </w:p>
        </w:tc>
        <w:tc>
          <w:tcPr>
            <w:tcW w:w="116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6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676" w:type="dxa"/>
            <w:tcBorders/>
            <w:vAlign w:val="center"/>
          </w:tcPr>
          <w:p>
            <w:pPr>
              <w:pStyle w:val="TableContents"/>
              <w:bidi w:val="0"/>
              <w:spacing w:before="0" w:after="283"/>
              <w:jc w:val="right"/>
              <w:rPr/>
            </w:pPr>
            <w:r>
              <w:rPr/>
              <w:t>6,497</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169" w:type="dxa"/>
            <w:tcBorders/>
            <w:vAlign w:val="center"/>
          </w:tcPr>
          <w:p>
            <w:pPr>
              <w:pStyle w:val="TableContents"/>
              <w:bidi w:val="0"/>
              <w:spacing w:before="0" w:after="283"/>
              <w:jc w:val="right"/>
              <w:rPr/>
            </w:pPr>
            <w:r>
              <w:rPr/>
              <w:t>3,411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3,086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90</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double" w:sz="6" w:space="1" w:color="000000"/>
              </w:pBdr>
              <w:bidi w:val="0"/>
              <w:spacing w:before="0" w:after="0"/>
              <w:jc w:val="left"/>
              <w:rPr/>
            </w:pPr>
            <w:r>
              <w:rPr/>
              <w:t> </w:t>
            </w:r>
          </w:p>
        </w:tc>
        <w:tc>
          <w:tcPr>
            <w:tcW w:w="676" w:type="dxa"/>
            <w:tcBorders/>
            <w:vAlign w:val="center"/>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double" w:sz="6" w:space="1" w:color="000000"/>
              </w:pBdr>
              <w:bidi w:val="0"/>
              <w:spacing w:before="0" w:after="0"/>
              <w:jc w:val="left"/>
              <w:rPr/>
            </w:pPr>
            <w:r>
              <w:rPr/>
              <w:t> </w:t>
            </w:r>
          </w:p>
        </w:tc>
        <w:tc>
          <w:tcPr>
            <w:tcW w:w="116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double" w:sz="6" w:space="1" w:color="000000"/>
              </w:pBdr>
              <w:bidi w:val="0"/>
              <w:spacing w:before="0" w:after="0"/>
              <w:jc w:val="left"/>
              <w:rPr/>
            </w:pPr>
            <w:r>
              <w:rPr/>
              <w:t> </w:t>
            </w:r>
          </w:p>
        </w:tc>
        <w:tc>
          <w:tcPr>
            <w:tcW w:w="6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$6.5 million for the six months ended June 30, 2024 as compared to $3.4 million for the six months ended June 30, 2023. The increase of $3.1 million resulted from an increase of $0.8 million in personnel related costs and was primarily due to severance and costs incurred as a result of a reduction in force that occurred during the six months ended June 30, 2024, increases in employee compensation and bonus expense during the six months ended June 30, 2024 as well as recruiting costs incurred during the six months ended June 30, 2024. The increase of $2.0 million in professional and consultant fees was related to an increase in consulting and professional services fees to support Merger-related activities during the six months ended June 30, 2024. The increase of $0.3 million in facility related costs and other expenses was due to increased costs incurred related to operating as a public company following the closing of the Merger in addition to travel expenses incurred during the six months ended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loss of $3.6 million resulted from the remeasurement of the SAFE liabilities to fair value during the six months ended June 30, 2024.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$0.2 million for the six months ended June 30, 2024 compared to the six months ended June 30, 2023 due to an increase in interest rates between the six months ended June 30, 2023 and the six months ended June 30, 2024.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consistent for the six months ended June 30, 2024 and 2023.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w:t>
      </w:r>
    </w:p>
    <w:p>
      <w:pPr>
        <w:pStyle w:val="TextBody"/>
        <w:bidi w:val="0"/>
        <w:spacing w:before="120" w:after="0"/>
        <w:jc w:val="left"/>
        <w:rPr>
          <w:rFonts w:ascii="Times New Roman" w:hAnsi="Times New Roman"/>
          <w:sz w:val="20"/>
        </w:rPr>
      </w:pPr>
      <w:r>
        <w:rPr>
          <w:rFonts w:ascii="Times New Roman" w:hAnsi="Times New Roman"/>
          <w:sz w:val="20"/>
        </w:rPr>
        <w:t xml:space="preserve">Other expense increased by $0.4 million for the six months ended June 30, 2024 compared to the six months ended June 30, 2023 due to the reversal of an Australian research and development tax credit claim during the six months ended June 30, 2024.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have any approved products and have never generated any revenue from product sales. To date, we have funded our operations primarily through proceeds from sales of preferred stock and common stock, proceeds from issuance of convertible promissory notes, proceeds from issuance of SAFEs and proceeds received from the Merger. From inception through June 30, 2024, we had received $288.6 million in capital contributions from sales of Preferred Stock, issuances of convertible promissory notes, proceeds from issuance of SAFEs, proceeds from the Merger and proceeds from the sale of pursuant to the Subscription Agreement. As of June 30, 2024, we had $185.1 million in cash and cash equivalents and an accumulated deficit shares of $118.5 million. We believe that our cash, cash equivalents, and marketable securities will be sufficient to fund our anticipated operating and capital expenditure requirements at least into mid-2027. We have based this estimate on assumptions that may prove to be wrong, and we could exhaust our capital resources sooner than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our cash flows for the six months ended June 30, 2024 and 2023: </w:t>
      </w:r>
    </w:p>
    <w:p>
      <w:pPr>
        <w:pStyle w:val="TextBody"/>
        <w:bidi w:val="0"/>
        <w:spacing w:before="0" w:after="0"/>
        <w:jc w:val="left"/>
        <w:rPr/>
      </w:pPr>
      <w:r>
        <w:rPr/>
        <w:t> </w:t>
      </w:r>
    </w:p>
    <w:tbl>
      <w:tblPr>
        <w:tblW w:w="7880" w:type="dxa"/>
        <w:jc w:val="left"/>
        <w:tblInd w:w="0" w:type="dxa"/>
        <w:tblLayout w:type="fixed"/>
        <w:tblCellMar>
          <w:top w:w="0" w:type="dxa"/>
          <w:left w:w="0" w:type="dxa"/>
          <w:bottom w:w="0" w:type="dxa"/>
          <w:right w:w="0" w:type="dxa"/>
        </w:tblCellMar>
      </w:tblPr>
      <w:tblGrid>
        <w:gridCol w:w="5480"/>
        <w:gridCol w:w="120"/>
        <w:gridCol w:w="140"/>
        <w:gridCol w:w="800"/>
        <w:gridCol w:w="155"/>
        <w:gridCol w:w="120"/>
        <w:gridCol w:w="140"/>
        <w:gridCol w:w="755"/>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0" w:type="dxa"/>
            <w:gridSpan w:val="6"/>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(22,655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(20,543</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(222</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179,070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156,355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(21,034</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2024, operating activities used $22.7 million of cash, primarily resulting from a net loss of $27.9 million and changes in our operating assets and liabilities of $0.4 million, offset by non-cash charges of $5.6 million. Non-cash charges primarily consisted of $3.6 million change in fair value of the SAFE liabilities, $0.7 million in depreciation and amortization expense, $0.7 million in stock-based compensation expense, and $0.6 million in non-cash lease expense. Net cash used by changes in our operating assets and liabilities consisted primarily of a $0.7 million decrease in operating lease liabilities, a $0.3 million increase in prepaid expenses and other current assets and a $0.1 million decrease in accounts payable, partially offset by a $0.4 million decrease in other non-current assets and a $0.2 million increase in accrued expenses and other current liabilities. The decrease in operating lease liabilities was primarily due to the lease payments made during the six months ended June 30, 2024. The increase in prepaid expenses and other current assets and accrued expenses and other current liabilities and decrease in accounts payable was primarily due to the Merger-related activities. The decrease in other non-current assets was due to a reassessment of the tax benefit amount related to the reversal of an Australian research and development tax credit claim.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2023, operating activities used $20.5 million of cash, primarily resulting from a net loss of $24.9 million, offset by non-cash charges of $1.8 million and changes in our operating assets and liabilities of $2.5 million. Non-cash charges primarily consisted of $0.7 million in depreciation and amortization expense, $0.6 million in stock-based compensation expense, and $0.5 million in non-cash lease expense. Net cash provided by changes in our operating assets and liabilities consisted primarily of a $1.6 million increase in accrued expenses and other current liabilities and a $1.7 million increase in accounts payable, partially offset by a $0.5 million increase in prepaid expenses and other current assets and a $0.3 million decrease in operating lease liabilities. The increase in accrued expenses and other current liabilities and increase in accounts payable were primarily due to the timing of vendor and research partner payments and invoicing. The increase in prepaid expenses and other current assets is due to prepayments of material costs and insurance and license fees. The decrease in operating lease liabilities was primarily due to the lease payments made during the six months ended June 30, 2023.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2024 and 2023, net cash used in investing activities was $0 and $0.2 million, respectively. The change in net cash used in investing activities during the six months ended June 30, 2023 was due to purchases of property, equipment, and improvements.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2024 and 2023, net cash provided by and used in financing activities was $179.1 million and $0.3 million, respectively. Net cash provided by financing activities during the six months ended June 30, 2024 was primarily due to $94.6 in net proceeds after offering costs from the sale of shares pursuant to the Subscription Agreement, $85.2 million in gross proceeds before net cash deductions from the Merger and $0.6 million in proceeds from the exercise of stock options, partially offset by $1.2 million of payments of Merger transaction costs and $0.2 million in payments on our financing lease liability. Net cash used in financing activities during the six months ended June 30, 2023 was primarily due to $0.3 million of repayment of finance lease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our research and development programs;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sufficient additional capital on a timely basis and on favorable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process development and manufacturing scale-up activities associated with our product candidates and other programs as we advance them through preclinical and clinical development;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on favorable terms,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we enter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clinical trial costs under collaboration agreements,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in-license other product candidates and technologies;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and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publicly traded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we obtain regulatory approvals to market our product candidates; and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macroeconomic environment, including inflation and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evaluated certain adverse conditions and events that raise substantial doubt about our ability to continue as a going concern within twelve months after the date that the accompanying unaudited condensed consolidated financial statements were issued or available to be issued. We have funded our operations primarily with proceeds from the sale of common stock, preferred stock, issuance of convertible promissory notes, issuance of SAFEs and proceeds received at the closing of the Merger. We also have incurred significant recurring losses, including net losses of $12.7 million and $10.5 million for the three months ended June 30, 2024 and 2023, respectively, and $27.9 million and $24.9 million for the six months ended June 30, 2024 and 2023, respectively. In addition, we used $22.7 million and $20.5 million in operations for the six months ended June 30, 2024 and 2023, respectively. Our management believes that our current cash on hand is sufficient to fund our planned operations for at least one year from the date of issuance of these unaudited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our contractual obligations and commitments as of June 30, 2024: </w:t>
      </w:r>
    </w:p>
    <w:p>
      <w:pPr>
        <w:pStyle w:val="TextBody"/>
        <w:bidi w:val="0"/>
        <w:spacing w:before="0" w:after="0"/>
        <w:jc w:val="left"/>
        <w:rPr/>
      </w:pPr>
      <w:r>
        <w:rPr/>
        <w:t> </w:t>
      </w:r>
    </w:p>
    <w:tbl>
      <w:tblPr>
        <w:tblW w:w="8584" w:type="dxa"/>
        <w:jc w:val="left"/>
        <w:tblInd w:w="0" w:type="dxa"/>
        <w:tblLayout w:type="fixed"/>
        <w:tblCellMar>
          <w:top w:w="0" w:type="dxa"/>
          <w:left w:w="0" w:type="dxa"/>
          <w:bottom w:w="0" w:type="dxa"/>
          <w:right w:w="0" w:type="dxa"/>
        </w:tblCellMar>
      </w:tblPr>
      <w:tblGrid>
        <w:gridCol w:w="1430"/>
        <w:gridCol w:w="120"/>
        <w:gridCol w:w="349"/>
        <w:gridCol w:w="1396"/>
        <w:gridCol w:w="60"/>
        <w:gridCol w:w="120"/>
        <w:gridCol w:w="247"/>
        <w:gridCol w:w="988"/>
        <w:gridCol w:w="60"/>
        <w:gridCol w:w="120"/>
        <w:gridCol w:w="510"/>
        <w:gridCol w:w="949"/>
        <w:gridCol w:w="60"/>
        <w:gridCol w:w="120"/>
        <w:gridCol w:w="385"/>
        <w:gridCol w:w="715"/>
        <w:gridCol w:w="60"/>
        <w:gridCol w:w="120"/>
        <w:gridCol w:w="140"/>
        <w:gridCol w:w="56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 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to 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to 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396" w:type="dxa"/>
            <w:tcBorders/>
            <w:shd w:fill="CCEEFF" w:val="clear"/>
            <w:vAlign w:val="center"/>
          </w:tcPr>
          <w:p>
            <w:pPr>
              <w:pStyle w:val="TableContents"/>
              <w:bidi w:val="0"/>
              <w:spacing w:before="0" w:after="283"/>
              <w:jc w:val="right"/>
              <w:rPr/>
            </w:pPr>
            <w:r>
              <w:rPr/>
              <w:t>284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1,243</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right"/>
              <w:rPr/>
            </w:pPr>
            <w:r>
              <w:rPr/>
              <w:t>769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2,481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pBdr>
                <w:top w:val="single" w:sz="2" w:space="1" w:color="000000"/>
              </w:pBdr>
              <w:bidi w:val="0"/>
              <w:spacing w:before="0" w:after="0"/>
              <w:jc w:val="left"/>
              <w:rPr/>
            </w:pPr>
            <w:r>
              <w:rPr/>
              <w:t> </w:t>
            </w:r>
          </w:p>
        </w:tc>
        <w:tc>
          <w:tcPr>
            <w:tcW w:w="139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single" w:sz="2" w:space="1" w:color="000000"/>
              </w:pBdr>
              <w:bidi w:val="0"/>
              <w:spacing w:before="0" w:after="0"/>
              <w:jc w:val="left"/>
              <w:rPr/>
            </w:pPr>
            <w:r>
              <w:rPr/>
              <w:t> </w:t>
            </w:r>
          </w:p>
        </w:tc>
        <w:tc>
          <w:tcPr>
            <w:tcW w:w="9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71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396" w:type="dxa"/>
            <w:tcBorders/>
            <w:shd w:fill="CCEEFF" w:val="clear"/>
            <w:vAlign w:val="center"/>
          </w:tcPr>
          <w:p>
            <w:pPr>
              <w:pStyle w:val="TableContents"/>
              <w:bidi w:val="0"/>
              <w:spacing w:before="0" w:after="283"/>
              <w:jc w:val="right"/>
              <w:rPr/>
            </w:pPr>
            <w:r>
              <w:rPr/>
              <w:t>1,053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3,724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pBdr>
                <w:top w:val="double" w:sz="6" w:space="1" w:color="000000"/>
              </w:pBdr>
              <w:bidi w:val="0"/>
              <w:spacing w:before="0" w:after="0"/>
              <w:jc w:val="left"/>
              <w:rPr/>
            </w:pPr>
            <w:r>
              <w:rPr/>
              <w:t> </w:t>
            </w:r>
          </w:p>
        </w:tc>
        <w:tc>
          <w:tcPr>
            <w:tcW w:w="139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double" w:sz="6" w:space="1" w:color="000000"/>
              </w:pBdr>
              <w:bidi w:val="0"/>
              <w:spacing w:before="0" w:after="0"/>
              <w:jc w:val="left"/>
              <w:rPr/>
            </w:pPr>
            <w:r>
              <w:rPr/>
              <w:t> </w:t>
            </w:r>
          </w:p>
        </w:tc>
        <w:tc>
          <w:tcPr>
            <w:tcW w:w="9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71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w:t>
      </w:r>
    </w:p>
    <w:p>
      <w:pPr>
        <w:pStyle w:val="TextBody"/>
        <w:bidi w:val="0"/>
        <w:spacing w:before="360" w:after="0"/>
        <w:jc w:val="left"/>
        <w:rPr>
          <w:rFonts w:ascii="Times New Roman" w:hAnsi="Times New Roman"/>
          <w:i/>
          <w:sz w:val="20"/>
        </w:rPr>
      </w:pPr>
      <w:r>
        <w:rPr>
          <w:rFonts w:ascii="Times New Roman" w:hAnsi="Times New Roman"/>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we agreed to pay Harvard a one-time license fee of $170,000, with such fee to be paid in equal installments over three years. In July 2022, we paid Harvard $56,666 and in July 2023 we paid Harvard $56,666. The final installment of $56,668 under the Harvard License Agreement is due in July 2024. As partial consideration for the Harvard License Agreement, we entered into a subscription agreement with Harvard in July 2022, pursuant to which Harvard was granted 227,486 shares of our common stock with a fair market value in the mid six digits.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this agreement, see Note 7 to the interim condensed consolidated financial statements included elsewhere in this Quarterly Report. </w:t>
      </w:r>
    </w:p>
    <w:p>
      <w:pPr>
        <w:pStyle w:val="TextBody"/>
        <w:bidi w:val="0"/>
        <w:spacing w:before="360" w:after="0"/>
        <w:jc w:val="left"/>
        <w:rPr>
          <w:rFonts w:ascii="Times New Roman" w:hAnsi="Times New Roman"/>
          <w:i/>
          <w:sz w:val="20"/>
        </w:rPr>
      </w:pPr>
      <w:r>
        <w:rPr>
          <w:rFonts w:ascii="Times New Roman" w:hAnsi="Times New Roman"/>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we executed a license agreement with Alloy Therapeutics, LLC (“ATX”), whereby we will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 $0.1 million on each anniversary of the agreement. On November 7, 2022, we amended the agreement and extended the period of payment for the first fee due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2024 and 2023, we paid $0.1 million and $0.1 million to ATX,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we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Adimab agreement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We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we generate from products that utilize Adimab technology. We have the right to terminate the agreement if certain criteria are met. During the three months ended June 30, 2024 and 2023, we paid $0.2 million and less than $0.1 million to Adimab, respectively. During the six months ended June 30, 2024 and 2023, we paid $0.3 million and less than $0.1 million to Adimab,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While our significant accounting policies are described in greater detail in Note 2 to our audited annual consolidated financial statements, we believe that the following accounting policies are those most critical to the judgements and estimates used in the preparation of our interim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 and Accrued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 options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 </w:t>
      </w:r>
    </w:p>
    <w:p>
      <w:pPr>
        <w:pStyle w:val="TextBody"/>
        <w:bidi w:val="0"/>
        <w:spacing w:before="240" w:after="0"/>
        <w:jc w:val="left"/>
        <w:rPr>
          <w:rFonts w:ascii="Times New Roman" w:hAnsi="Times New Roman"/>
          <w:sz w:val="20"/>
        </w:rPr>
      </w:pPr>
      <w:r>
        <w:rPr>
          <w:rFonts w:ascii="Times New Roman" w:hAnsi="Times New Roman"/>
          <w:sz w:val="20"/>
        </w:rPr>
        <w:t>Prior to being publicly-traded, we estimated the grant date fair value of our common stock using an appropriate valuation methodology, in accordance with the framework of the American Institute of Certified Public Accountants’ Technical Practice Aid, </w:t>
      </w:r>
      <w:r>
        <w:rPr>
          <w:rFonts w:ascii="Times New Roman" w:hAnsi="Times New Roman"/>
          <w:i/>
          <w:sz w:val="20"/>
        </w:rPr>
        <w:t>Valuation of Privately-Held Company Equity Securities Issued as Compensation</w:t>
      </w:r>
      <w:r>
        <w:rPr>
          <w:rFonts w:ascii="Times New Roman" w:hAnsi="Times New Roman"/>
          <w:sz w:val="20"/>
        </w:rPr>
        <w:t xml:space="preserve">. Each valuation methodology included estimates and assumptions that required our judgment. These estimates and assumptions included a number of objective and subjective factors, including external market conditions, guideline public company information, the prices at which we sold convertible preferred stock to third parties in arms’ length transactions, the rights and preferences of securities senior to our common stock at the time and the likelihood of achieving a liquidity event such as an initial public offering or sale. Significant changes to the assumptions used in the valuations could result in different fair values at each valuation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our financial position, results of operations or cash flows is disclosed in Note 2 to our interim condensed consolidated financial statements included elsewhere in this Quarterly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 w:name="toc878693_11"/>
      <w:bookmarkEnd w:id="5"/>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primary exposure to market risk is to market risk related to interest rate sensitivity, which is affected by changes in the general level of U.S. interest rates. As of June 30, 2024, we had cash and cash equivalents of $185.1 million, which consisted of cash and money market funds. As of June 30, 2024, we had a finance lease liability and an operating lease liability of $1.1 million and $2.3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360" w:after="0"/>
        <w:jc w:val="left"/>
        <w:rPr>
          <w:rFonts w:ascii="Times New Roman" w:hAnsi="Times New Roman"/>
          <w:b/>
          <w:sz w:val="20"/>
        </w:rPr>
      </w:pPr>
      <w:r>
        <w:rPr>
          <w:rFonts w:ascii="Times New Roman" w:hAnsi="Times New Roman"/>
          <w:b/>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 </w:t>
      </w:r>
    </w:p>
    <w:p>
      <w:pPr>
        <w:pStyle w:val="TextBody"/>
        <w:bidi w:val="0"/>
        <w:spacing w:before="360" w:after="0"/>
        <w:jc w:val="left"/>
        <w:rPr>
          <w:rFonts w:ascii="Times New Roman" w:hAnsi="Times New Roman"/>
          <w:b/>
          <w:sz w:val="20"/>
        </w:rPr>
      </w:pPr>
      <w:bookmarkStart w:id="6" w:name="toc878693_12"/>
      <w:bookmarkEnd w:id="6"/>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with the participation of our Chief Executive Officer and our Chief Financial Officer, evaluated the effectiveness of our disclosure controls and procedures as of June 30, 2024, the end of the period covered by this Quarterly Report. Based on the evaluation of our disclosure controls and procedures as of June 30, 2024, our Chief Executive Officer and Chief Financial Officer concluded that, as of such date, our disclosure controls and procedures were effective at the reasonable assurance level.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we completed the Merger. Other than any changes relating to the integration of internal controls in connection with the Merger, 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78693_13"/>
      <w:bookmarkEnd w:id="7"/>
      <w:r>
        <w:rPr>
          <w:rFonts w:ascii="Times New Roman" w:hAnsi="Times New Roman"/>
          <w:b/>
          <w:sz w:val="20"/>
        </w:rPr>
        <w:t xml:space="preserve">PART II—OTHER INFORMATION </w:t>
      </w:r>
    </w:p>
    <w:p>
      <w:pPr>
        <w:pStyle w:val="TextBody"/>
        <w:bidi w:val="0"/>
        <w:spacing w:before="240" w:after="0"/>
        <w:jc w:val="left"/>
        <w:rPr>
          <w:rFonts w:ascii="Times New Roman" w:hAnsi="Times New Roman"/>
          <w:b/>
          <w:sz w:val="20"/>
        </w:rPr>
      </w:pPr>
      <w:bookmarkStart w:id="8" w:name="toc878693_14"/>
      <w:bookmarkEnd w:id="8"/>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of the merger between AVROBIO and Tectonic Therapeutic, Inc. on June 20, 2024, three actions were filed by purported stockholders of AVROBIO in connection with the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which was voluntarily dismissed without prejudice on June 13, 2024. Two actions have been filed in the Supreme Court of New York, captioned </w:t>
      </w:r>
      <w:r>
        <w:rPr>
          <w:rFonts w:ascii="Times New Roman" w:hAnsi="Times New Roman"/>
          <w:i/>
          <w:sz w:val="20"/>
        </w:rPr>
        <w:t>Price v. Avrobio, Inc., et al.</w:t>
      </w:r>
      <w:r>
        <w:rPr>
          <w:rFonts w:ascii="Times New Roman" w:hAnsi="Times New Roman"/>
          <w:sz w:val="20"/>
        </w:rPr>
        <w:t xml:space="preserve">, No. 652555/2024 (filed May 17, 2024) and </w:t>
      </w:r>
      <w:r>
        <w:rPr>
          <w:rFonts w:ascii="Times New Roman" w:hAnsi="Times New Roman"/>
          <w:i/>
          <w:sz w:val="20"/>
        </w:rPr>
        <w:t>Keller v. Avrobio, Inc., et al.</w:t>
      </w:r>
      <w:r>
        <w:rPr>
          <w:rFonts w:ascii="Times New Roman" w:hAnsi="Times New Roman"/>
          <w:sz w:val="20"/>
        </w:rPr>
        <w:t xml:space="preserve">, No. 652597/2024 (filed May 21, 2024). The foregoing actions are referred to as the “Merger Actions.”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definitive merger agreement. The </w:t>
      </w:r>
      <w:r>
        <w:rPr>
          <w:rFonts w:ascii="Times New Roman" w:hAnsi="Times New Roman"/>
          <w:i/>
          <w:sz w:val="20"/>
        </w:rPr>
        <w:t>Price</w:t>
      </w:r>
      <w:r>
        <w:rPr>
          <w:rFonts w:ascii="Times New Roman" w:hAnsi="Times New Roman"/>
          <w:sz w:val="20"/>
        </w:rPr>
        <w:t xml:space="preserve"> and </w:t>
      </w:r>
      <w:r>
        <w:rPr>
          <w:rFonts w:ascii="Times New Roman" w:hAnsi="Times New Roman"/>
          <w:i/>
          <w:sz w:val="20"/>
        </w:rPr>
        <w:t>Keller</w:t>
      </w:r>
      <w:r>
        <w:rPr>
          <w:rFonts w:ascii="Times New Roman" w:hAnsi="Times New Roman"/>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 w:name="toc878693_15"/>
      <w:bookmarkEnd w:id="9"/>
      <w:r>
        <w:rPr>
          <w:rFonts w:ascii="Times New Roman" w:hAnsi="Times New Roman"/>
          <w:b/>
          <w:sz w:val="20"/>
        </w:rPr>
        <w:t xml:space="preserve">Item 1A. 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You should carefully consider the risks described below, as well as general economic and business risks and the other information in this Quarterly Report.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 Summary </w:t>
      </w:r>
    </w:p>
    <w:p>
      <w:pPr>
        <w:pStyle w:val="TextBody"/>
        <w:bidi w:val="0"/>
        <w:spacing w:before="120" w:after="0"/>
        <w:jc w:val="left"/>
        <w:rPr>
          <w:rFonts w:ascii="Times New Roman" w:hAnsi="Times New Roman"/>
          <w:sz w:val="20"/>
        </w:rPr>
      </w:pPr>
      <w:r>
        <w:rPr>
          <w:rFonts w:ascii="Times New Roman" w:hAnsi="Times New Roman"/>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have incurred net losses in every year since our inception, and expect to continue to incur net losses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experience in therapeutic discovery and development and our GEODe™ platform may never result in the regulatory approval of a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commercialize any product candidate for which we receive regulatory approval, or experience significant delays in doing so, our business will be materially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in part on our ability to protect our intellectual property. It is difficult and costly to protect our proprietary rights and technology, and we may not be able to ensure their protection.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intellectual property licensed from third parties and termination of any of these licenses could result in the loss of significant rights, which would harm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we are unable to use third-party manufacturing suites or if the third-party manufacturers encounter difficulties in production.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is expected to be volatile, and the market price of the common stock may drop.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attract and retain management and other key personnel, we may be unable to continue to successfully develop or commercialize our product candidates or otherwise implement our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Financial Position and Cash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incurred net losses in every year since our inception. We expect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June 30, 2024 and 2023, we reported a net loss of $12.7 million and $10.5 million, respectively. As of June 30, 2024, we had an accumulated deficit of $118.5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the research and development of our clinical- and preclinical-stage product candidates and discovery-stage programs, including the continued development of our lead product candidate TX45;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the amount of research and development activities to identify and develop product candidates using our proprietary discovery approach;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under in-license or collaboration agreements;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development, manufacturing and commercialization efforts and our operations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medical affairs and distribution infrastructure to commercialize any products for which we may obtain marketing approval and intend to commercialize on our own or jointly with third parties;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 in or in-license other technologies;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any issues with any of the above, including but not limited to failed studies, complex results, manufacturing challenges, safety issues or other regulatory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funded our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complete the Phase 1 clinical trial of TX45, continue our Phase 1b and Phase 2 clinical trials of TX45,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we are required to make or are eligible to receive under our license agreements with President and Fellows of Harvard College (“Harvard”) and other license agreements, as applicable;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we identify and decide to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we plan to conduct with respect to our current and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our current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our existing license and collaboration agreements and the entry into new license and collaboration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our product candidates and any delays we may encounter as a result of evolving regulatory requirements or adverse results with respect to any of our product candidates;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we may receive regulatory approval in regions where we choose to commercialize our products on our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we may derive either directly or in the form of royalty payments from future sales of our product candidates, if approved; and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Israel and Hamas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our stockholders, and may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Development and Regulatory Approval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limited experience in therapeutic discovery and development and our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1 clinical trials, and recently initiated a Phase 2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product revenues, which we do not expect will occur in the foreseeable future, if ever, will depend heavily on the successful development and eventual commercialization of TX45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our planned clinical trials or future clinical trials;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our product candidates from applicable regulatory authorities;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our clinical trials and commercial manufacturing, if any of our product candidates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our product candidates, both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our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 candidates’ benefits and uses, if approved, by patients, the medical community and third-party payors;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our product candidates following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our product candidates target;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completed any clinical trials required for the approval of any of our product candidates. Although we have completed dosing in our Phase 1a clinical trial of TX45 in healthy volunteers, and we have initiated a Phase 1b and Phase 2 clinical trials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contract research organizations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our product candidates for use in clinical trials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research contractors to comply with regulatory requirements or meet their contractual obligations to us in a timely manner, or at all;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our product candidates falling below acceptable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our ongoing Phase 1 clinical trials of TX45, the recently initiated Phase 2 clinical trials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us to take such approved product off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limitations on how we may promote the product;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or product liability claims; and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of one of our trial sites in Moldova for the Phase 1b trial and its proximity to the conflict between Russia and the Ukraine;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our approach;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but as the date of this report,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Phase 1a,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we are ultimately unable to obtain regulatory approval for our product candidates,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could fail to receive regulatory approval for many reasons,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we seek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we currently anticipate;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license approvals;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our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products due to negative public perception;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our product candidates, if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Commercialization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our ability to market such products;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we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are not able to do any of the foregoing, our business, financial condition, results of operations, stock price and prospects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treatments that could potentially be of use across all HFpEF patients, such as are currently being developed by Lilly and others, could also benefit the Group 2 PH subgroup of the HFpEF population and thus represent competition for us in this segment as well.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train and retain adequate numbers of effective sales and marketing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our product candidates are approved;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our product candidates as a safe and effective treatment;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 candidates in relation to other potentially competitive products;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our product candidates in relation to alternative treatments;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our product candidates;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and distribution support; and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our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0"/>
        <w:jc w:val="left"/>
        <w:rPr>
          <w:rFonts w:ascii="Times New Roman" w:hAnsi="Times New Roman"/>
          <w:sz w:val="20"/>
        </w:rPr>
      </w:pPr>
      <w:r>
        <w:rPr>
          <w:rFonts w:ascii="Times New Roman" w:hAnsi="Times New Roman"/>
          <w:sz w:val="20"/>
        </w:rPr>
        <w:t xml:space="preserve">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materially and adversely affected in the future by political unrest in China, as well as the effects of disease outbreaks, epidemics and pandemics. </w:t>
      </w:r>
    </w:p>
    <w:p>
      <w:pPr>
        <w:pStyle w:val="TextBody"/>
        <w:bidi w:val="0"/>
        <w:spacing w:before="120" w:after="0"/>
        <w:jc w:val="left"/>
        <w:rPr>
          <w:rFonts w:ascii="Times New Roman" w:hAnsi="Times New Roman"/>
          <w:sz w:val="20"/>
        </w:rPr>
      </w:pPr>
      <w:r>
        <w:rPr>
          <w:rFonts w:ascii="Times New Roman" w:hAnsi="Times New Roman"/>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TX45 and any potential future product candidates,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our clinical trial sites to obtain basic medical supplies used in our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Recent or future patent reform legislation could increase the uncertainties and costs surrounding the prosecution of our patent applications and the enforcement or defense of our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our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our product candidates but that are not covered by the claims of our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our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may fail to meet our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might not have been the first to file patent applications for these inventions;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patent applications will not result in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us or our licensors’ patents, as the case may be, or parts of ours or their patents;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our owned or in-licensed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our products or technology similar to our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ours or our licensors’, as the case may be, proprietary rights to the same extent as the laws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claims of our owned or in-licensed issued patents or patent applications, if and when issued, may not cover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owned or in-licensed issued patents may not provide us with any competitive advantages, may be narrowed in scope, or be held invalid or unenforceable as a result of legal challenges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engaged in scientific collaborations in the past, and will continue to do so in the future. Such collaborators may develop adjacent or competing products to ours that are outside the scope of our patents;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for which we can obtain patent protection.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we develop may be covered by third parties’ patents or other exclusive rights; or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also arise between us and our licensors regarding intellectual property subject to a license agreement,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our licensors and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under our patent license with a third party,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240" w:after="0"/>
        <w:jc w:val="left"/>
        <w:rPr>
          <w:rFonts w:ascii="Times New Roman" w:hAnsi="Times New Roman"/>
          <w:sz w:val="20"/>
        </w:rPr>
      </w:pPr>
      <w:r>
        <w:rPr>
          <w:rFonts w:ascii="Times New Roman" w:hAnsi="Times New Roman"/>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 xml:space="preserve">inter partes </w:t>
      </w:r>
      <w:r>
        <w:rPr>
          <w:rFonts w:ascii="Times New Roman" w:hAnsi="Times New Roman"/>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240" w:after="0"/>
        <w:jc w:val="left"/>
        <w:rPr>
          <w:rFonts w:ascii="Times New Roman" w:hAnsi="Times New Roman"/>
          <w:sz w:val="20"/>
        </w:rPr>
      </w:pPr>
      <w:r>
        <w:rPr>
          <w:rFonts w:ascii="Times New Roman" w:hAnsi="Times New Roman"/>
          <w:sz w:val="20"/>
        </w:rPr>
        <w:t xml:space="preserve">If a third-party claims that we infringe its intellectual property rights, we may face a number of issues,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our management’s attention from our core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us from developing, manufacturing, marketing or selling our product candidates, or from using our proprietary technologies, unless the third party licenses its product rights to us, which it is not required to do;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its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redesigning our product candidates or processes so they do not infringe, which may not be possible or may require substantial monetary expenditures and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our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24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candidates may also require specific formulations to work effectively and efficiently and these rights may be held by others. We may develop products containing its compounds and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involved in lawsuits to protect or enforce our patents or the patents of our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patents or the patents of our licensors. To counter infringement or unauthorized use, we may be required to file infringement claims, which can be expensive and time- 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choose to challenge the patentability of claims in a third party’s U.S. patent by requesting that the USPTO review the patent claims in an </w:t>
      </w:r>
      <w:r>
        <w:rPr>
          <w:rFonts w:ascii="Times New Roman" w:hAnsi="Times New Roman"/>
          <w:i/>
          <w:sz w:val="20"/>
        </w:rPr>
        <w:t>ex-parte</w:t>
      </w:r>
      <w:r>
        <w:rPr>
          <w:rFonts w:ascii="Times New Roman" w:hAnsi="Times New Roman"/>
          <w:sz w:val="20"/>
        </w:rPr>
        <w:t xml:space="preserve"> re-exam, </w:t>
      </w:r>
      <w:r>
        <w:rPr>
          <w:rFonts w:ascii="Times New Roman" w:hAnsi="Times New Roman"/>
          <w:i/>
          <w:sz w:val="20"/>
        </w:rPr>
        <w:t xml:space="preserve">inter partes </w:t>
      </w:r>
      <w:r>
        <w:rPr>
          <w:rFonts w:ascii="Times New Roman" w:hAnsi="Times New Roman"/>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24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2041 through 2042, without taking into account any possible patent term adjustments or extensions. However, we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our ability to protect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sz w:val="20"/>
        </w:rPr>
        <w:t xml:space="preserve">Amgen Inc. v. Sanofi, </w:t>
      </w:r>
      <w:r>
        <w:rPr>
          <w:rFonts w:ascii="Times New Roman" w:hAnsi="Times New Roman"/>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w:t>
      </w:r>
      <w:r>
        <w:rPr>
          <w:rFonts w:ascii="Times New Roman" w:hAnsi="Times New Roman"/>
          <w:sz w:val="20"/>
        </w:rPr>
        <w:t xml:space="preserve"> </w:t>
      </w:r>
      <w:r>
        <w:rPr>
          <w:rFonts w:ascii="Times New Roman" w:hAnsi="Times New Roman"/>
          <w:i/>
          <w:sz w:val="20"/>
        </w:rPr>
        <w:t xml:space="preserve">Pathology v. Myriad Genetics, Inc., </w:t>
      </w:r>
      <w:r>
        <w:rPr>
          <w:rFonts w:ascii="Times New Roman" w:hAnsi="Times New Roman"/>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costs as a result of litigation or other proceedings relating to patents, and we may be unable to protect our rights to our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24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240" w:after="0"/>
        <w:jc w:val="left"/>
        <w:rPr>
          <w:rFonts w:ascii="Times New Roman" w:hAnsi="Times New Roman"/>
          <w:sz w:val="20"/>
        </w:rPr>
      </w:pPr>
      <w:r>
        <w:rPr>
          <w:rFonts w:ascii="Times New Roman" w:hAnsi="Times New Roman"/>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sz w:val="20"/>
        </w:rPr>
        <w:t xml:space="preserve">inter partes </w:t>
      </w:r>
      <w:r>
        <w:rPr>
          <w:rFonts w:ascii="Times New Roman" w:hAnsi="Times New Roman"/>
          <w:sz w:val="20"/>
        </w:rPr>
        <w:t xml:space="preserve">review, </w:t>
      </w:r>
      <w:r>
        <w:rPr>
          <w:rFonts w:ascii="Times New Roman" w:hAnsi="Times New Roman"/>
          <w:i/>
          <w:sz w:val="20"/>
        </w:rPr>
        <w:t xml:space="preserve">ex parte </w:t>
      </w:r>
      <w:r>
        <w:rPr>
          <w:rFonts w:ascii="Times New Roman" w:hAnsi="Times New Roman"/>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Patent terms may be inadequate to protect our competitive position on our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patent term extension and data exclusivity for any product candidates we may develop,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Phase 1b and the recently initiated Phase 2 clinical trials. We currently have a sole source relationship with WuXi Biologics for our supply of TX45.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our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collaborations will be important to our business. If we are unable to enter into new collaborations, or if these collaborations are not successful,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future collaborations we enter into may pose a number of risks, including, but not limited to, the following: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our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ours is involved in a business combination, the collaborator might deemphasize or terminate the development or commercialization of any product candidate licensed to it by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we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Risks Related to Our Business Operations, Employee Matters and Managing Growth</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a product candidate in the clinical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internal computer systems, or those of our collaborators or other contractors or consultants, may fail or suffer security breaches, which could result in a significant disruption of our product development programs and our ability to operate our business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t>
      </w:r>
    </w:p>
    <w:p>
      <w:pPr>
        <w:pStyle w:val="TextBody"/>
        <w:bidi w:val="0"/>
        <w:spacing w:before="240" w:after="0"/>
        <w:jc w:val="left"/>
        <w:rPr>
          <w:rFonts w:ascii="Times New Roman" w:hAnsi="Times New Roman"/>
          <w:sz w:val="20"/>
        </w:rPr>
      </w:pPr>
      <w:r>
        <w:rPr>
          <w:rFonts w:ascii="Times New Roman" w:hAnsi="Times New Roman"/>
          <w:sz w:val="20"/>
        </w:rPr>
        <w:t xml:space="preserve">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including civil or criminal penalties, private litigation, and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upon which we rely process certain of that information on 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240" w:after="0"/>
        <w:jc w:val="left"/>
        <w:rPr>
          <w:rFonts w:ascii="Times New Roman" w:hAnsi="Times New Roman"/>
          <w:sz w:val="20"/>
        </w:rPr>
      </w:pPr>
      <w:r>
        <w:rPr>
          <w:rFonts w:ascii="Times New Roman" w:hAnsi="Times New Roman"/>
          <w:sz w:val="20"/>
        </w:rPr>
        <w:t xml:space="preserve">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earthquakes, fires or other natural disasters and our business continuity and disaster recovery plans may not adequately protect us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we formed a wholly-owned Australian subsidiary, Tectonic Therapeutic Pty Ltd., to conduct various preclinical studies and clinical trials for our product candidates in Australia. Due to the geographical distance and lack of employees currently in Australia, as well as our lack of experience operating in Australia, we may not be able to efficiently or successfully monitor our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U.S. federal net operating loss carryforwards of approximately $43.6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utilize our net operating loss carryforwards could be limited by an “ownership change” as described above, which could result in increased tax liability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CMOs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incur significantly increased costs as a result of operating as a public company, and our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build our finance infrastructure and improve our accounting systems and controls could impair our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have filed lawsuits relating to the Merger and additional lawsuits could be filed.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which was voluntarily dismissed without prejudice on June 13, 2024. Two actions have been filed in the Supreme Court of New York, captioned </w:t>
      </w:r>
      <w:r>
        <w:rPr>
          <w:rFonts w:ascii="Times New Roman" w:hAnsi="Times New Roman"/>
          <w:i/>
          <w:sz w:val="20"/>
        </w:rPr>
        <w:t>Price v. Avrobio, Inc., et al.</w:t>
      </w:r>
      <w:r>
        <w:rPr>
          <w:rFonts w:ascii="Times New Roman" w:hAnsi="Times New Roman"/>
          <w:sz w:val="20"/>
        </w:rPr>
        <w:t xml:space="preserve">, No. 652555/2024 (filed May 17, 2024) and </w:t>
      </w:r>
      <w:r>
        <w:rPr>
          <w:rFonts w:ascii="Times New Roman" w:hAnsi="Times New Roman"/>
          <w:i/>
          <w:sz w:val="20"/>
        </w:rPr>
        <w:t>Keller v. Avrobio, Inc., et al.</w:t>
      </w:r>
      <w:r>
        <w:rPr>
          <w:rFonts w:ascii="Times New Roman" w:hAnsi="Times New Roman"/>
          <w:sz w:val="20"/>
        </w:rPr>
        <w:t xml:space="preserve">, No. 652597/2024 (filed May 21, 2024). The foregoing actions are referred to as the “Merger Actions.”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sz w:val="20"/>
        </w:rPr>
        <w:t>Price</w:t>
      </w:r>
      <w:r>
        <w:rPr>
          <w:rFonts w:ascii="Times New Roman" w:hAnsi="Times New Roman"/>
          <w:sz w:val="20"/>
        </w:rPr>
        <w:t xml:space="preserve"> and </w:t>
      </w:r>
      <w:r>
        <w:rPr>
          <w:rFonts w:ascii="Times New Roman" w:hAnsi="Times New Roman"/>
          <w:i/>
          <w:sz w:val="20"/>
        </w:rPr>
        <w:t>Keller</w:t>
      </w:r>
      <w:r>
        <w:rPr>
          <w:rFonts w:ascii="Times New Roman" w:hAnsi="Times New Roman"/>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has been and is likely to continue to be volatile and fluctuate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or existing or future collaborators;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do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us or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our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our business, or if they issue adverse or misleading opinions regarding our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us, the selling stockholders or other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raise an adequate amount of capital to fund our operations or continued development of our product candidates;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our product candidates;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240" w:after="0"/>
        <w:jc w:val="left"/>
        <w:rPr>
          <w:rFonts w:ascii="Times New Roman" w:hAnsi="Times New Roman"/>
          <w:sz w:val="20"/>
        </w:rPr>
      </w:pPr>
      <w:r>
        <w:rPr>
          <w:rFonts w:ascii="Times New Roman" w:hAnsi="Times New Roman"/>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Subscription Agreement, we filed a resale shelf registration statement covering the resale of up to an aggregate of 2,969,583 shares of our common stock, which was declared effective on July 30, 2024. The common stock being offered for resale pursuant to the resale shelf registration statement by the selling stockholders would represent approximately 20.2% of our outstanding common stock as of August 9, 2024.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shares are subject to lock-up agreements between AVROBIO and Legacy Tectonic.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officers, directors and principal stockholders have the ability to control or significantly influence all matters submitted to our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outstanding as of June 30,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us, our business or our market,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our cash and cash equivalents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share capital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Provisions in our charter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Board without stockholder approval and may contain voting, liquidation, dividend and other rights superior to our common stock;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the Board, the chairperson of the Board, our Chief Executive Officer or our President;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the Board;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be removed only for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Board may be filled only by a majority of directors then in office, even though less than a quorum;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Board to modify, alter or repeal our amended and restated by-laws; and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our common stock to amend specified provisions of our charter and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0"/>
        <w:jc w:val="left"/>
        <w:rPr>
          <w:rFonts w:ascii="Times New Roman" w:hAnsi="Times New Roman"/>
          <w:b/>
          <w:sz w:val="20"/>
        </w:rPr>
      </w:pPr>
      <w:bookmarkStart w:id="10" w:name="toc878693_16"/>
      <w:bookmarkEnd w:id="10"/>
      <w:r>
        <w:rPr>
          <w:rFonts w:ascii="Times New Roman" w:hAnsi="Times New Roman"/>
          <w:b/>
          <w:sz w:val="20"/>
        </w:rPr>
        <w:t xml:space="preserve">Item 2. Unregistered Sales of Equity Securities and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1" w:name="toc878693_17"/>
      <w:bookmarkEnd w:id="11"/>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2" w:name="toc878693_18"/>
      <w:bookmarkEnd w:id="12"/>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3" w:name="toc878693_19"/>
      <w:bookmarkEnd w:id="13"/>
      <w:r>
        <w:rPr>
          <w:rFonts w:ascii="Times New Roman" w:hAnsi="Times New Roman"/>
          <w:b/>
          <w:sz w:val="20"/>
        </w:rPr>
        <w:t xml:space="preserve">Item 5.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4" w:name="toc878693_20"/>
      <w:bookmarkEnd w:id="14"/>
      <w:r>
        <w:rPr>
          <w:rFonts w:ascii="Times New Roman" w:hAnsi="Times New Roman"/>
          <w:b/>
          <w:sz w:val="20"/>
        </w:rPr>
        <w:t xml:space="preserve">Item 6.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5030"/>
        <w:gridCol w:w="120"/>
        <w:gridCol w:w="122"/>
        <w:gridCol w:w="468"/>
        <w:gridCol w:w="60"/>
        <w:gridCol w:w="120"/>
        <w:gridCol w:w="60"/>
        <w:gridCol w:w="864"/>
        <w:gridCol w:w="60"/>
        <w:gridCol w:w="120"/>
        <w:gridCol w:w="74"/>
        <w:gridCol w:w="696"/>
        <w:gridCol w:w="60"/>
        <w:gridCol w:w="120"/>
        <w:gridCol w:w="122"/>
        <w:gridCol w:w="1023"/>
        <w:gridCol w:w="76"/>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6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Incorporation by Reference</w:t>
            </w:r>
          </w:p>
        </w:tc>
        <w:tc>
          <w:tcPr>
            <w:tcW w:w="76" w:type="dxa"/>
            <w:tcBorders/>
            <w:vAlign w:val="center"/>
          </w:tcPr>
          <w:p>
            <w:pPr>
              <w:pStyle w:val="TableContents"/>
              <w:bidi w:val="0"/>
              <w:spacing w:before="0" w:after="283"/>
              <w:jc w:val="left"/>
              <w:rPr/>
            </w:pPr>
            <w:r>
              <w:rPr/>
              <w:t> </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50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File No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6"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w:anchor="d878693dex31.htm">
              <w:r>
                <w:rPr>
                  <w:rStyle w:val="InternetLink"/>
                </w:rPr>
                <w:t xml:space="preserve">Fourth Amended and Restated Certificate of Incorporation, as amended through June 20, 2024.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r:id="rId2">
              <w:r>
                <w:rPr>
                  <w:rStyle w:val="InternetLink"/>
                </w:rPr>
                <w:t>Amended and Restated Bylaws, as currently in effect.</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6/25/2018</w:t>
            </w:r>
          </w:p>
        </w:tc>
        <w:tc>
          <w:tcPr>
            <w:tcW w:w="76"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r:id="rId3">
              <w:r>
                <w:rPr>
                  <w:rStyle w:val="InternetLink"/>
                </w:rPr>
                <w:t xml:space="preserve">Contingent Value Rights Agreement dated June 20, 2024, by and between Tectonic Therapeutic, Inc. and Computershare Trust Company, LLC.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6"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r:id="rId4">
              <w:r>
                <w:rPr>
                  <w:rStyle w:val="InternetLink"/>
                </w:rPr>
                <w:t xml:space="preserve">Form of Indemnification Agreement between Tectonic Therapeutic, Inc. and each of its directors and executive officers.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6"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1"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r:id="rId5">
              <w:r>
                <w:rPr>
                  <w:rStyle w:val="InternetLink"/>
                </w:rPr>
                <w:t>2019 Equity Incentive Plan of Tectonic Therapeutic, Inc., and form of award agreements thereunder.</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333-277048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2/14/2024</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22"/>
        <w:gridCol w:w="120"/>
        <w:gridCol w:w="5036"/>
        <w:gridCol w:w="120"/>
        <w:gridCol w:w="122"/>
        <w:gridCol w:w="468"/>
        <w:gridCol w:w="60"/>
        <w:gridCol w:w="120"/>
        <w:gridCol w:w="60"/>
        <w:gridCol w:w="825"/>
        <w:gridCol w:w="60"/>
        <w:gridCol w:w="120"/>
        <w:gridCol w:w="74"/>
        <w:gridCol w:w="696"/>
        <w:gridCol w:w="60"/>
        <w:gridCol w:w="120"/>
        <w:gridCol w:w="122"/>
        <w:gridCol w:w="1023"/>
        <w:gridCol w:w="77"/>
      </w:tblGrid>
      <w:tr>
        <w:trPr/>
        <w:tc>
          <w:tcPr>
            <w:tcW w:w="9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Incorporation by Reference</w:t>
            </w:r>
          </w:p>
        </w:tc>
        <w:tc>
          <w:tcPr>
            <w:tcW w:w="77" w:type="dxa"/>
            <w:tcBorders/>
            <w:vAlign w:val="center"/>
          </w:tcPr>
          <w:p>
            <w:pPr>
              <w:pStyle w:val="TableContents"/>
              <w:bidi w:val="0"/>
              <w:spacing w:before="0" w:after="283"/>
              <w:jc w:val="left"/>
              <w:rPr/>
            </w:pPr>
            <w:r>
              <w:rPr/>
              <w:t> </w:t>
            </w:r>
          </w:p>
        </w:tc>
      </w:tr>
      <w:tr>
        <w:trPr/>
        <w:tc>
          <w:tcPr>
            <w:tcW w:w="922"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50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File No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r:id="rId6">
              <w:r>
                <w:rPr>
                  <w:rStyle w:val="InternetLink"/>
                </w:rPr>
                <w:t xml:space="preserve">Tectonic Therapeutic, Inc. 2024 Equity Incentive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r:id="rId7">
              <w:r>
                <w:rPr>
                  <w:rStyle w:val="InternetLink"/>
                </w:rPr>
                <w:t xml:space="preserve">Forms of Option Grant Notice, Option Agreement and Notice of Exercise under Tectonic Therapeutic, Inc. 2024 Equity Incentive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r:id="rId8">
              <w:r>
                <w:rPr>
                  <w:rStyle w:val="InternetLink"/>
                </w:rPr>
                <w:t xml:space="preserve">Tectonic Therapeutic, Inc. 2024 Employee Stock Purchase Plan.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r:id="rId9">
              <w:r>
                <w:rPr>
                  <w:rStyle w:val="InternetLink"/>
                </w:rPr>
                <w:t xml:space="preserve">Amended and Restated Employment Agreement, dated as of June 20, 2024, by and between Tectonic Therapeutic, Inc. and Alise Reicin, M.D.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001-38537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6/20/2024</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r:id="rId10">
              <w:r>
                <w:rPr>
                  <w:rStyle w:val="InternetLink"/>
                </w:rPr>
                <w:t xml:space="preserve">Form of Severance Plan and Form of Participation Agreement of Tectonic Therapeutic, Inc.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333-277048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pPr>
            <w:r>
              <w:rPr/>
              <w:t>10.47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4/15/2024</w:t>
            </w:r>
          </w:p>
        </w:tc>
        <w:tc>
          <w:tcPr>
            <w:tcW w:w="77" w:type="dxa"/>
            <w:tcBorders/>
            <w:vAlign w:val="center"/>
          </w:tcPr>
          <w:p>
            <w:pPr>
              <w:pStyle w:val="TableContents"/>
              <w:bidi w:val="0"/>
              <w:spacing w:before="0" w:after="283"/>
              <w:jc w:val="left"/>
              <w:rPr/>
            </w:pPr>
            <w:r>
              <w:rPr/>
              <w:t> </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w:anchor="d878693dex311.htm">
              <w:r>
                <w:rPr>
                  <w:rStyle w:val="InternetLink"/>
                </w:rPr>
                <w:t xml:space="preserve">Certification of Principal Executive Officer Pursuant to Rules 13a-14(a) and 15d-14(a)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w:anchor="d878693dex312.htm">
              <w:r>
                <w:rPr>
                  <w:rStyle w:val="InternetLink"/>
                </w:rPr>
                <w:t xml:space="preserve">Certification of Principal Financial Officer Pursuant to Rules 13a-14(a) and 15d-14(a)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hyperlink w:anchor="d878693dex321.htm">
              <w:r>
                <w:rPr>
                  <w:rStyle w:val="InternetLink"/>
                </w:rPr>
                <w:t>Certification of Principal Executive Officer and Principal Financial Officer, Pursuant to 18 U.S.C. Section 1350, as Adopted Pursuant to Section 906 of the Sarbanes-Oxley Act of 2002.</w:t>
              </w:r>
            </w:hyperlink>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r>
              <w:rPr/>
              <w:t>Inline XBRL Instance Document – the instance document does not appear in the Interactive Data File as its XBRL tags are embedded within the Inline XBRL document</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r>
              <w:rPr/>
              <w:t>XBRL Taxonomy Extension Schema Document with Embedded Linkbase Documents</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5156"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036" w:type="dxa"/>
            <w:tcBorders/>
            <w:vAlign w:val="center"/>
          </w:tcPr>
          <w:p>
            <w:pPr>
              <w:pStyle w:val="TableContents"/>
              <w:bidi w:val="0"/>
              <w:spacing w:before="0" w:after="283"/>
              <w:jc w:val="left"/>
              <w:rPr/>
            </w:pPr>
            <w:r>
              <w:rPr/>
              <w:t>Cover page formatted as Inline XBRL and contained in Exhibit 101</w:t>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7090" w:type="dxa"/>
        <w:jc w:val="left"/>
        <w:tblInd w:w="0" w:type="dxa"/>
        <w:tblLayout w:type="fixed"/>
        <w:tblCellMar>
          <w:top w:w="0" w:type="dxa"/>
          <w:left w:w="0" w:type="dxa"/>
          <w:bottom w:w="0" w:type="dxa"/>
          <w:right w:w="0" w:type="dxa"/>
        </w:tblCellMar>
      </w:tblPr>
      <w:tblGrid>
        <w:gridCol w:w="155"/>
        <w:gridCol w:w="6935"/>
      </w:tblGrid>
      <w:tr>
        <w:trPr/>
        <w:tc>
          <w:tcPr>
            <w:tcW w:w="155"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78693_21"/>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TECTONIC THERAPEUTIC,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14,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Alise Reicin, M.D.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Alise Reicin, M.D.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President and Chief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i/>
              </w:rPr>
            </w:pPr>
            <w:r>
              <w:rPr>
                <w:i/>
              </w:rPr>
              <w:t>(Principal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14,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Daniel Lochner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Daniel Lochner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Chief Financial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(Principal Financial Officer and Principal</w:t>
            </w:r>
          </w:p>
          <w:p>
            <w:pPr>
              <w:pStyle w:val="TableContents"/>
              <w:bidi w:val="0"/>
              <w:spacing w:before="0" w:after="20"/>
              <w:jc w:val="center"/>
              <w:rPr>
                <w:rFonts w:ascii="Times New Roman" w:hAnsi="Times New Roman"/>
                <w:i/>
                <w:sz w:val="20"/>
              </w:rPr>
            </w:pPr>
            <w:r>
              <w:rPr>
                <w:rFonts w:ascii="Times New Roman" w:hAnsi="Times New Roman"/>
                <w:i/>
                <w:sz w:val="20"/>
              </w:rPr>
              <w:t>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p>
    <w:p>
      <w:pPr>
        <w:pStyle w:val="TextBody"/>
        <w:bidi w:val="0"/>
        <w:spacing w:before="0" w:after="0"/>
        <w:jc w:val="right"/>
        <w:rPr>
          <w:rFonts w:ascii="Times New Roman" w:hAnsi="Times New Roman"/>
          <w:b/>
          <w:sz w:val="20"/>
        </w:rPr>
      </w:pPr>
      <w:bookmarkStart w:id="16" w:name="d878693dex31.htm"/>
      <w:bookmarkStart w:id="17" w:name="ksd878693dex31"/>
      <w:bookmarkEnd w:id="16"/>
      <w:bookmarkEnd w:id="17"/>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Upon this Certificate of Amendment becoming effective (the Effective Time) pursuant to the DGCL, each twelve (12)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That the foregoing amendment shall become effective at 4:00 p.m. eastern on June 20, 2024.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20th day of June,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AVROBIO,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0"/>
              <w:jc w:val="left"/>
              <w:rPr>
                <w:rFonts w:ascii="Times New Roman" w:hAnsi="Times New Roman"/>
                <w:sz w:val="20"/>
              </w:rPr>
            </w:pPr>
            <w:r>
              <w:rPr>
                <w:rFonts w:ascii="Times New Roman" w:hAnsi="Times New Roman"/>
                <w:sz w:val="20"/>
              </w:rPr>
              <w:t>President, Interim Chief Executive Officer,</w:t>
            </w:r>
          </w:p>
          <w:p>
            <w:pPr>
              <w:pStyle w:val="TableContents"/>
              <w:bidi w:val="0"/>
              <w:spacing w:before="0" w:after="20"/>
              <w:jc w:val="left"/>
              <w:rPr>
                <w:rFonts w:ascii="Times New Roman" w:hAnsi="Times New Roman"/>
                <w:sz w:val="20"/>
              </w:rPr>
            </w:pPr>
            <w:r>
              <w:rPr>
                <w:rFonts w:ascii="Times New Roman" w:hAnsi="Times New Roman"/>
                <w:sz w:val="20"/>
              </w:rPr>
              <w:t>Chief Financial Officer and Treasurer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a new Article X thereto to read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That the foregoing amendment shall become effective at 4:01 p.m. eastern on June 20, 2024.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20th day of June,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AVROBIO,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0"/>
              <w:jc w:val="left"/>
              <w:rPr>
                <w:rFonts w:ascii="Times New Roman" w:hAnsi="Times New Roman"/>
                <w:sz w:val="20"/>
              </w:rPr>
            </w:pPr>
            <w:r>
              <w:rPr>
                <w:rFonts w:ascii="Times New Roman" w:hAnsi="Times New Roman"/>
                <w:sz w:val="20"/>
              </w:rPr>
              <w:t>President, Interim Chief Executive Officer,</w:t>
            </w:r>
          </w:p>
          <w:p>
            <w:pPr>
              <w:pStyle w:val="TableContents"/>
              <w:bidi w:val="0"/>
              <w:spacing w:before="0" w:after="2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242 </w:t>
      </w:r>
    </w:p>
    <w:p>
      <w:pPr>
        <w:pStyle w:val="TextBody"/>
        <w:bidi w:val="0"/>
        <w:spacing w:before="0" w:after="0"/>
        <w:jc w:val="center"/>
        <w:rPr>
          <w:rFonts w:ascii="Times New Roman" w:hAnsi="Times New Roman"/>
          <w:sz w:val="20"/>
        </w:rPr>
      </w:pPr>
      <w:r>
        <w:rPr>
          <w:rFonts w:ascii="Times New Roman" w:hAnsi="Times New Roman"/>
          <w:sz w:val="20"/>
        </w:rPr>
        <w:t xml:space="preserve">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AVROBIO, Inc., a corporation organized and existing under the laws of the State of Delaware (the Corporation),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Article I of the Fourth Amended and Restated Certificate of Incorporation of the Corporation, as currently in effect, is hereby amended and restated in its entirety to read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2. The foregoing amendment has been duly adopted in accordance with Section 242 of the Delaware General Corporation Law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The foregoing amendment shall become effective at 4:03 p.m. eastern on June 20, 2024.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has been signed by an authorized officer of the Corporation on June 20,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AVROBIO,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Erik Ostrowski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0"/>
              <w:jc w:val="left"/>
              <w:rPr>
                <w:rFonts w:ascii="Times New Roman" w:hAnsi="Times New Roman"/>
                <w:sz w:val="20"/>
              </w:rPr>
            </w:pPr>
            <w:r>
              <w:rPr>
                <w:rFonts w:ascii="Times New Roman" w:hAnsi="Times New Roman"/>
                <w:sz w:val="20"/>
              </w:rPr>
              <w:t>President, Interim Chief Executive Officer,</w:t>
            </w:r>
          </w:p>
          <w:p>
            <w:pPr>
              <w:pStyle w:val="TableContents"/>
              <w:bidi w:val="0"/>
              <w:spacing w:before="0" w:after="2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AVROBIO, Inc. The date of the filing of its original Certificate of Incorporation with the Secretary of State of the State of Delaware was November 17, 2015 under the name AvroBio, Inc. </w:t>
      </w:r>
    </w:p>
    <w:p>
      <w:pPr>
        <w:pStyle w:val="TextBody"/>
        <w:bidi w:val="0"/>
        <w:spacing w:before="240" w:after="0"/>
        <w:jc w:val="left"/>
        <w:rPr>
          <w:rFonts w:ascii="Times New Roman" w:hAnsi="Times New Roman"/>
          <w:sz w:val="20"/>
        </w:rPr>
      </w:pPr>
      <w:r>
        <w:rPr>
          <w:rFonts w:ascii="Times New Roman" w:hAnsi="Times New Roman"/>
          <w:sz w:val="20"/>
        </w:rPr>
        <w:t xml:space="preserve">2. This Fourth Amended and Restated Certificate of Incorporation (the Certificate) amends, restates and integrates the provisions of the Third Amended and Restated Certificate of Incorporation that was filed with the Secretary of State of the State of Delaware on January 19, 2018 (the Existing Certificate), and was duly adopted in accordance with the provisions of Sections 228, 242 and 245 of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Existing Certificate is hereby amended and restated in its entirety to provide as herein set forth in full.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AVROBIO,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251 Little Falls Drive, in the City of Wilmington, County of New Castle, 19808. The name of its registered agent at such address is Corporation Service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capital stock which the Corporation shall have authority to issue is One Hundred Sixty Million (160,000,000), of which (i) One Hundred Fifty Million (150,000,000) shares shall be a class designated as common stock, par value $0.0001 per share (the Common Stock), and (ii) Ten Million (10,000,000) shares shall be a class designated as undesignated preferred stock, par value $0.0001 per share (the Undesignated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bidi w:val="0"/>
        <w:spacing w:before="240" w:after="0"/>
        <w:jc w:val="left"/>
        <w:rPr>
          <w:rFonts w:ascii="Times New Roman" w:hAnsi="Times New Roman"/>
          <w:b/>
          <w:sz w:val="20"/>
        </w:rPr>
      </w:pPr>
      <w:r>
        <w:rPr>
          <w:rFonts w:ascii="Times New Roman" w:hAnsi="Times New Roman"/>
          <w:b/>
          <w:sz w:val="20"/>
        </w:rPr>
        <w:t xml:space="preserve">A.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all the rights, powers and preferences of the Undesignated Preferred Stock and except as provided by law or in this Certificate (or in any certificate of designations of any series of Undesignated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provided, however,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(b) dividends may be declared and paid or set apart for payment upon the Common Stock out of any assets or funds of the Corporation legally available for the payment of dividends, but only when and as declared by the Board of Directors or any authorized committee thereof; and </w:t>
      </w:r>
    </w:p>
    <w:p>
      <w:pPr>
        <w:pStyle w:val="TextBody"/>
        <w:bidi w:val="0"/>
        <w:spacing w:before="240" w:after="0"/>
        <w:jc w:val="left"/>
        <w:rPr>
          <w:rFonts w:ascii="Times New Roman" w:hAnsi="Times New Roman"/>
          <w:sz w:val="20"/>
        </w:rPr>
      </w:pPr>
      <w:r>
        <w:rPr>
          <w:rFonts w:ascii="Times New Roman" w:hAnsi="Times New Roman"/>
          <w:sz w:val="20"/>
        </w:rPr>
        <w:t xml:space="preserve">(c) upon the voluntary or involuntary liquidation, dissolution or winding up of the Corporation, the net assets of the Corporation shall be distributed pro rata to the holders of the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B. UNDESIGNATED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 without Meeting.</w:t>
      </w:r>
      <w:r>
        <w:rPr>
          <w:rFonts w:ascii="Times New Roman" w:hAnsi="Times New Roman"/>
          <w:sz w:val="20"/>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Election of Directors.</w:t>
      </w:r>
      <w:r>
        <w:rPr>
          <w:rFonts w:ascii="Times New Roman" w:hAnsi="Times New Roman"/>
          <w:sz w:val="20"/>
        </w:rPr>
        <w:t xml:space="preserve"> Election of Directors need not be by written ballot unless the By-laws of the Corporation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Number of Directors; Term of Office.</w:t>
      </w:r>
      <w:r>
        <w:rPr>
          <w:rFonts w:ascii="Times New Roman" w:hAnsi="Times New Roman"/>
          <w:sz w:val="20"/>
        </w:rPr>
        <w:t xml:space="preserve">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Christopher Paige, Scott Requadt and Joshua Resnick; the initial Class II Directors of the Corporation shall be Ian Clark and Annalisa Jenkins; and the initial Class III Directors of the Corporation shall be Bruce Booth, Phillip Donenberg and Geoff MacKay. The initial Class I Directors shall serve for a term expiring at the annual meeting of stockholders to be held in 2019, the initial Class II Directors shall serve for a term expiring at the annual meeting of stockholders to be held in 2020, and the initial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Vacancies.</w:t>
      </w:r>
      <w:r>
        <w:rPr>
          <w:rFonts w:ascii="Times New Roman" w:hAnsi="Times New Roman"/>
          <w:sz w:val="20"/>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Removal.</w:t>
      </w:r>
      <w:r>
        <w:rPr>
          <w:rFonts w:ascii="Times New Roman" w:hAnsi="Times New Roman"/>
          <w:sz w:val="20"/>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5.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by Directors.</w:t>
      </w:r>
      <w:r>
        <w:rPr>
          <w:rFonts w:ascii="Times New Roman" w:hAnsi="Times New Roman"/>
          <w:sz w:val="20"/>
        </w:rPr>
        <w:t xml:space="preserve"> Except as otherwise provided by law, the By-laws of the Corporation may be amended or repealed by the Board of Directors by the affirmative vote of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at any annual meeting of stockholders, or special meeting of stockholders called for such purpose, by the affirmative vote of a majority of the outstanding shares of capital stock entitled to vote on such amendment or repeal, voting together as a single class.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p>
    <w:p>
      <w:pPr>
        <w:pStyle w:val="TextBody"/>
        <w:bidi w:val="0"/>
        <w:spacing w:before="240" w:after="0"/>
        <w:jc w:val="center"/>
        <w:rPr>
          <w:rFonts w:ascii="Times New Roman" w:hAnsi="Times New Roman"/>
          <w:sz w:val="20"/>
        </w:rPr>
      </w:pPr>
      <w:r>
        <w:rPr>
          <w:rFonts w:ascii="Times New Roman" w:hAnsi="Times New Roman"/>
          <w:sz w:val="20"/>
        </w:rPr>
        <w:t xml:space="preserve">[End of 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FOURTH AMENDED AND RESTATED CERTIFICATE OF INCORPORATION is executed as of this 25th day of June, 2018.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AVROBIO,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 MacKay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Geoff MacKay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18" w:name="d878693dex311.htm"/>
      <w:bookmarkStart w:id="19" w:name="ksd878693dex311"/>
      <w:bookmarkEnd w:id="18"/>
      <w:bookmarkEnd w:id="19"/>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Alise Reicin,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14,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r>
      <w:tr>
        <w:trPr/>
        <w:tc>
          <w:tcPr>
            <w:tcW w:w="4082" w:type="dxa"/>
            <w:tcBorders/>
          </w:tcPr>
          <w:p>
            <w:pPr>
              <w:pStyle w:val="TableContents"/>
              <w:bidi w:val="0"/>
              <w:spacing w:before="0" w:after="283"/>
              <w:jc w:val="left"/>
              <w:rPr/>
            </w:pPr>
            <w:r>
              <w:rPr/>
              <w:t>Alise Reicin, M.D.</w:t>
            </w:r>
          </w:p>
        </w:tc>
      </w:tr>
      <w:tr>
        <w:trPr/>
        <w:tc>
          <w:tcPr>
            <w:tcW w:w="4082" w:type="dxa"/>
            <w:tcBorders/>
          </w:tcPr>
          <w:p>
            <w:pPr>
              <w:pStyle w:val="TableContents"/>
              <w:bidi w:val="0"/>
              <w:spacing w:before="0" w:after="283"/>
              <w:jc w:val="left"/>
              <w:rPr/>
            </w:pPr>
            <w:r>
              <w:rPr/>
              <w:t>President and Chief Executive Officer</w:t>
            </w:r>
          </w:p>
        </w:tc>
      </w:tr>
      <w:tr>
        <w:trPr/>
        <w:tc>
          <w:tcPr>
            <w:tcW w:w="4082" w:type="dxa"/>
            <w:tcBorders/>
          </w:tcPr>
          <w:p>
            <w:pPr>
              <w:pStyle w:val="TableContents"/>
              <w:bidi w:val="0"/>
              <w:spacing w:before="0" w:after="283"/>
              <w:jc w:val="left"/>
              <w:rPr>
                <w:i/>
              </w:rPr>
            </w:pPr>
            <w:r>
              <w:rPr>
                <w:i/>
              </w:rPr>
              <w:t>(Principal Executive Officer)</w:t>
            </w:r>
          </w:p>
        </w:tc>
      </w:tr>
    </w:tbl>
    <w:p>
      <w:pPr>
        <w:pStyle w:val="TextBody"/>
        <w:bidi w:val="0"/>
        <w:spacing w:before="0" w:after="0"/>
        <w:jc w:val="right"/>
        <w:rPr>
          <w:rFonts w:ascii="Times New Roman" w:hAnsi="Times New Roman"/>
          <w:b/>
          <w:sz w:val="20"/>
        </w:rPr>
      </w:pPr>
      <w:bookmarkStart w:id="20" w:name="d878693dex312.htm"/>
      <w:bookmarkStart w:id="21" w:name="ksd878693dex312"/>
      <w:bookmarkEnd w:id="20"/>
      <w:bookmarkEnd w:id="21"/>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Daniel Lochner,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14,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082" w:type="dxa"/>
            <w:tcBorders/>
          </w:tcPr>
          <w:p>
            <w:pPr>
              <w:pStyle w:val="TableContents"/>
              <w:bidi w:val="0"/>
              <w:spacing w:before="0" w:after="283"/>
              <w:jc w:val="left"/>
              <w:rPr/>
            </w:pPr>
            <w:r>
              <w:rPr/>
              <w:t>Daniel Lochner</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i/>
              </w:rPr>
            </w:pPr>
            <w:r>
              <w:rPr>
                <w:i/>
              </w:rPr>
              <w:t>(Principal Financial Officer)</w:t>
            </w:r>
          </w:p>
        </w:tc>
      </w:tr>
    </w:tbl>
    <w:p>
      <w:pPr>
        <w:pStyle w:val="TextBody"/>
        <w:bidi w:val="0"/>
        <w:spacing w:before="0" w:after="0"/>
        <w:jc w:val="right"/>
        <w:rPr>
          <w:rFonts w:ascii="Times New Roman" w:hAnsi="Times New Roman"/>
          <w:b/>
          <w:sz w:val="20"/>
        </w:rPr>
      </w:pPr>
      <w:bookmarkStart w:id="22" w:name="d878693dex321.htm"/>
      <w:bookmarkStart w:id="23" w:name="ksd878693dex321"/>
      <w:bookmarkEnd w:id="22"/>
      <w:bookmarkEnd w:id="23"/>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Quarterly Report on Form 10-Q for the period ended June 30, 2024, to which this Certification is attached as Exhibit 32.1 (the Periodic Report), fully complies with the requirements of Section 13(a) or Section 15(d)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14, 2024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set their hands hereto as of the 14th day of August,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86"/>
        <w:gridCol w:w="108"/>
        <w:gridCol w:w="1710"/>
        <w:gridCol w:w="120"/>
        <w:gridCol w:w="3981"/>
      </w:tblGrid>
      <w:tr>
        <w:trPr/>
        <w:tc>
          <w:tcPr>
            <w:tcW w:w="428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c>
          <w:tcPr>
            <w:tcW w:w="10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286" w:type="dxa"/>
            <w:tcBorders/>
          </w:tcPr>
          <w:p>
            <w:pPr>
              <w:pStyle w:val="TableContents"/>
              <w:bidi w:val="0"/>
              <w:spacing w:before="0" w:after="283"/>
              <w:jc w:val="left"/>
              <w:rPr/>
            </w:pPr>
            <w:r>
              <w:rPr/>
              <w:t>Alise Reicin, M.D.</w:t>
            </w:r>
          </w:p>
        </w:tc>
        <w:tc>
          <w:tcPr>
            <w:tcW w:w="10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Daniel Lochner</w:t>
            </w:r>
          </w:p>
        </w:tc>
      </w:tr>
      <w:tr>
        <w:trPr/>
        <w:tc>
          <w:tcPr>
            <w:tcW w:w="4286" w:type="dxa"/>
            <w:tcBorders/>
          </w:tcPr>
          <w:p>
            <w:pPr>
              <w:pStyle w:val="TableContents"/>
              <w:bidi w:val="0"/>
              <w:spacing w:before="0" w:after="283"/>
              <w:jc w:val="left"/>
              <w:rPr/>
            </w:pPr>
            <w:r>
              <w:rPr/>
              <w:t>President and Chief Executive Officer</w:t>
            </w:r>
          </w:p>
        </w:tc>
        <w:tc>
          <w:tcPr>
            <w:tcW w:w="10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1087/000119312518202460/d153924dex32.htm" TargetMode="External"/><Relationship Id="rId3" Type="http://schemas.openxmlformats.org/officeDocument/2006/relationships/hyperlink" Target="http://www.sec.gov/Archives/edgar/data/1681087/000119312524164480/d852858dex101.htm" TargetMode="External"/><Relationship Id="rId4" Type="http://schemas.openxmlformats.org/officeDocument/2006/relationships/hyperlink" Target="http://www.sec.gov/Archives/edgar/data/1681087/000119312524164480/d852858dex102.htm" TargetMode="External"/><Relationship Id="rId5" Type="http://schemas.openxmlformats.org/officeDocument/2006/relationships/hyperlink" Target="http://www.sec.gov/Archives/edgar/data/1681087/000119312524034461/d770053dex1043.htm" TargetMode="External"/><Relationship Id="rId6" Type="http://schemas.openxmlformats.org/officeDocument/2006/relationships/hyperlink" Target="http://www.sec.gov/Archives/edgar/data/1681087/000119312524164480/d852858dex106.htm" TargetMode="External"/><Relationship Id="rId7" Type="http://schemas.openxmlformats.org/officeDocument/2006/relationships/hyperlink" Target="http://www.sec.gov/Archives/edgar/data/1681087/000119312524164480/d852858dex107.htm" TargetMode="External"/><Relationship Id="rId8" Type="http://schemas.openxmlformats.org/officeDocument/2006/relationships/hyperlink" Target="http://www.sec.gov/Archives/edgar/data/1681087/000119312524164480/d852858dex108.htm" TargetMode="External"/><Relationship Id="rId9" Type="http://schemas.openxmlformats.org/officeDocument/2006/relationships/hyperlink" Target="http://www.sec.gov/Archives/edgar/data/1681087/000119312524164480/d852858dex104.htm" TargetMode="External"/><Relationship Id="rId10" Type="http://schemas.openxmlformats.org/officeDocument/2006/relationships/hyperlink" Target="http://www.sec.gov/Archives/edgar/data/1681087/000119312524095517/d770053dex1047.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67310</Words>
  <Characters>371493</Characters>
  <CharactersWithSpaces>443286</CharactersWithSpaces>
  <Paragraphs>8906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