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Tectonic Therapeutic,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TECX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02/05/2025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129,294</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4,226,058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02/05/2025</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6"/>
              </w:rPr>
              <w:t>660,000</w:t>
            </w:r>
            <w:r>
              <w:rPr>
                <w:rFonts w:ascii="Times New Roman" w:cs="Times New Roman" w:eastAsia="Times New Roman" w:hAnsi="Times New Roman"/>
                <w:sz w:val="22"/>
                <w:szCs w:val="22"/>
                <w:color w:val="008000"/>
                <w:w w:val="96"/>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600" w:type="dxa"/>
            <w:vAlign w:val="bottom"/>
            <w:gridSpan w:val="3"/>
            <w:vMerge w:val="restart"/>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970,223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186,134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purchased in a private placement transaction on February 5, 2025, which was previously announced on the Issuer's Current Report on Form 8-K, filed with the Securities and Exchange Commission on February 3, 2025. These shares were offered and sold in reliance on the exemption afforded by Regulation D of the Securities Act of 1933, as amended.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TAS Partners LLC ("TAS"). The Reporting Person is the sole managing member of TAS and, as such, has sole voting and dispositive power over the shares held by TAS. The Reporting Person disclaims beneficial ownership of the shares held by TAS except to the extent of his pecuniary interest therein and this report shall not be deemed an admission that the Reporting Person is the beneficial owner of these securities for purposes of Section 16 or for any other purpose.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2025-02-07T15:40:51Z</dcterms:created>
  <dcterms:modified xsi:type="dcterms:W3CDTF">2025-02-07T15:40:51Z</dcterms:modified>
</cp:coreProperties>
</file>