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One Broadway</w:t>
      </w:r>
    </w:p>
    <w:p>
      <w:pPr>
        <w:jc w:val="center"/>
        <w:ind w:right="-139"/>
        <w:spacing w:after="0" w:line="181" w:lineRule="auto"/>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Cambridge, MA 02142</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May 2, 2024</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 Transmission</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20549-3628</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Jenn Do, Mary Mast, Lauren Hamill and Chris Edwards</w:t>
      </w:r>
    </w:p>
    <w:p>
      <w:pPr>
        <w:spacing w:after="0" w:line="108" w:lineRule="exact"/>
        <w:rPr>
          <w:sz w:val="24"/>
          <w:szCs w:val="24"/>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b w:val="1"/>
          <w:bCs w:val="1"/>
          <w:color w:val="auto"/>
        </w:rPr>
        <w:t>AVROBIO, Inc.</w:t>
      </w:r>
    </w:p>
    <w:p>
      <w:pPr>
        <w:spacing w:after="0" w:line="3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Acceleration Request for Registration Statement on Form S-4</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File No. 333-277048</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AVROBIO,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requests that the effective date of the above-referenced registration statement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be accelerated to May 3, 2024, at 4:15 p.m., Eastern Time, or as soon thereafter as practicable, unless we or our outside counsel, Goodwin Procter LLP, request by telephone that such Registration Statement be declared effective at some other time. In making this acceleration request, the Company acknowledges that it is aware of its responsibilities under the Act.</w:t>
      </w:r>
    </w:p>
    <w:p>
      <w:pPr>
        <w:spacing w:after="0" w:line="183" w:lineRule="exact"/>
        <w:rPr>
          <w:sz w:val="24"/>
          <w:szCs w:val="24"/>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Once the Registration Statement is effective, please orally confirm the event with our outside counsel, Goodwin Procter LLP, by calling Adam V. Johnson at (212) 459-7072. We also respectfully request that a copy of the written order from the Securities and Exchange Commission verifying the effective time and date of the Registration Statement be sent to our counsel, Goodwin Procter LLP, Attention: Adam V. Johnson, by email to AdamJohnson@goodwinlaw.com or by facsimile to (212) 320-0632.</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regarding this request, please contact Adam V. Johnson of Goodwin Procter LLP at (212) 459-7072.</w:t>
      </w:r>
    </w:p>
    <w:p>
      <w:pPr>
        <w:spacing w:after="0" w:line="252"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AVROBIO, INC.</w:t>
      </w:r>
    </w:p>
    <w:p>
      <w:pPr>
        <w:spacing w:after="0" w:line="207"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/s/ Erik Ostrowski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Erik Ostrowski</w:t>
      </w:r>
    </w:p>
    <w:p>
      <w:pPr>
        <w:spacing w:after="0" w:line="23"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7"/>
          <w:szCs w:val="17"/>
          <w:color w:val="auto"/>
        </w:rPr>
        <w:t>President, Interim Chief Executive Officer, Chief Financial</w:t>
      </w:r>
    </w:p>
    <w:p>
      <w:pPr>
        <w:spacing w:after="0" w:line="21"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Officer and Treasurer</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cc:         Steven Avruch, </w:t>
      </w:r>
      <w:r>
        <w:rPr>
          <w:rFonts w:ascii="Times New Roman" w:cs="Times New Roman" w:eastAsia="Times New Roman" w:hAnsi="Times New Roman"/>
          <w:sz w:val="18"/>
          <w:szCs w:val="18"/>
          <w:i w:val="1"/>
          <w:iCs w:val="1"/>
          <w:color w:val="auto"/>
        </w:rPr>
        <w:t>AVROBIO, Inc.</w:t>
      </w:r>
    </w:p>
    <w:p>
      <w:pPr>
        <w:spacing w:after="0" w:line="29"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Mitchell Bloom, Esq., </w:t>
      </w:r>
      <w:r>
        <w:rPr>
          <w:rFonts w:ascii="Times New Roman" w:cs="Times New Roman" w:eastAsia="Times New Roman" w:hAnsi="Times New Roman"/>
          <w:sz w:val="18"/>
          <w:szCs w:val="18"/>
          <w:i w:val="1"/>
          <w:iCs w:val="1"/>
          <w:color w:val="auto"/>
        </w:rPr>
        <w:t>Goodwin Procter LLP</w:t>
      </w:r>
    </w:p>
    <w:p>
      <w:pPr>
        <w:spacing w:after="0" w:line="9"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Robert Masella, Esq., </w:t>
      </w:r>
      <w:r>
        <w:rPr>
          <w:rFonts w:ascii="Times New Roman" w:cs="Times New Roman" w:eastAsia="Times New Roman" w:hAnsi="Times New Roman"/>
          <w:sz w:val="18"/>
          <w:szCs w:val="18"/>
          <w:i w:val="1"/>
          <w:iCs w:val="1"/>
          <w:color w:val="auto"/>
        </w:rPr>
        <w:t>Goodwin Procter LLP</w:t>
      </w:r>
    </w:p>
    <w:p>
      <w:pPr>
        <w:spacing w:after="0" w:line="9"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James Ding, Esq., </w:t>
      </w:r>
      <w:r>
        <w:rPr>
          <w:rFonts w:ascii="Times New Roman" w:cs="Times New Roman" w:eastAsia="Times New Roman" w:hAnsi="Times New Roman"/>
          <w:sz w:val="18"/>
          <w:szCs w:val="18"/>
          <w:i w:val="1"/>
          <w:iCs w:val="1"/>
          <w:color w:val="auto"/>
        </w:rPr>
        <w:t>Goodwin Procter LLP</w:t>
      </w:r>
    </w:p>
    <w:p>
      <w:pPr>
        <w:spacing w:after="0" w:line="9"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Adam V. Johnson, Esq., </w:t>
      </w:r>
      <w:r>
        <w:rPr>
          <w:rFonts w:ascii="Times New Roman" w:cs="Times New Roman" w:eastAsia="Times New Roman" w:hAnsi="Times New Roman"/>
          <w:sz w:val="18"/>
          <w:szCs w:val="18"/>
          <w:i w:val="1"/>
          <w:iCs w:val="1"/>
          <w:color w:val="auto"/>
        </w:rPr>
        <w:t>Goodwin Procter LLP</w:t>
      </w:r>
    </w:p>
    <w:sectPr>
      <w:pgSz w:w="11900" w:h="16838" w:orient="portrait"/>
      <w:cols w:equalWidth="0" w:num="1">
        <w:col w:w="10860"/>
      </w:cols>
      <w:pgMar w:left="440" w:top="225"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2024-06-12T23:09:04Z</dcterms:created>
  <dcterms:modified xsi:type="dcterms:W3CDTF">2024-06-12T23:09:04Z</dcterms:modified>
</cp:coreProperties>
</file>