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(Amendment No. 1)  </w:t>
      </w:r>
      <w:r>
        <w:rPr>
          <w:rFonts w:ascii="Times New Roman" w:cs="Times New Roman" w:eastAsia="Times New Roman" w:hAnsi="Times New Roman"/>
          <w:sz w:val="29"/>
          <w:szCs w:val="29"/>
          <w:b w:val="1"/>
          <w:bCs w:val="1"/>
          <w:color w:val="auto"/>
          <w:vertAlign w:val="superscript"/>
        </w:rPr>
        <w:t>*</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Issuer)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jc w:val="both"/>
        <w:ind w:left="520" w:right="8980" w:firstLine="1"/>
        <w:spacing w:after="0" w:line="260" w:lineRule="auto"/>
        <w:tabs>
          <w:tab w:leader="none" w:pos="1033" w:val="left"/>
        </w:tabs>
        <w:numPr>
          <w:ilvl w:val="1"/>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Rule 13d-1(b) S Rule 13d-1(c)</w:t>
      </w:r>
    </w:p>
    <w:p>
      <w:pPr>
        <w:ind w:left="1040" w:hanging="519"/>
        <w:spacing w:after="0"/>
        <w:tabs>
          <w:tab w:leader="none" w:pos="10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194" w:lineRule="exact"/>
        <w:rPr>
          <w:rFonts w:ascii="MS PGothic" w:cs="MS PGothic" w:eastAsia="MS PGothic" w:hAnsi="MS PGothic"/>
          <w:sz w:val="22"/>
          <w:szCs w:val="22"/>
          <w:color w:val="auto"/>
        </w:rPr>
      </w:pPr>
    </w:p>
    <w:p>
      <w:pPr>
        <w:spacing w:after="0" w:line="204" w:lineRule="auto"/>
        <w:rPr>
          <w:rFonts w:ascii="MS PGothic" w:cs="MS PGothic" w:eastAsia="MS PGothic" w:hAnsi="MS PGothic"/>
          <w:sz w:val="22"/>
          <w:szCs w:val="22"/>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 on following pages)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 of 33 Pages</w:t>
      </w:r>
    </w:p>
    <w:p>
      <w:pPr>
        <w:jc w:val="center"/>
        <w:ind w:right="-19"/>
        <w:spacing w:after="0"/>
        <w:rPr>
          <w:sz w:val="20"/>
          <w:szCs w:val="20"/>
          <w:color w:val="auto"/>
        </w:rPr>
      </w:pPr>
      <w:r>
        <w:rPr>
          <w:rFonts w:ascii="Times New Roman" w:cs="Times New Roman" w:eastAsia="Times New Roman" w:hAnsi="Times New Roman"/>
          <w:sz w:val="22"/>
          <w:szCs w:val="22"/>
          <w:color w:val="auto"/>
        </w:rPr>
        <w:t>Exhibit Index Found on Page 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Partners, L.P.</w:t>
            </w:r>
          </w:p>
        </w:tc>
        <w:tc>
          <w:tcPr>
            <w:tcW w:w="7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7380" w:type="dxa"/>
            <w:vAlign w:val="bottom"/>
            <w:tcBorders>
              <w:right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500" w:type="dxa"/>
            <w:vAlign w:val="bottom"/>
          </w:tcPr>
          <w:p>
            <w:pPr>
              <w:spacing w:after="0"/>
              <w:rPr>
                <w:sz w:val="18"/>
                <w:szCs w:val="18"/>
                <w:color w:val="auto"/>
              </w:rPr>
            </w:pPr>
          </w:p>
        </w:tc>
        <w:tc>
          <w:tcPr>
            <w:tcW w:w="7380" w:type="dxa"/>
            <w:vAlign w:val="bottom"/>
            <w:tcBorders>
              <w:right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7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II,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4"/>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 III,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5"/>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Four Crossings Institutional Partners V,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Offshore Investors II,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8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400" w:type="dxa"/>
            <w:vAlign w:val="bottom"/>
          </w:tcPr>
          <w:p>
            <w:pPr>
              <w:spacing w:after="0"/>
              <w:rPr>
                <w:sz w:val="13"/>
                <w:szCs w:val="13"/>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(AM) Investors,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8"/>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Capital F5 Master I, L.P.</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9"/>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8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400" w:type="dxa"/>
            <w:vAlign w:val="bottom"/>
          </w:tcPr>
          <w:p>
            <w:pPr>
              <w:spacing w:after="0"/>
              <w:rPr>
                <w:sz w:val="13"/>
                <w:szCs w:val="13"/>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Partners, L.L.C.</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0"/>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98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Institutional (GP) V, L.L.C.</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11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Farallon F5 (GP), L.L.C.</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2"/>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12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Joshua J. Dapice</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13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Philip D. Dreyfuss</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4"/>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Hannah E. Dunn</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5"/>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15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Richard B. Fried</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16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Varun N. Gehani</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17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Nicolas Giauque</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8"/>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28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28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18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David T. Kim</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19"/>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19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Michael G. Linn</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0"/>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20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Rajiv A. Patel</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21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Thomas G. Roberts, Jr.</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2"/>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22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Edric C. Saito</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23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William Seybold</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4"/>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24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Daniel S. Short</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5"/>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25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Andrew J. M. Spokes</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86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20" w:type="dxa"/>
            <w:vAlign w:val="bottom"/>
          </w:tcPr>
          <w:p>
            <w:pPr>
              <w:spacing w:after="0"/>
              <w:rPr>
                <w:sz w:val="18"/>
                <w:szCs w:val="18"/>
                <w:color w:val="auto"/>
              </w:rPr>
            </w:pPr>
          </w:p>
        </w:tc>
        <w:tc>
          <w:tcPr>
            <w:tcW w:w="8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420" w:type="dxa"/>
            <w:vAlign w:val="bottom"/>
          </w:tcPr>
          <w:p>
            <w:pPr>
              <w:spacing w:after="0"/>
              <w:rPr>
                <w:sz w:val="13"/>
                <w:szCs w:val="13"/>
                <w:color w:val="auto"/>
              </w:rPr>
            </w:pPr>
          </w:p>
        </w:tc>
        <w:tc>
          <w:tcPr>
            <w:tcW w:w="8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420" w:type="dxa"/>
            <w:vAlign w:val="bottom"/>
          </w:tcPr>
          <w:p>
            <w:pPr>
              <w:spacing w:after="0"/>
              <w:rPr>
                <w:sz w:val="24"/>
                <w:szCs w:val="24"/>
                <w:color w:val="auto"/>
              </w:rPr>
            </w:pPr>
          </w:p>
        </w:tc>
        <w:tc>
          <w:tcPr>
            <w:tcW w:w="86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26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John R. Warren</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0"/>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27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13G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848360" cy="5760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48360" cy="576072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1</w:t>
            </w:r>
          </w:p>
        </w:tc>
        <w:tc>
          <w:tcPr>
            <w:tcW w:w="98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 C. Wehrly</w:t>
            </w:r>
          </w:p>
        </w:tc>
        <w:tc>
          <w:tcPr>
            <w:tcW w:w="7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7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(a) [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2</w:t>
            </w:r>
          </w:p>
        </w:tc>
        <w:tc>
          <w:tcPr>
            <w:tcW w:w="2360" w:type="dxa"/>
            <w:vAlign w:val="bottom"/>
          </w:tcPr>
          <w:p>
            <w:pPr>
              <w:spacing w:after="0"/>
              <w:rPr>
                <w:sz w:val="18"/>
                <w:szCs w:val="18"/>
                <w:color w:val="auto"/>
              </w:rPr>
            </w:pPr>
          </w:p>
        </w:tc>
        <w:tc>
          <w:tcPr>
            <w:tcW w:w="7520" w:type="dxa"/>
            <w:vAlign w:val="bottom"/>
            <w:tcBorders>
              <w:right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(b) [ X ]**</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reporting persons making this filing hold an aggregate of 0 Shares, representing 0.0%</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the class of securities.  The reporting person on this cover page, however, is a beneficial</w:t>
            </w:r>
          </w:p>
        </w:tc>
        <w:tc>
          <w:tcPr>
            <w:tcW w:w="0" w:type="dxa"/>
            <w:vAlign w:val="bottom"/>
          </w:tcPr>
          <w:p>
            <w:pPr>
              <w:spacing w:after="0"/>
              <w:rPr>
                <w:sz w:val="1"/>
                <w:szCs w:val="1"/>
                <w:color w:val="auto"/>
              </w:rPr>
            </w:pPr>
          </w:p>
        </w:tc>
      </w:tr>
      <w:tr>
        <w:trPr>
          <w:trHeight w:val="242"/>
        </w:trPr>
        <w:tc>
          <w:tcPr>
            <w:tcW w:w="1360" w:type="dxa"/>
            <w:vAlign w:val="bottom"/>
            <w:tcBorders>
              <w:right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75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owner only of the securities reported by it on this cover page.</w:t>
            </w:r>
          </w:p>
        </w:tc>
        <w:tc>
          <w:tcPr>
            <w:tcW w:w="0" w:type="dxa"/>
            <w:vAlign w:val="bottom"/>
          </w:tcPr>
          <w:p>
            <w:pPr>
              <w:spacing w:after="0"/>
              <w:rPr>
                <w:sz w:val="1"/>
                <w:szCs w:val="1"/>
                <w:color w:val="auto"/>
              </w:rPr>
            </w:pPr>
          </w:p>
        </w:tc>
      </w:tr>
    </w:tbl>
    <w:p>
      <w:pPr>
        <w:ind w:left="1380" w:hanging="771"/>
        <w:spacing w:after="0" w:line="183" w:lineRule="auto"/>
        <w:tabs>
          <w:tab w:leader="none" w:pos="1380" w:val="left"/>
        </w:tabs>
        <w:numPr>
          <w:ilvl w:val="0"/>
          <w:numId w:val="28"/>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-151130</wp:posOffset>
            </wp:positionV>
            <wp:extent cx="6278880" cy="304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78880" cy="30416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988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5</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6</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2380" w:type="dxa"/>
            <w:vAlign w:val="bottom"/>
            <w:tcBorders>
              <w:righ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62"/>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75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38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BY EACH REPORTING</w:t>
            </w:r>
          </w:p>
        </w:tc>
        <w:tc>
          <w:tcPr>
            <w:tcW w:w="2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7</w:t>
            </w:r>
          </w:p>
        </w:tc>
        <w:tc>
          <w:tcPr>
            <w:tcW w:w="75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SOLE DISPOSITIVE POWER</w:t>
            </w:r>
          </w:p>
        </w:tc>
        <w:tc>
          <w:tcPr>
            <w:tcW w:w="0" w:type="dxa"/>
            <w:vAlign w:val="bottom"/>
          </w:tcPr>
          <w:p>
            <w:pPr>
              <w:spacing w:after="0"/>
              <w:rPr>
                <w:sz w:val="1"/>
                <w:szCs w:val="1"/>
                <w:color w:val="auto"/>
              </w:rPr>
            </w:pPr>
          </w:p>
        </w:tc>
      </w:tr>
      <w:tr>
        <w:trPr>
          <w:trHeight w:val="350"/>
        </w:trPr>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32"/>
                <w:szCs w:val="32"/>
                <w:b w:val="1"/>
                <w:bCs w:val="1"/>
                <w:color w:val="auto"/>
              </w:rPr>
              <w:t>8</w:t>
            </w:r>
          </w:p>
        </w:tc>
        <w:tc>
          <w:tcPr>
            <w:tcW w:w="7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5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vMerge w:val="continue"/>
          </w:tcPr>
          <w:p>
            <w:pPr>
              <w:spacing w:after="0"/>
              <w:rPr>
                <w:sz w:val="24"/>
                <w:szCs w:val="24"/>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right w:val="single" w:sz="8" w:color="auto"/>
            </w:tcBorders>
          </w:tcPr>
          <w:p>
            <w:pPr>
              <w:spacing w:after="0"/>
              <w:rPr>
                <w:sz w:val="15"/>
                <w:szCs w:val="15"/>
                <w:color w:val="auto"/>
              </w:rPr>
            </w:pPr>
          </w:p>
        </w:tc>
        <w:tc>
          <w:tcPr>
            <w:tcW w:w="9880" w:type="dxa"/>
            <w:vAlign w:val="bottom"/>
            <w:tcBorders>
              <w:right w:val="single" w:sz="8" w:color="auto"/>
            </w:tcBorders>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CHECK IF THE AGGREGATE AMOUNT IN ROW (9) EXCLUDES</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9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CERTAIN SHARES (See Instructions)</w:t>
            </w:r>
          </w:p>
        </w:tc>
        <w:tc>
          <w:tcPr>
            <w:tcW w:w="0" w:type="dxa"/>
            <w:vAlign w:val="bottom"/>
          </w:tcPr>
          <w:p>
            <w:pPr>
              <w:spacing w:after="0"/>
              <w:rPr>
                <w:sz w:val="1"/>
                <w:szCs w:val="1"/>
                <w:color w:val="auto"/>
              </w:rPr>
            </w:pPr>
          </w:p>
        </w:tc>
      </w:tr>
      <w:tr>
        <w:trPr>
          <w:trHeight w:val="238"/>
        </w:trPr>
        <w:tc>
          <w:tcPr>
            <w:tcW w:w="1360" w:type="dxa"/>
            <w:vAlign w:val="bottom"/>
            <w:tcBorders>
              <w:right w:val="single" w:sz="8" w:color="auto"/>
            </w:tcBorders>
            <w:vMerge w:val="continue"/>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9"/>
        </w:trPr>
        <w:tc>
          <w:tcPr>
            <w:tcW w:w="1360" w:type="dxa"/>
            <w:vAlign w:val="bottom"/>
            <w:tcBorders>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4445</wp:posOffset>
            </wp:positionV>
            <wp:extent cx="6278880" cy="4413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185" w:lineRule="auto"/>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40"/>
        <w:spacing w:after="0" w:line="198"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24130</wp:posOffset>
            </wp:positionV>
            <wp:extent cx="6278880" cy="4413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78880" cy="4413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20"/>
        <w:spacing w:after="0" w:line="198"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28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8" w:name="page29"/>
    <w:bookmarkEnd w:id="28"/>
    <w:p>
      <w:pPr>
        <w:spacing w:after="0" w:line="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This Amendment No. 1 to Schedule 13G amends and restates in its entirety the Schedule 13G initially filed on February 17, 2023 (together with all prior and current amendments thereto, this “</w:t>
      </w:r>
      <w:r>
        <w:rPr>
          <w:rFonts w:ascii="Times New Roman" w:cs="Times New Roman" w:eastAsia="Times New Roman" w:hAnsi="Times New Roman"/>
          <w:sz w:val="22"/>
          <w:szCs w:val="22"/>
          <w:u w:val="single" w:color="auto"/>
          <w:color w:val="auto"/>
        </w:rPr>
        <w:t>Schedule 13G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1</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Issuer</w:t>
      </w:r>
    </w:p>
    <w:p>
      <w:pPr>
        <w:spacing w:after="0" w:line="206" w:lineRule="exact"/>
        <w:rPr>
          <w:sz w:val="20"/>
          <w:szCs w:val="20"/>
          <w:color w:val="auto"/>
        </w:rPr>
      </w:pPr>
    </w:p>
    <w:p>
      <w:pPr>
        <w:ind w:left="1540" w:hanging="884"/>
        <w:spacing w:after="0"/>
        <w:tabs>
          <w:tab w:leader="none" w:pos="15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Name of Issuer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AVROBIO,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60" w:hanging="904"/>
        <w:spacing w:after="0"/>
        <w:tabs>
          <w:tab w:leader="none" w:pos="15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of Issuer’s Principal Executive Offices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Technology Square, Sixth Floor</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Identity and Background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Title of Class of Securities and CUSIP Number (Items 2(d) and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statement relates to shares of Common Stock, par value $0.0001 per share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 The CUSIP number of the Shares is 05455M100.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Name of Persons Filing, Address of Principal Business Office and Citizenship (Items 2(a), (b) and (c))</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statement is filed by the entities and persons listed below, all of whom together are referred to herein as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Farallon Funds</w:t>
      </w:r>
    </w:p>
    <w:p>
      <w:pPr>
        <w:spacing w:after="0" w:line="206" w:lineRule="exact"/>
        <w:rPr>
          <w:sz w:val="20"/>
          <w:szCs w:val="20"/>
          <w:color w:val="auto"/>
        </w:rPr>
      </w:pPr>
    </w:p>
    <w:p>
      <w:pPr>
        <w:ind w:left="1960" w:hanging="332"/>
        <w:spacing w:after="0" w:line="258" w:lineRule="auto"/>
        <w:tabs>
          <w:tab w:leader="none" w:pos="265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Partners, L.P., a California limited partnership (“</w:t>
      </w:r>
      <w:r>
        <w:rPr>
          <w:rFonts w:ascii="Times New Roman" w:cs="Times New Roman" w:eastAsia="Times New Roman" w:hAnsi="Times New Roman"/>
          <w:sz w:val="22"/>
          <w:szCs w:val="22"/>
          <w:u w:val="single" w:color="auto"/>
          <w:color w:val="auto"/>
        </w:rPr>
        <w:t>FCP</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1960" w:hanging="332"/>
        <w:spacing w:after="0" w:line="258" w:lineRule="auto"/>
        <w:tabs>
          <w:tab w:leader="none" w:pos="266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L.P., a California limited partnership (“</w:t>
      </w:r>
      <w:r>
        <w:rPr>
          <w:rFonts w:ascii="Times New Roman" w:cs="Times New Roman" w:eastAsia="Times New Roman" w:hAnsi="Times New Roman"/>
          <w:sz w:val="22"/>
          <w:szCs w:val="22"/>
          <w:u w:val="single" w:color="auto"/>
          <w:color w:val="auto"/>
        </w:rPr>
        <w:t>FCIP</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1960" w:hanging="332"/>
        <w:spacing w:after="0" w:line="258"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II, L.P., a California limited partnership (“</w:t>
      </w:r>
      <w:r>
        <w:rPr>
          <w:rFonts w:ascii="Times New Roman" w:cs="Times New Roman" w:eastAsia="Times New Roman" w:hAnsi="Times New Roman"/>
          <w:sz w:val="22"/>
          <w:szCs w:val="22"/>
          <w:u w:val="single" w:color="auto"/>
          <w:color w:val="auto"/>
        </w:rPr>
        <w:t>FCIP II</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1960" w:hanging="332"/>
        <w:spacing w:after="0" w:line="258"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Institutional Partners III, L.P., a Delaware limited partnership (“</w:t>
      </w:r>
      <w:r>
        <w:rPr>
          <w:rFonts w:ascii="Times New Roman" w:cs="Times New Roman" w:eastAsia="Times New Roman" w:hAnsi="Times New Roman"/>
          <w:sz w:val="22"/>
          <w:szCs w:val="22"/>
          <w:u w:val="single" w:color="auto"/>
          <w:color w:val="auto"/>
        </w:rPr>
        <w:t>FCIP III</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1960" w:hanging="332"/>
        <w:spacing w:after="0" w:line="258" w:lineRule="auto"/>
        <w:tabs>
          <w:tab w:leader="none" w:pos="285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Crossings Institutional Partners V, L.P., a Delaware limited partnership (“</w:t>
      </w:r>
      <w:r>
        <w:rPr>
          <w:rFonts w:ascii="Times New Roman" w:cs="Times New Roman" w:eastAsia="Times New Roman" w:hAnsi="Times New Roman"/>
          <w:sz w:val="22"/>
          <w:szCs w:val="22"/>
          <w:u w:val="single" w:color="auto"/>
          <w:color w:val="auto"/>
        </w:rPr>
        <w:t>FCIP V</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1960" w:hanging="332"/>
        <w:spacing w:after="0" w:line="258" w:lineRule="auto"/>
        <w:tabs>
          <w:tab w:leader="none" w:pos="26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Offshore Investors II, L.P., a Cayman Islands exempted limited partnership (“</w:t>
      </w:r>
      <w:r>
        <w:rPr>
          <w:rFonts w:ascii="Times New Roman" w:cs="Times New Roman" w:eastAsia="Times New Roman" w:hAnsi="Times New Roman"/>
          <w:sz w:val="22"/>
          <w:szCs w:val="22"/>
          <w:u w:val="single" w:color="auto"/>
          <w:color w:val="auto"/>
        </w:rPr>
        <w:t>FCOI II</w:t>
      </w:r>
      <w:r>
        <w:rPr>
          <w:rFonts w:ascii="Times New Roman" w:cs="Times New Roman" w:eastAsia="Times New Roman" w:hAnsi="Times New Roman"/>
          <w:sz w:val="22"/>
          <w:szCs w:val="22"/>
          <w:color w:val="auto"/>
        </w:rPr>
        <w:t>”), with respect to the Shares held by it;</w:t>
      </w:r>
    </w:p>
    <w:p>
      <w:pPr>
        <w:spacing w:after="0" w:line="158" w:lineRule="exact"/>
        <w:rPr>
          <w:rFonts w:ascii="Times New Roman" w:cs="Times New Roman" w:eastAsia="Times New Roman" w:hAnsi="Times New Roman"/>
          <w:sz w:val="22"/>
          <w:szCs w:val="22"/>
          <w:color w:val="auto"/>
        </w:rPr>
      </w:pPr>
    </w:p>
    <w:p>
      <w:pPr>
        <w:ind w:left="2000" w:hanging="372"/>
        <w:spacing w:after="0" w:line="258" w:lineRule="auto"/>
        <w:tabs>
          <w:tab w:leader="none" w:pos="2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(AM) Investors, L.P., a Delaware limited partnership (“</w:t>
      </w:r>
      <w:r>
        <w:rPr>
          <w:rFonts w:ascii="Times New Roman" w:cs="Times New Roman" w:eastAsia="Times New Roman" w:hAnsi="Times New Roman"/>
          <w:sz w:val="22"/>
          <w:szCs w:val="22"/>
          <w:u w:val="single" w:color="auto"/>
          <w:color w:val="auto"/>
        </w:rPr>
        <w:t>FCAMI</w:t>
      </w:r>
      <w:r>
        <w:rPr>
          <w:rFonts w:ascii="Times New Roman" w:cs="Times New Roman" w:eastAsia="Times New Roman" w:hAnsi="Times New Roman"/>
          <w:sz w:val="22"/>
          <w:szCs w:val="22"/>
          <w:color w:val="auto"/>
        </w:rPr>
        <w:t>”), with respect to the Shares held by it; and</w:t>
      </w:r>
    </w:p>
    <w:p>
      <w:pPr>
        <w:spacing w:after="0" w:line="158" w:lineRule="exact"/>
        <w:rPr>
          <w:rFonts w:ascii="Times New Roman" w:cs="Times New Roman" w:eastAsia="Times New Roman" w:hAnsi="Times New Roman"/>
          <w:sz w:val="22"/>
          <w:szCs w:val="22"/>
          <w:color w:val="auto"/>
        </w:rPr>
      </w:pPr>
    </w:p>
    <w:p>
      <w:pPr>
        <w:ind w:left="2060" w:right="20" w:hanging="432"/>
        <w:spacing w:after="0" w:line="258" w:lineRule="auto"/>
        <w:tabs>
          <w:tab w:leader="none" w:pos="27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Capital F5 Master I, L.P., a Cayman Islands exempted limited partnership (“</w:t>
      </w:r>
      <w:r>
        <w:rPr>
          <w:rFonts w:ascii="Times New Roman" w:cs="Times New Roman" w:eastAsia="Times New Roman" w:hAnsi="Times New Roman"/>
          <w:sz w:val="22"/>
          <w:szCs w:val="22"/>
          <w:u w:val="single" w:color="auto"/>
          <w:color w:val="auto"/>
        </w:rPr>
        <w:t>F5MI</w:t>
      </w:r>
      <w:r>
        <w:rPr>
          <w:rFonts w:ascii="Times New Roman" w:cs="Times New Roman" w:eastAsia="Times New Roman" w:hAnsi="Times New Roman"/>
          <w:sz w:val="22"/>
          <w:szCs w:val="22"/>
          <w:color w:val="auto"/>
        </w:rPr>
        <w:t>”), with respect to the Shares held by it.</w:t>
      </w:r>
    </w:p>
    <w:p>
      <w:pPr>
        <w:spacing w:after="0" w:line="158" w:lineRule="exact"/>
        <w:rPr>
          <w:sz w:val="20"/>
          <w:szCs w:val="20"/>
          <w:color w:val="auto"/>
        </w:rPr>
      </w:pPr>
    </w:p>
    <w:p>
      <w:pPr>
        <w:ind w:left="660" w:right="60"/>
        <w:spacing w:after="0" w:line="435" w:lineRule="auto"/>
        <w:rPr>
          <w:sz w:val="20"/>
          <w:szCs w:val="20"/>
          <w:color w:val="auto"/>
        </w:rPr>
      </w:pPr>
      <w:r>
        <w:rPr>
          <w:rFonts w:ascii="Times New Roman" w:cs="Times New Roman" w:eastAsia="Times New Roman" w:hAnsi="Times New Roman"/>
          <w:sz w:val="22"/>
          <w:szCs w:val="22"/>
          <w:color w:val="auto"/>
        </w:rPr>
        <w:t>FCP, FCIP, FCIP II, FCIP III, FCIP V, FCOI II, FCAMI and F5MI are together referred to herein as the “</w:t>
      </w:r>
      <w:r>
        <w:rPr>
          <w:rFonts w:ascii="Times New Roman" w:cs="Times New Roman" w:eastAsia="Times New Roman" w:hAnsi="Times New Roman"/>
          <w:sz w:val="22"/>
          <w:szCs w:val="22"/>
          <w:u w:val="single" w:color="auto"/>
          <w:color w:val="auto"/>
        </w:rPr>
        <w:t>Farallon Funds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Farallon General Partner</w:t>
      </w:r>
    </w:p>
    <w:p>
      <w:pPr>
        <w:spacing w:after="0" w:line="1" w:lineRule="exact"/>
        <w:rPr>
          <w:sz w:val="20"/>
          <w:szCs w:val="20"/>
          <w:color w:val="auto"/>
        </w:rPr>
      </w:pPr>
    </w:p>
    <w:p>
      <w:pPr>
        <w:jc w:val="both"/>
        <w:ind w:left="1960" w:hanging="332"/>
        <w:spacing w:after="0" w:line="239" w:lineRule="auto"/>
        <w:tabs>
          <w:tab w:leader="none" w:pos="260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Partners, L.L.C., a Delaware limited liability company (the “</w:t>
      </w:r>
      <w:r>
        <w:rPr>
          <w:rFonts w:ascii="Times New Roman" w:cs="Times New Roman" w:eastAsia="Times New Roman" w:hAnsi="Times New Roman"/>
          <w:sz w:val="22"/>
          <w:szCs w:val="22"/>
          <w:u w:val="single" w:color="auto"/>
          <w:color w:val="auto"/>
        </w:rPr>
        <w:t>Farallon General Partner</w:t>
      </w:r>
      <w:r>
        <w:rPr>
          <w:rFonts w:ascii="Times New Roman" w:cs="Times New Roman" w:eastAsia="Times New Roman" w:hAnsi="Times New Roman"/>
          <w:sz w:val="22"/>
          <w:szCs w:val="22"/>
          <w:color w:val="auto"/>
        </w:rPr>
        <w:t>”), which is the general partner of each of FCP, FCIP, FCIP II, FCIP III, FCOI II and FCAMI and the sole member of the FCIP V General Partner (as defined below), with respect to the Shares held by each of the Farallon Funds other than F5MI.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FCIP V General Partner</w:t>
      </w:r>
    </w:p>
    <w:p>
      <w:pPr>
        <w:spacing w:after="0" w:line="206" w:lineRule="exact"/>
        <w:rPr>
          <w:sz w:val="20"/>
          <w:szCs w:val="20"/>
          <w:color w:val="auto"/>
        </w:rPr>
      </w:pPr>
    </w:p>
    <w:p>
      <w:pPr>
        <w:ind w:left="1960" w:hanging="332"/>
        <w:spacing w:after="0" w:line="258" w:lineRule="auto"/>
        <w:tabs>
          <w:tab w:leader="none" w:pos="267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Institutional (GP) V, L.L.C., a Delaware limited liability company (the “</w:t>
      </w:r>
      <w:r>
        <w:rPr>
          <w:rFonts w:ascii="Times New Roman" w:cs="Times New Roman" w:eastAsia="Times New Roman" w:hAnsi="Times New Roman"/>
          <w:sz w:val="22"/>
          <w:szCs w:val="22"/>
          <w:u w:val="single" w:color="auto"/>
          <w:color w:val="auto"/>
        </w:rPr>
        <w:t>FCIP V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which is the general partner of FCIP V, with respect to the Shares held by FCIP 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F5MI General Partner</w:t>
      </w:r>
    </w:p>
    <w:p>
      <w:pPr>
        <w:spacing w:after="0" w:line="206" w:lineRule="exact"/>
        <w:rPr>
          <w:sz w:val="20"/>
          <w:szCs w:val="20"/>
          <w:color w:val="auto"/>
        </w:rPr>
      </w:pPr>
    </w:p>
    <w:p>
      <w:pPr>
        <w:ind w:left="1960" w:hanging="332"/>
        <w:spacing w:after="0" w:line="258" w:lineRule="auto"/>
        <w:tabs>
          <w:tab w:leader="none" w:pos="26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F5 (GP), L.L.C., a Delaware limited liability company (the “</w:t>
      </w:r>
      <w:r>
        <w:rPr>
          <w:rFonts w:ascii="Times New Roman" w:cs="Times New Roman" w:eastAsia="Times New Roman" w:hAnsi="Times New Roman"/>
          <w:sz w:val="22"/>
          <w:szCs w:val="22"/>
          <w:u w:val="single" w:color="auto"/>
          <w:color w:val="auto"/>
        </w:rPr>
        <w:t>F5MI General Partner</w:t>
      </w:r>
      <w:r>
        <w:rPr>
          <w:rFonts w:ascii="Times New Roman" w:cs="Times New Roman" w:eastAsia="Times New Roman" w:hAnsi="Times New Roman"/>
          <w:sz w:val="22"/>
          <w:szCs w:val="22"/>
          <w:color w:val="auto"/>
        </w:rPr>
        <w:t>”), which is the general partner of F5MI, with respect to the Shares held by F5MI.</w:t>
      </w:r>
    </w:p>
    <w:p>
      <w:pPr>
        <w:sectPr>
          <w:pgSz w:w="11900" w:h="16894" w:orient="portrait"/>
          <w:cols w:equalWidth="0" w:num="1">
            <w:col w:w="11240"/>
          </w:cols>
          <w:pgMar w:left="320" w:top="328" w:right="339" w:bottom="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2"/>
          <w:szCs w:val="22"/>
          <w:u w:val="single" w:color="auto"/>
          <w:color w:val="auto"/>
        </w:rPr>
        <w:t>The Farallon Individual Reporting Persons</w:t>
      </w:r>
    </w:p>
    <w:p>
      <w:pPr>
        <w:spacing w:after="0" w:line="206" w:lineRule="exact"/>
        <w:rPr>
          <w:sz w:val="20"/>
          <w:szCs w:val="20"/>
          <w:color w:val="auto"/>
        </w:rPr>
      </w:pPr>
    </w:p>
    <w:p>
      <w:pPr>
        <w:jc w:val="both"/>
        <w:ind w:left="2000" w:hanging="372"/>
        <w:spacing w:after="0" w:line="235" w:lineRule="auto"/>
        <w:tabs>
          <w:tab w:leader="none" w:pos="264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persons, each of whom is a managing member or senior managing member, as the case may be, of the Farallon General Partner and a manager or senior manager, as the case may be, of the FCIP V General Partner and the F5MI General Partner, with respect to the Shares held by the Farallon Funds: Joshua J. Dapice (“</w:t>
      </w:r>
      <w:r>
        <w:rPr>
          <w:rFonts w:ascii="Times New Roman" w:cs="Times New Roman" w:eastAsia="Times New Roman" w:hAnsi="Times New Roman"/>
          <w:sz w:val="22"/>
          <w:szCs w:val="22"/>
          <w:u w:val="single" w:color="auto"/>
          <w:color w:val="auto"/>
        </w:rPr>
        <w:t>Dapice</w:t>
      </w:r>
      <w:r>
        <w:rPr>
          <w:rFonts w:ascii="Times New Roman" w:cs="Times New Roman" w:eastAsia="Times New Roman" w:hAnsi="Times New Roman"/>
          <w:sz w:val="22"/>
          <w:szCs w:val="22"/>
          <w:color w:val="auto"/>
        </w:rPr>
        <w:t>”); Philip D. Dreyfuss (“</w:t>
      </w:r>
      <w:r>
        <w:rPr>
          <w:rFonts w:ascii="Times New Roman" w:cs="Times New Roman" w:eastAsia="Times New Roman" w:hAnsi="Times New Roman"/>
          <w:sz w:val="22"/>
          <w:szCs w:val="22"/>
          <w:u w:val="single" w:color="auto"/>
          <w:color w:val="auto"/>
        </w:rPr>
        <w:t>Dreyfuss</w:t>
      </w:r>
      <w:r>
        <w:rPr>
          <w:rFonts w:ascii="Times New Roman" w:cs="Times New Roman" w:eastAsia="Times New Roman" w:hAnsi="Times New Roman"/>
          <w:sz w:val="22"/>
          <w:szCs w:val="22"/>
          <w:color w:val="auto"/>
        </w:rPr>
        <w:t>”); Hannah E. Dunn (“</w:t>
      </w:r>
      <w:r>
        <w:rPr>
          <w:rFonts w:ascii="Times New Roman" w:cs="Times New Roman" w:eastAsia="Times New Roman" w:hAnsi="Times New Roman"/>
          <w:sz w:val="22"/>
          <w:szCs w:val="22"/>
          <w:u w:val="single" w:color="auto"/>
          <w:color w:val="auto"/>
        </w:rPr>
        <w:t>Dunn</w:t>
      </w:r>
      <w:r>
        <w:rPr>
          <w:rFonts w:ascii="Times New Roman" w:cs="Times New Roman" w:eastAsia="Times New Roman" w:hAnsi="Times New Roman"/>
          <w:sz w:val="22"/>
          <w:szCs w:val="22"/>
          <w:color w:val="auto"/>
        </w:rPr>
        <w:t>”); Richard B. Fried (“</w:t>
      </w:r>
      <w:r>
        <w:rPr>
          <w:rFonts w:ascii="Times New Roman" w:cs="Times New Roman" w:eastAsia="Times New Roman" w:hAnsi="Times New Roman"/>
          <w:sz w:val="22"/>
          <w:szCs w:val="22"/>
          <w:u w:val="single" w:color="auto"/>
          <w:color w:val="auto"/>
        </w:rPr>
        <w:t>Fried</w:t>
      </w:r>
      <w:r>
        <w:rPr>
          <w:rFonts w:ascii="Times New Roman" w:cs="Times New Roman" w:eastAsia="Times New Roman" w:hAnsi="Times New Roman"/>
          <w:sz w:val="22"/>
          <w:szCs w:val="22"/>
          <w:color w:val="auto"/>
        </w:rPr>
        <w:t>”); Varun N. Gehani (“</w:t>
      </w:r>
      <w:r>
        <w:rPr>
          <w:rFonts w:ascii="Times New Roman" w:cs="Times New Roman" w:eastAsia="Times New Roman" w:hAnsi="Times New Roman"/>
          <w:sz w:val="22"/>
          <w:szCs w:val="22"/>
          <w:u w:val="single" w:color="auto"/>
          <w:color w:val="auto"/>
        </w:rPr>
        <w:t>Gehani</w:t>
      </w:r>
      <w:r>
        <w:rPr>
          <w:rFonts w:ascii="Times New Roman" w:cs="Times New Roman" w:eastAsia="Times New Roman" w:hAnsi="Times New Roman"/>
          <w:sz w:val="22"/>
          <w:szCs w:val="22"/>
          <w:color w:val="auto"/>
        </w:rPr>
        <w:t>”); Nicolas Giauque (“</w:t>
      </w:r>
      <w:r>
        <w:rPr>
          <w:rFonts w:ascii="Times New Roman" w:cs="Times New Roman" w:eastAsia="Times New Roman" w:hAnsi="Times New Roman"/>
          <w:sz w:val="22"/>
          <w:szCs w:val="22"/>
          <w:u w:val="single" w:color="auto"/>
          <w:color w:val="auto"/>
        </w:rPr>
        <w:t>Giauque</w:t>
      </w:r>
      <w:r>
        <w:rPr>
          <w:rFonts w:ascii="Times New Roman" w:cs="Times New Roman" w:eastAsia="Times New Roman" w:hAnsi="Times New Roman"/>
          <w:sz w:val="22"/>
          <w:szCs w:val="22"/>
          <w:color w:val="auto"/>
        </w:rPr>
        <w:t>”); David T. Kim (“</w:t>
      </w:r>
      <w:r>
        <w:rPr>
          <w:rFonts w:ascii="Times New Roman" w:cs="Times New Roman" w:eastAsia="Times New Roman" w:hAnsi="Times New Roman"/>
          <w:sz w:val="22"/>
          <w:szCs w:val="22"/>
          <w:u w:val="single" w:color="auto"/>
          <w:color w:val="auto"/>
        </w:rPr>
        <w:t>Kim</w:t>
      </w:r>
      <w:r>
        <w:rPr>
          <w:rFonts w:ascii="Times New Roman" w:cs="Times New Roman" w:eastAsia="Times New Roman" w:hAnsi="Times New Roman"/>
          <w:sz w:val="22"/>
          <w:szCs w:val="22"/>
          <w:color w:val="auto"/>
        </w:rPr>
        <w:t>”); Michael G. Linn (“</w:t>
      </w:r>
      <w:r>
        <w:rPr>
          <w:rFonts w:ascii="Times New Roman" w:cs="Times New Roman" w:eastAsia="Times New Roman" w:hAnsi="Times New Roman"/>
          <w:sz w:val="22"/>
          <w:szCs w:val="22"/>
          <w:u w:val="single" w:color="auto"/>
          <w:color w:val="auto"/>
        </w:rPr>
        <w:t>Linn</w:t>
      </w:r>
      <w:r>
        <w:rPr>
          <w:rFonts w:ascii="Times New Roman" w:cs="Times New Roman" w:eastAsia="Times New Roman" w:hAnsi="Times New Roman"/>
          <w:sz w:val="22"/>
          <w:szCs w:val="22"/>
          <w:color w:val="auto"/>
        </w:rPr>
        <w:t>”); Rajiv A. Patel (“</w:t>
      </w:r>
      <w:r>
        <w:rPr>
          <w:rFonts w:ascii="Times New Roman" w:cs="Times New Roman" w:eastAsia="Times New Roman" w:hAnsi="Times New Roman"/>
          <w:sz w:val="22"/>
          <w:szCs w:val="22"/>
          <w:u w:val="single" w:color="auto"/>
          <w:color w:val="auto"/>
        </w:rPr>
        <w:t>Patel</w:t>
      </w:r>
      <w:r>
        <w:rPr>
          <w:rFonts w:ascii="Times New Roman" w:cs="Times New Roman" w:eastAsia="Times New Roman" w:hAnsi="Times New Roman"/>
          <w:sz w:val="22"/>
          <w:szCs w:val="22"/>
          <w:color w:val="auto"/>
        </w:rPr>
        <w:t>”); Thomas G. Roberts, Jr. (“</w:t>
      </w:r>
      <w:r>
        <w:rPr>
          <w:rFonts w:ascii="Times New Roman" w:cs="Times New Roman" w:eastAsia="Times New Roman" w:hAnsi="Times New Roman"/>
          <w:sz w:val="22"/>
          <w:szCs w:val="22"/>
          <w:u w:val="single" w:color="auto"/>
          <w:color w:val="auto"/>
        </w:rPr>
        <w:t>Roberts</w:t>
      </w:r>
      <w:r>
        <w:rPr>
          <w:rFonts w:ascii="Times New Roman" w:cs="Times New Roman" w:eastAsia="Times New Roman" w:hAnsi="Times New Roman"/>
          <w:sz w:val="22"/>
          <w:szCs w:val="22"/>
          <w:color w:val="auto"/>
        </w:rPr>
        <w:t>”); Edric C. Saito (“</w:t>
      </w:r>
      <w:r>
        <w:rPr>
          <w:rFonts w:ascii="Times New Roman" w:cs="Times New Roman" w:eastAsia="Times New Roman" w:hAnsi="Times New Roman"/>
          <w:sz w:val="22"/>
          <w:szCs w:val="22"/>
          <w:u w:val="single" w:color="auto"/>
          <w:color w:val="auto"/>
        </w:rPr>
        <w:t>Saito</w:t>
      </w:r>
      <w:r>
        <w:rPr>
          <w:rFonts w:ascii="Times New Roman" w:cs="Times New Roman" w:eastAsia="Times New Roman" w:hAnsi="Times New Roman"/>
          <w:sz w:val="22"/>
          <w:szCs w:val="22"/>
          <w:color w:val="auto"/>
        </w:rPr>
        <w:t>”); William Seybold (“</w:t>
      </w:r>
      <w:r>
        <w:rPr>
          <w:rFonts w:ascii="Times New Roman" w:cs="Times New Roman" w:eastAsia="Times New Roman" w:hAnsi="Times New Roman"/>
          <w:sz w:val="22"/>
          <w:szCs w:val="22"/>
          <w:u w:val="single" w:color="auto"/>
          <w:color w:val="auto"/>
        </w:rPr>
        <w:t>Seybold</w:t>
      </w:r>
      <w:r>
        <w:rPr>
          <w:rFonts w:ascii="Times New Roman" w:cs="Times New Roman" w:eastAsia="Times New Roman" w:hAnsi="Times New Roman"/>
          <w:sz w:val="22"/>
          <w:szCs w:val="22"/>
          <w:color w:val="auto"/>
        </w:rPr>
        <w:t>”); Daniel S. Short (“</w:t>
      </w:r>
      <w:r>
        <w:rPr>
          <w:rFonts w:ascii="Times New Roman" w:cs="Times New Roman" w:eastAsia="Times New Roman" w:hAnsi="Times New Roman"/>
          <w:sz w:val="22"/>
          <w:szCs w:val="22"/>
          <w:u w:val="single" w:color="auto"/>
          <w:color w:val="auto"/>
        </w:rPr>
        <w:t>Short</w:t>
      </w:r>
      <w:r>
        <w:rPr>
          <w:rFonts w:ascii="Times New Roman" w:cs="Times New Roman" w:eastAsia="Times New Roman" w:hAnsi="Times New Roman"/>
          <w:sz w:val="22"/>
          <w:szCs w:val="22"/>
          <w:color w:val="auto"/>
        </w:rPr>
        <w:t>”); Andrew J. M. Spokes (“</w:t>
      </w:r>
      <w:r>
        <w:rPr>
          <w:rFonts w:ascii="Times New Roman" w:cs="Times New Roman" w:eastAsia="Times New Roman" w:hAnsi="Times New Roman"/>
          <w:sz w:val="22"/>
          <w:szCs w:val="22"/>
          <w:u w:val="single" w:color="auto"/>
          <w:color w:val="auto"/>
        </w:rPr>
        <w:t>Spokes</w:t>
      </w:r>
      <w:r>
        <w:rPr>
          <w:rFonts w:ascii="Times New Roman" w:cs="Times New Roman" w:eastAsia="Times New Roman" w:hAnsi="Times New Roman"/>
          <w:sz w:val="22"/>
          <w:szCs w:val="22"/>
          <w:color w:val="auto"/>
        </w:rPr>
        <w:t>”); John R. Warren (“</w:t>
      </w:r>
      <w:r>
        <w:rPr>
          <w:rFonts w:ascii="Times New Roman" w:cs="Times New Roman" w:eastAsia="Times New Roman" w:hAnsi="Times New Roman"/>
          <w:sz w:val="22"/>
          <w:szCs w:val="22"/>
          <w:u w:val="single" w:color="auto"/>
          <w:color w:val="auto"/>
        </w:rPr>
        <w:t>Warren</w:t>
      </w:r>
      <w:r>
        <w:rPr>
          <w:rFonts w:ascii="Times New Roman" w:cs="Times New Roman" w:eastAsia="Times New Roman" w:hAnsi="Times New Roman"/>
          <w:sz w:val="22"/>
          <w:szCs w:val="22"/>
          <w:color w:val="auto"/>
        </w:rPr>
        <w:t>”); and Mark C. Wehrly (“</w:t>
      </w:r>
      <w:r>
        <w:rPr>
          <w:rFonts w:ascii="Times New Roman" w:cs="Times New Roman" w:eastAsia="Times New Roman" w:hAnsi="Times New Roman"/>
          <w:sz w:val="22"/>
          <w:szCs w:val="22"/>
          <w:u w:val="single" w:color="auto"/>
          <w:color w:val="auto"/>
        </w:rPr>
        <w:t>Wehrly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Dapice, Dreyfuss, Dunn, Fried, Gehani, Giauque, Kim, Linn, Patel, Roberts, Saito, Seybold, Short, Spokes, Warren and Wehrly are together referred to herein as the “</w:t>
      </w:r>
      <w:r>
        <w:rPr>
          <w:rFonts w:ascii="Times New Roman" w:cs="Times New Roman" w:eastAsia="Times New Roman" w:hAnsi="Times New Roman"/>
          <w:sz w:val="22"/>
          <w:szCs w:val="22"/>
          <w:u w:val="single" w:color="auto"/>
          <w:color w:val="auto"/>
        </w:rPr>
        <w:t>Farallon Individual Reporting Persons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citizenship of each of the Farallon Funds, the Farallon General Partner, the FCIP V General Partner and the F5MI General Partner is set forth above. Each of the Farallon Individual Reporting Persons, other than Giauque and Spokes, is a citizen of the United States. Giauque is a citizen of France. Spokes is a citizen of the United Kingdom. The address of the principal business office of each of the Reporting Persons is c/o Farallon Capital Management, L.L.C., One Maritime Plaza, Suite 2100, San Francisco, California 94111.</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29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Item 3.</w:t>
            </w:r>
          </w:p>
        </w:tc>
        <w:tc>
          <w:tcPr>
            <w:tcW w:w="660" w:type="dxa"/>
            <w:vAlign w:val="bottom"/>
          </w:tcPr>
          <w:p>
            <w:pPr>
              <w:spacing w:after="0"/>
              <w:rPr>
                <w:sz w:val="22"/>
                <w:szCs w:val="22"/>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If This Statement Is Filed Pursuant to Sections 240.13d-1(b) or 240.13d-2(b) or (c),</w:t>
            </w:r>
          </w:p>
        </w:tc>
        <w:tc>
          <w:tcPr>
            <w:tcW w:w="20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Check Whether the</w:t>
            </w:r>
          </w:p>
        </w:tc>
      </w:tr>
      <w:tr>
        <w:trPr>
          <w:trHeight w:val="223"/>
        </w:trPr>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6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Person Filing Is an Entity Specified in (a) - (k):</w:t>
            </w:r>
          </w:p>
        </w:tc>
        <w:tc>
          <w:tcPr>
            <w:tcW w:w="2060" w:type="dxa"/>
            <w:vAlign w:val="bottom"/>
            <w:tcBorders>
              <w:top w:val="single" w:sz="8" w:color="auto"/>
            </w:tcBorders>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91"/>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Not applicable.</w:t>
            </w:r>
          </w:p>
        </w:tc>
        <w:tc>
          <w:tcPr>
            <w:tcW w:w="2060" w:type="dxa"/>
            <w:vAlign w:val="bottom"/>
          </w:tcPr>
          <w:p>
            <w:pPr>
              <w:spacing w:after="0"/>
              <w:rPr>
                <w:sz w:val="24"/>
                <w:szCs w:val="24"/>
                <w:color w:val="auto"/>
              </w:rPr>
            </w:pPr>
          </w:p>
        </w:tc>
      </w:tr>
      <w:tr>
        <w:trPr>
          <w:trHeight w:val="407"/>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Item 4.</w:t>
            </w:r>
          </w:p>
        </w:tc>
        <w:tc>
          <w:tcPr>
            <w:tcW w:w="660" w:type="dxa"/>
            <w:vAlign w:val="bottom"/>
          </w:tcPr>
          <w:p>
            <w:pPr>
              <w:spacing w:after="0"/>
              <w:rPr>
                <w:sz w:val="24"/>
                <w:szCs w:val="24"/>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Ownership</w:t>
            </w:r>
          </w:p>
        </w:tc>
        <w:tc>
          <w:tcPr>
            <w:tcW w:w="20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The Shares reported hereby for the Farallon Funds are owned directly by the Farallon Funds. The Farallon General Partner, as general partner of FCP, FCIP, FCIP II, FCIP III, FCOI II and FCAMI and the sole member of the FCIP V General Partner, may be deemed to be a beneficial owner of all such Shares owned by the Farallon Funds other than F5MI. The FCIP V General Partner, as general partner of FCIP V, may be deemed to be a beneficial owner of all such Shares owned by FCIP V. The F5MI General Partner, as general partner of F5MI, may be deemed to be a beneficial owner of all such Shares owned by F5MI. Each of the Farallon Individual Reporting Persons, as a managing member or senior managing member, as the case may be, of the Farallon General Partner and a manager or senior manager, as the case may be, of the FCIP V General Partner and the F5MI General Partner, in each case with the power to exercise investment discretion, may be deemed to be a beneficial owner of all such Shares owned by the Farallon Funds. </w:t>
      </w:r>
      <w:r>
        <w:rPr>
          <w:rFonts w:ascii="Times New Roman" w:cs="Times New Roman" w:eastAsia="Times New Roman" w:hAnsi="Times New Roman"/>
          <w:sz w:val="21"/>
          <w:szCs w:val="21"/>
          <w:b w:val="1"/>
          <w:bCs w:val="1"/>
          <w:color w:val="auto"/>
        </w:rPr>
        <w:t>Each of the Farallon General Partner, the FCIP V General Partner, the F5MI</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General Partner and the Farallon Individual Reporting Persons hereby disclaims any beneficial ownership of any such Shares.</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 of Five Percent or Less of a Class</w:t>
      </w:r>
    </w:p>
    <w:p>
      <w:pPr>
        <w:spacing w:after="0" w:line="20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each of the Reporting Persons has ceased to be a beneficial owner of more than five percent of the class of securities, check the following: [X]</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6" w:lineRule="exact"/>
        <w:rPr>
          <w:sz w:val="20"/>
          <w:szCs w:val="20"/>
          <w:color w:val="auto"/>
        </w:rPr>
      </w:pPr>
    </w:p>
    <w:p>
      <w:pPr>
        <w:ind w:left="1300" w:right="180" w:hanging="1295"/>
        <w:spacing w:after="0" w:line="258" w:lineRule="auto"/>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8</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p>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The Reporting Persons are filing this Schedule 13G pursuant to Section 240.13d-1(c). Consistent with Item 2 of the cover page for each Reporting Person above, the Reporting Persons neither disclaim nor affirm the existence of a group among them.</w:t>
      </w:r>
    </w:p>
    <w:p>
      <w:pPr>
        <w:spacing w:after="0" w:line="1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9</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Item 10</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Certification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30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our knowledge and belief, the undersigned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24, 2024</w:t>
      </w:r>
    </w:p>
    <w:p>
      <w:pPr>
        <w:spacing w:after="0" w:line="2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PARTNERS, L.P.,</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INSTITUTIONAL PARTNERS, L.P.,</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INSTITUTIONAL PARTNERS II, L.P.,</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INSTITUTIONAL PARTNERS III, L.P.,</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OFFSHORE INVESTORS II, L.P.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(AM) INVESTORS, L.P.</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By Hannah E. Dunn, Managing Member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FOUR CROSSINGS INSTITUTIONAL PARTNERS V, L.P.</w:t>
      </w:r>
    </w:p>
    <w:p>
      <w:pPr>
        <w:ind w:left="1740"/>
        <w:spacing w:after="0"/>
        <w:rPr>
          <w:sz w:val="20"/>
          <w:szCs w:val="20"/>
          <w:color w:val="auto"/>
        </w:rPr>
      </w:pPr>
      <w:r>
        <w:rPr>
          <w:rFonts w:ascii="Times New Roman" w:cs="Times New Roman" w:eastAsia="Times New Roman" w:hAnsi="Times New Roman"/>
          <w:sz w:val="22"/>
          <w:szCs w:val="22"/>
          <w:color w:val="auto"/>
        </w:rPr>
        <w:t>By Hannah E. Dunn, Manager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F5 MASTER I, L.P.</w:t>
      </w:r>
    </w:p>
    <w:p>
      <w:pPr>
        <w:ind w:left="1740"/>
        <w:spacing w:after="0"/>
        <w:rPr>
          <w:sz w:val="20"/>
          <w:szCs w:val="20"/>
          <w:color w:val="auto"/>
        </w:rPr>
      </w:pPr>
      <w:r>
        <w:rPr>
          <w:rFonts w:ascii="Times New Roman" w:cs="Times New Roman" w:eastAsia="Times New Roman" w:hAnsi="Times New Roman"/>
          <w:sz w:val="22"/>
          <w:szCs w:val="22"/>
          <w:color w:val="auto"/>
        </w:rPr>
        <w:t>By Hannah E. Dunn, Manager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4" w:lineRule="exact"/>
        <w:rPr>
          <w:sz w:val="20"/>
          <w:szCs w:val="20"/>
          <w:color w:val="auto"/>
        </w:rPr>
      </w:pPr>
    </w:p>
    <w:p>
      <w:pPr>
        <w:jc w:val="both"/>
        <w:ind w:left="1740"/>
        <w:spacing w:after="0" w:line="239" w:lineRule="auto"/>
        <w:rPr>
          <w:sz w:val="20"/>
          <w:szCs w:val="20"/>
          <w:color w:val="auto"/>
        </w:rPr>
      </w:pPr>
      <w:r>
        <w:rPr>
          <w:rFonts w:ascii="Times New Roman" w:cs="Times New Roman" w:eastAsia="Times New Roman" w:hAnsi="Times New Roman"/>
          <w:sz w:val="22"/>
          <w:szCs w:val="22"/>
          <w:color w:val="auto"/>
        </w:rPr>
        <w:t>Hannah E. Dunn, individually and as attorney-in-fact for each of Joshua J. Dapice, Philip D. Dreyfuss, Richard B. Fried, Varun N. Gehani, Nicolas Giauque, David T. Kim, Michael G. Linn, Rajiv A. Patel, Thomas G. Roberts, Jr., Edric C. Saito, William Seybold, Daniel S. Short, Andrew J. M. Spokes, John R. Warren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-630555</wp:posOffset>
            </wp:positionV>
            <wp:extent cx="6035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8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Powers of Attorney executed by each of Dapice, Dreyfuss, Fried, Gehani, Giauque, Kim, Linn, Patel, Roberts, Saito, Seybold, Short, Spokes, Warren and Wehrly authorizing Dunn to sign and file this Schedule 13G on his behalf, which were filed as exhibits to the Schedule 13G filed with the Securities and Exchange Commission on January 31, 2023 by such Reporting Persons with respect to the Class A Ordinary Shares of ARYA Sciences Acquisition Corp IV,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31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820"/>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2"/>
          <w:szCs w:val="22"/>
          <w:color w:val="auto"/>
        </w:rPr>
        <w:t>EXHIBIT 1</w:t>
      </w:r>
      <w:r>
        <w:rPr>
          <w:sz w:val="20"/>
          <w:szCs w:val="20"/>
          <w:color w:val="auto"/>
        </w:rPr>
        <w:tab/>
      </w:r>
      <w:r>
        <w:rPr>
          <w:rFonts w:ascii="Times New Roman" w:cs="Times New Roman" w:eastAsia="Times New Roman" w:hAnsi="Times New Roman"/>
          <w:sz w:val="21"/>
          <w:szCs w:val="21"/>
          <w:color w:val="auto"/>
        </w:rPr>
        <w:t>Joint Acquisition Statement Pursuant to Section 240.13d-1(k)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Page 32 of 33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w:t>
      </w:r>
    </w:p>
    <w:p>
      <w:pPr>
        <w:ind w:left="9680"/>
        <w:spacing w:after="0"/>
        <w:rPr>
          <w:sz w:val="20"/>
          <w:szCs w:val="20"/>
          <w:color w:val="auto"/>
        </w:rPr>
      </w:pPr>
      <w:r>
        <w:rPr>
          <w:rFonts w:ascii="Times New Roman" w:cs="Times New Roman" w:eastAsia="Times New Roman" w:hAnsi="Times New Roman"/>
          <w:sz w:val="21"/>
          <w:szCs w:val="21"/>
          <w:color w:val="auto"/>
        </w:rPr>
        <w:t>SCHEDULE 13G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ACQUISITION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PURSUANT TO SECTION 240.13d-1(k)</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24, 2024</w:t>
      </w:r>
    </w:p>
    <w:p>
      <w:pPr>
        <w:spacing w:after="0" w:line="2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PARTNERS, L.P.,</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INSTITUTIONAL PARTNERS, L.P.,</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INSTITUTIONAL PARTNERS II, L.P.,</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INSTITUTIONAL PARTNERS III, L.P.,</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OFFSHORE INVESTORS II, L.P.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FARALLON CAPITAL (AM) INVESTORS, L.P.</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By Hannah E. Dunn, Managing Member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FOUR CROSSINGS INSTITUTIONAL PARTNERS V, L.P.</w:t>
      </w:r>
    </w:p>
    <w:p>
      <w:pPr>
        <w:ind w:left="1740"/>
        <w:spacing w:after="0"/>
        <w:rPr>
          <w:sz w:val="20"/>
          <w:szCs w:val="20"/>
          <w:color w:val="auto"/>
        </w:rPr>
      </w:pPr>
      <w:r>
        <w:rPr>
          <w:rFonts w:ascii="Times New Roman" w:cs="Times New Roman" w:eastAsia="Times New Roman" w:hAnsi="Times New Roman"/>
          <w:sz w:val="22"/>
          <w:szCs w:val="22"/>
          <w:color w:val="auto"/>
        </w:rPr>
        <w:t>By Hannah E. Dunn, Manager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60350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On its own behalf and</w:t>
      </w:r>
    </w:p>
    <w:p>
      <w:pPr>
        <w:ind w:left="1740"/>
        <w:spacing w:after="0" w:line="230" w:lineRule="auto"/>
        <w:rPr>
          <w:sz w:val="20"/>
          <w:szCs w:val="20"/>
          <w:color w:val="auto"/>
        </w:rPr>
      </w:pPr>
      <w:r>
        <w:rPr>
          <w:rFonts w:ascii="Times New Roman" w:cs="Times New Roman" w:eastAsia="Times New Roman" w:hAnsi="Times New Roman"/>
          <w:sz w:val="22"/>
          <w:szCs w:val="22"/>
          <w:color w:val="auto"/>
        </w:rPr>
        <w:t>As the General Partner of</w:t>
      </w:r>
    </w:p>
    <w:p>
      <w:pPr>
        <w:ind w:left="1740"/>
        <w:spacing w:after="0" w:line="231" w:lineRule="auto"/>
        <w:rPr>
          <w:sz w:val="20"/>
          <w:szCs w:val="20"/>
          <w:color w:val="auto"/>
        </w:rPr>
      </w:pPr>
      <w:r>
        <w:rPr>
          <w:rFonts w:ascii="Times New Roman" w:cs="Times New Roman" w:eastAsia="Times New Roman" w:hAnsi="Times New Roman"/>
          <w:sz w:val="22"/>
          <w:szCs w:val="22"/>
          <w:color w:val="auto"/>
        </w:rPr>
        <w:t>FARALLON CAPITAL F5 MASTER I, L.P.</w:t>
      </w:r>
    </w:p>
    <w:p>
      <w:pPr>
        <w:ind w:left="1740"/>
        <w:spacing w:after="0"/>
        <w:rPr>
          <w:sz w:val="20"/>
          <w:szCs w:val="20"/>
          <w:color w:val="auto"/>
        </w:rPr>
      </w:pPr>
      <w:r>
        <w:rPr>
          <w:rFonts w:ascii="Times New Roman" w:cs="Times New Roman" w:eastAsia="Times New Roman" w:hAnsi="Times New Roman"/>
          <w:sz w:val="22"/>
          <w:szCs w:val="22"/>
          <w:color w:val="auto"/>
        </w:rPr>
        <w:t>By Hannah E. Dunn, Manager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10795</wp:posOffset>
            </wp:positionV>
            <wp:extent cx="60350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4" w:lineRule="exact"/>
        <w:rPr>
          <w:sz w:val="20"/>
          <w:szCs w:val="20"/>
          <w:color w:val="auto"/>
        </w:rPr>
      </w:pPr>
    </w:p>
    <w:p>
      <w:pPr>
        <w:jc w:val="both"/>
        <w:ind w:left="1740"/>
        <w:spacing w:after="0" w:line="239" w:lineRule="auto"/>
        <w:rPr>
          <w:sz w:val="20"/>
          <w:szCs w:val="20"/>
          <w:color w:val="auto"/>
        </w:rPr>
      </w:pPr>
      <w:r>
        <w:rPr>
          <w:rFonts w:ascii="Times New Roman" w:cs="Times New Roman" w:eastAsia="Times New Roman" w:hAnsi="Times New Roman"/>
          <w:sz w:val="22"/>
          <w:szCs w:val="22"/>
          <w:color w:val="auto"/>
        </w:rPr>
        <w:t>Hannah E. Dunn, individually and as attorney-in-fact for each of Joshua J. Dapice, Philip D. Dreyfuss, Richard B. Fried, Varun N. Gehani, Nicolas Giauque, David T. Kim, Michael G. Linn, Rajiv A. Patel, Thomas G. Roberts, Jr., Edric C. Saito, William Seybold, Daniel S. Short, Andrew J. M. Spokes, John R. Warren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-630555</wp:posOffset>
            </wp:positionV>
            <wp:extent cx="60350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33 of 33 Pages</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3"/>
      <w:numFmt w:val="bullet"/>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3"/>
      <w:numFmt w:val="bullet"/>
      <w:start w:val="1"/>
    </w:lvl>
  </w:abstractNum>
  <w:abstractNum w:abstractNumId="4">
    <w:nsid w:val="62BBD95A"/>
    <w:multiLevelType w:val="hybridMultilevel"/>
    <w:lvl w:ilvl="0">
      <w:lvlJc w:val="left"/>
      <w:lvlText w:val="3"/>
      <w:numFmt w:val="bullet"/>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3"/>
      <w:numFmt w:val="bullet"/>
      <w:start w:val="1"/>
    </w:lvl>
  </w:abstractNum>
  <w:abstractNum w:abstractNumId="7">
    <w:nsid w:val="333AB105"/>
    <w:multiLevelType w:val="hybridMultilevel"/>
    <w:lvl w:ilvl="0">
      <w:lvlJc w:val="left"/>
      <w:lvlText w:val="3"/>
      <w:numFmt w:val="bullet"/>
      <w:start w:val="1"/>
    </w:lvl>
  </w:abstractNum>
  <w:abstractNum w:abstractNumId="8">
    <w:nsid w:val="721DA317"/>
    <w:multiLevelType w:val="hybridMultilevel"/>
    <w:lvl w:ilvl="0">
      <w:lvlJc w:val="left"/>
      <w:lvlText w:val="3"/>
      <w:numFmt w:val="bullet"/>
      <w:start w:val="1"/>
    </w:lvl>
  </w:abstractNum>
  <w:abstractNum w:abstractNumId="9">
    <w:nsid w:val="2443A858"/>
    <w:multiLevelType w:val="hybridMultilevel"/>
    <w:lvl w:ilvl="0">
      <w:lvlJc w:val="left"/>
      <w:lvlText w:val="3"/>
      <w:numFmt w:val="bullet"/>
      <w:start w:val="1"/>
    </w:lvl>
  </w:abstractNum>
  <w:abstractNum w:abstractNumId="10">
    <w:nsid w:val="2D1D5AE9"/>
    <w:multiLevelType w:val="hybridMultilevel"/>
    <w:lvl w:ilvl="0">
      <w:lvlJc w:val="left"/>
      <w:lvlText w:val="3"/>
      <w:numFmt w:val="bullet"/>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3"/>
      <w:numFmt w:val="bullet"/>
      <w:start w:val="1"/>
    </w:lvl>
  </w:abstractNum>
  <w:abstractNum w:abstractNumId="13">
    <w:nsid w:val="8EDBDAB"/>
    <w:multiLevelType w:val="hybridMultilevel"/>
    <w:lvl w:ilvl="0">
      <w:lvlJc w:val="left"/>
      <w:lvlText w:val="3"/>
      <w:numFmt w:val="bullet"/>
      <w:start w:val="1"/>
    </w:lvl>
  </w:abstractNum>
  <w:abstractNum w:abstractNumId="14">
    <w:nsid w:val="79838CB2"/>
    <w:multiLevelType w:val="hybridMultilevel"/>
    <w:lvl w:ilvl="0">
      <w:lvlJc w:val="left"/>
      <w:lvlText w:val="3"/>
      <w:numFmt w:val="bullet"/>
      <w:start w:val="1"/>
    </w:lvl>
  </w:abstractNum>
  <w:abstractNum w:abstractNumId="15">
    <w:nsid w:val="4353D0CD"/>
    <w:multiLevelType w:val="hybridMultilevel"/>
    <w:lvl w:ilvl="0">
      <w:lvlJc w:val="left"/>
      <w:lvlText w:val="3"/>
      <w:numFmt w:val="bullet"/>
      <w:start w:val="1"/>
    </w:lvl>
  </w:abstractNum>
  <w:abstractNum w:abstractNumId="16">
    <w:nsid w:val="B03E0C6"/>
    <w:multiLevelType w:val="hybridMultilevel"/>
    <w:lvl w:ilvl="0">
      <w:lvlJc w:val="left"/>
      <w:lvlText w:val="3"/>
      <w:numFmt w:val="bullet"/>
      <w:start w:val="1"/>
    </w:lvl>
  </w:abstractNum>
  <w:abstractNum w:abstractNumId="17">
    <w:nsid w:val="189A769B"/>
    <w:multiLevelType w:val="hybridMultilevel"/>
    <w:lvl w:ilvl="0">
      <w:lvlJc w:val="left"/>
      <w:lvlText w:val="3"/>
      <w:numFmt w:val="bullet"/>
      <w:start w:val="1"/>
    </w:lvl>
  </w:abstractNum>
  <w:abstractNum w:abstractNumId="18">
    <w:nsid w:val="54E49EB4"/>
    <w:multiLevelType w:val="hybridMultilevel"/>
    <w:lvl w:ilvl="0">
      <w:lvlJc w:val="left"/>
      <w:lvlText w:val="3"/>
      <w:numFmt w:val="bullet"/>
      <w:start w:val="1"/>
    </w:lvl>
  </w:abstractNum>
  <w:abstractNum w:abstractNumId="19">
    <w:nsid w:val="71F32454"/>
    <w:multiLevelType w:val="hybridMultilevel"/>
    <w:lvl w:ilvl="0">
      <w:lvlJc w:val="left"/>
      <w:lvlText w:val="3"/>
      <w:numFmt w:val="bullet"/>
      <w:start w:val="1"/>
    </w:lvl>
  </w:abstractNum>
  <w:abstractNum w:abstractNumId="20">
    <w:nsid w:val="2CA88611"/>
    <w:multiLevelType w:val="hybridMultilevel"/>
    <w:lvl w:ilvl="0">
      <w:lvlJc w:val="left"/>
      <w:lvlText w:val="3"/>
      <w:numFmt w:val="bullet"/>
      <w:start w:val="1"/>
    </w:lvl>
  </w:abstractNum>
  <w:abstractNum w:abstractNumId="21">
    <w:nsid w:val="836C40E"/>
    <w:multiLevelType w:val="hybridMultilevel"/>
    <w:lvl w:ilvl="0">
      <w:lvlJc w:val="left"/>
      <w:lvlText w:val="3"/>
      <w:numFmt w:val="bullet"/>
      <w:start w:val="1"/>
    </w:lvl>
  </w:abstractNum>
  <w:abstractNum w:abstractNumId="22">
    <w:nsid w:val="2901D82"/>
    <w:multiLevelType w:val="hybridMultilevel"/>
    <w:lvl w:ilvl="0">
      <w:lvlJc w:val="left"/>
      <w:lvlText w:val="3"/>
      <w:numFmt w:val="bullet"/>
      <w:start w:val="1"/>
    </w:lvl>
  </w:abstractNum>
  <w:abstractNum w:abstractNumId="23">
    <w:nsid w:val="3A95F874"/>
    <w:multiLevelType w:val="hybridMultilevel"/>
    <w:lvl w:ilvl="0">
      <w:lvlJc w:val="left"/>
      <w:lvlText w:val="3"/>
      <w:numFmt w:val="bullet"/>
      <w:start w:val="1"/>
    </w:lvl>
  </w:abstractNum>
  <w:abstractNum w:abstractNumId="24">
    <w:nsid w:val="8138641"/>
    <w:multiLevelType w:val="hybridMultilevel"/>
    <w:lvl w:ilvl="0">
      <w:lvlJc w:val="left"/>
      <w:lvlText w:val="3"/>
      <w:numFmt w:val="bullet"/>
      <w:start w:val="1"/>
    </w:lvl>
  </w:abstractNum>
  <w:abstractNum w:abstractNumId="25">
    <w:nsid w:val="1E7FF521"/>
    <w:multiLevelType w:val="hybridMultilevel"/>
    <w:lvl w:ilvl="0">
      <w:lvlJc w:val="left"/>
      <w:lvlText w:val="3"/>
      <w:numFmt w:val="bullet"/>
      <w:start w:val="1"/>
    </w:lvl>
  </w:abstractNum>
  <w:abstractNum w:abstractNumId="26">
    <w:nsid w:val="7C3DBD3D"/>
    <w:multiLevelType w:val="hybridMultilevel"/>
    <w:lvl w:ilvl="0">
      <w:lvlJc w:val="left"/>
      <w:lvlText w:val="3"/>
      <w:numFmt w:val="bullet"/>
      <w:start w:val="1"/>
    </w:lvl>
  </w:abstractNum>
  <w:abstractNum w:abstractNumId="27">
    <w:nsid w:val="737B8DDC"/>
    <w:multiLevelType w:val="hybridMultilevel"/>
    <w:lvl w:ilvl="0">
      <w:lvlJc w:val="left"/>
      <w:lvlText w:val="3"/>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2"/>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lowerRoman"/>
      <w:start w:val="9"/>
    </w:lvl>
  </w:abstractNum>
  <w:abstractNum w:abstractNumId="32">
    <w:nsid w:val="614FD4A1"/>
    <w:multiLevelType w:val="hybridMultilevel"/>
    <w:lvl w:ilvl="0">
      <w:lvlJc w:val="left"/>
      <w:lvlText w:val="(%1)"/>
      <w:numFmt w:val="lowerRoman"/>
      <w:start w:val="10"/>
    </w:lvl>
  </w:abstractNum>
  <w:abstractNum w:abstractNumId="33">
    <w:nsid w:val="419AC241"/>
    <w:multiLevelType w:val="hybridMultilevel"/>
    <w:lvl w:ilvl="0">
      <w:lvlJc w:val="left"/>
      <w:lvlText w:val="(%1)"/>
      <w:numFmt w:val="lowerRoman"/>
      <w:start w:val="11"/>
    </w:lvl>
  </w:abstractNum>
  <w:abstractNum w:abstractNumId="34">
    <w:nsid w:val="5577F8E1"/>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2024-01-24T09:14:36Z</dcterms:created>
  <dcterms:modified xsi:type="dcterms:W3CDTF">2024-01-24T09:14:36Z</dcterms:modified>
</cp:coreProperties>
</file>