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Booth Bruce</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5"/>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AVROBIO,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21.91</w:t>
            </w: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06/03/2030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14,000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14,000</w:t>
            </w:r>
          </w:p>
        </w:tc>
        <w:tc>
          <w:tcPr>
            <w:tcW w:w="280" w:type="dxa"/>
            <w:vAlign w:val="bottom"/>
          </w:tcPr>
          <w:p>
            <w:pPr>
              <w:spacing w:after="0"/>
              <w:rPr>
                <w:sz w:val="16"/>
                <w:szCs w:val="16"/>
                <w:color w:val="auto"/>
              </w:rPr>
            </w:pPr>
          </w:p>
        </w:tc>
        <w:tc>
          <w:tcPr>
            <w:tcW w:w="660" w:type="dxa"/>
            <w:vAlign w:val="bottom"/>
          </w:tcPr>
          <w:p>
            <w:pPr>
              <w:ind w:left="260"/>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4, 2021 or the date of the Issuer's 2021 Annual Meeting of Stockholders, subject to the reporting person's continued service as a director through such vesting date.</w:t>
      </w:r>
    </w:p>
    <w:p>
      <w:pPr>
        <w:spacing w:after="0" w:line="25"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Bruce Booth</w:t>
            </w:r>
          </w:p>
        </w:tc>
        <w:tc>
          <w:tcPr>
            <w:tcW w:w="760" w:type="dxa"/>
            <w:vAlign w:val="bottom"/>
          </w:tcPr>
          <w:p>
            <w:pPr>
              <w:spacing w:after="0"/>
              <w:rPr>
                <w:sz w:val="20"/>
                <w:szCs w:val="20"/>
                <w:color w:val="auto"/>
              </w:rPr>
            </w:pPr>
            <w:r>
              <w:rPr>
                <w:rFonts w:ascii="Arial" w:cs="Arial" w:eastAsia="Arial" w:hAnsi="Arial"/>
                <w:sz w:val="17"/>
                <w:szCs w:val="17"/>
                <w:color w:val="0000FF"/>
                <w:w w:val="86"/>
              </w:rPr>
              <w:t>06/05/2020</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1612"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2020-06-05T16:19:45Z</dcterms:created>
  <dcterms:modified xsi:type="dcterms:W3CDTF">2020-06-05T16:19:45Z</dcterms:modified>
</cp:coreProperties>
</file>