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17, 2022</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40" w:type="dxa"/>
            <w:vAlign w:val="bottom"/>
          </w:tcPr>
          <w:p>
            <w:pPr>
              <w:jc w:val="right"/>
              <w:ind w:right="196"/>
              <w:spacing w:after="0"/>
              <w:rPr>
                <w:sz w:val="20"/>
                <w:szCs w:val="20"/>
                <w:color w:val="auto"/>
              </w:rPr>
            </w:pPr>
            <w:r>
              <w:rPr>
                <w:rFonts w:ascii="Arial" w:cs="Arial" w:eastAsia="Arial" w:hAnsi="Arial"/>
                <w:sz w:val="18"/>
                <w:szCs w:val="18"/>
                <w:b w:val="1"/>
                <w:bCs w:val="1"/>
                <w:color w:val="auto"/>
              </w:rPr>
              <w:t>81-0710585</w:t>
            </w:r>
          </w:p>
        </w:tc>
      </w:tr>
      <w:tr>
        <w:trPr>
          <w:trHeight w:val="148"/>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40" w:type="dxa"/>
            <w:vAlign w:val="bottom"/>
          </w:tcPr>
          <w:p>
            <w:pPr>
              <w:jc w:val="center"/>
              <w:ind w:left="351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40" w:type="dxa"/>
            <w:vAlign w:val="bottom"/>
          </w:tcPr>
          <w:p>
            <w:pPr>
              <w:jc w:val="center"/>
              <w:ind w:left="3516"/>
              <w:spacing w:after="0"/>
              <w:rPr>
                <w:sz w:val="20"/>
                <w:szCs w:val="20"/>
                <w:color w:val="auto"/>
              </w:rPr>
            </w:pPr>
            <w:r>
              <w:rPr>
                <w:rFonts w:ascii="Arial" w:cs="Arial" w:eastAsia="Arial" w:hAnsi="Arial"/>
                <w:sz w:val="14"/>
                <w:szCs w:val="14"/>
                <w:b w:val="1"/>
                <w:bCs w:val="1"/>
                <w:color w:val="auto"/>
                <w:w w:val="96"/>
              </w:rPr>
              <w:t>Identification Number)</w:t>
            </w:r>
          </w:p>
        </w:tc>
      </w:tr>
      <w:tr>
        <w:trPr>
          <w:trHeight w:val="4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One Kendall Square</w:t>
            </w:r>
          </w:p>
        </w:tc>
        <w:tc>
          <w:tcPr>
            <w:tcW w:w="5040" w:type="dxa"/>
            <w:vAlign w:val="bottom"/>
          </w:tcPr>
          <w:p>
            <w:pPr>
              <w:spacing w:after="0"/>
              <w:rPr>
                <w:sz w:val="24"/>
                <w:szCs w:val="24"/>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Building 300, Suite 201</w:t>
            </w:r>
          </w:p>
        </w:tc>
        <w:tc>
          <w:tcPr>
            <w:tcW w:w="5040" w:type="dxa"/>
            <w:vAlign w:val="bottom"/>
          </w:tcPr>
          <w:p>
            <w:pPr>
              <w:spacing w:after="0"/>
              <w:rPr>
                <w:sz w:val="18"/>
                <w:szCs w:val="18"/>
                <w:color w:val="auto"/>
              </w:rPr>
            </w:pPr>
          </w:p>
        </w:tc>
      </w:tr>
      <w:tr>
        <w:trPr>
          <w:trHeight w:val="225"/>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5040" w:type="dxa"/>
            <w:vAlign w:val="bottom"/>
          </w:tcPr>
          <w:p>
            <w:pPr>
              <w:jc w:val="right"/>
              <w:ind w:right="416"/>
              <w:spacing w:after="0"/>
              <w:rPr>
                <w:sz w:val="20"/>
                <w:szCs w:val="20"/>
                <w:color w:val="auto"/>
              </w:rPr>
            </w:pPr>
            <w:r>
              <w:rPr>
                <w:rFonts w:ascii="Arial" w:cs="Arial" w:eastAsia="Arial" w:hAnsi="Arial"/>
                <w:sz w:val="18"/>
                <w:szCs w:val="18"/>
                <w:b w:val="1"/>
                <w:bCs w:val="1"/>
                <w:color w:val="auto"/>
              </w:rPr>
              <w:t>02139</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040" w:type="dxa"/>
            <w:vAlign w:val="bottom"/>
          </w:tcPr>
          <w:p>
            <w:pPr>
              <w:jc w:val="center"/>
              <w:ind w:left="3516"/>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2480" w:type="dxa"/>
            <w:vAlign w:val="bottom"/>
          </w:tcPr>
          <w:p>
            <w:pPr>
              <w:spacing w:after="0"/>
              <w:rPr>
                <w:sz w:val="24"/>
                <w:szCs w:val="24"/>
                <w:color w:val="auto"/>
              </w:rPr>
            </w:pPr>
          </w:p>
        </w:tc>
        <w:tc>
          <w:tcPr>
            <w:tcW w:w="5040" w:type="dxa"/>
            <w:vAlign w:val="bottom"/>
          </w:tcPr>
          <w:p>
            <w:pPr>
              <w:jc w:val="center"/>
              <w:ind w:right="1976"/>
              <w:spacing w:after="0"/>
              <w:rPr>
                <w:sz w:val="20"/>
                <w:szCs w:val="20"/>
                <w:color w:val="auto"/>
              </w:rPr>
            </w:pPr>
            <w:r>
              <w:rPr>
                <w:rFonts w:ascii="Arial" w:cs="Arial" w:eastAsia="Arial" w:hAnsi="Arial"/>
                <w:sz w:val="18"/>
                <w:szCs w:val="18"/>
                <w:b w:val="1"/>
                <w:bCs w:val="1"/>
                <w:color w:val="auto"/>
                <w:w w:val="90"/>
              </w:rPr>
              <w:t>2018 Stock Option and Incentive Plan</w:t>
            </w:r>
          </w:p>
        </w:tc>
      </w:tr>
      <w:tr>
        <w:trPr>
          <w:trHeight w:val="212"/>
        </w:trPr>
        <w:tc>
          <w:tcPr>
            <w:tcW w:w="2480" w:type="dxa"/>
            <w:vAlign w:val="bottom"/>
          </w:tcPr>
          <w:p>
            <w:pPr>
              <w:spacing w:after="0"/>
              <w:rPr>
                <w:sz w:val="18"/>
                <w:szCs w:val="18"/>
                <w:color w:val="auto"/>
              </w:rPr>
            </w:pPr>
          </w:p>
        </w:tc>
        <w:tc>
          <w:tcPr>
            <w:tcW w:w="5040" w:type="dxa"/>
            <w:vAlign w:val="bottom"/>
          </w:tcPr>
          <w:p>
            <w:pPr>
              <w:jc w:val="center"/>
              <w:ind w:right="1976"/>
              <w:spacing w:after="0"/>
              <w:rPr>
                <w:sz w:val="20"/>
                <w:szCs w:val="20"/>
                <w:color w:val="auto"/>
              </w:rPr>
            </w:pPr>
            <w:r>
              <w:rPr>
                <w:rFonts w:ascii="Arial" w:cs="Arial" w:eastAsia="Arial" w:hAnsi="Arial"/>
                <w:sz w:val="18"/>
                <w:szCs w:val="18"/>
                <w:b w:val="1"/>
                <w:bCs w:val="1"/>
                <w:color w:val="auto"/>
                <w:w w:val="88"/>
              </w:rPr>
              <w:t>2018 Employee Stock Purchase Plan</w:t>
            </w:r>
          </w:p>
        </w:tc>
      </w:tr>
      <w:tr>
        <w:trPr>
          <w:trHeight w:val="186"/>
        </w:trPr>
        <w:tc>
          <w:tcPr>
            <w:tcW w:w="2480" w:type="dxa"/>
            <w:vAlign w:val="bottom"/>
          </w:tcPr>
          <w:p>
            <w:pPr>
              <w:spacing w:after="0"/>
              <w:rPr>
                <w:sz w:val="16"/>
                <w:szCs w:val="16"/>
                <w:color w:val="auto"/>
              </w:rPr>
            </w:pPr>
          </w:p>
        </w:tc>
        <w:tc>
          <w:tcPr>
            <w:tcW w:w="5040" w:type="dxa"/>
            <w:vAlign w:val="bottom"/>
          </w:tcPr>
          <w:p>
            <w:pPr>
              <w:jc w:val="center"/>
              <w:ind w:right="1996"/>
              <w:spacing w:after="0"/>
              <w:rPr>
                <w:sz w:val="20"/>
                <w:szCs w:val="20"/>
                <w:color w:val="auto"/>
              </w:rPr>
            </w:pPr>
            <w:r>
              <w:rPr>
                <w:rFonts w:ascii="Arial" w:cs="Arial" w:eastAsia="Arial" w:hAnsi="Arial"/>
                <w:sz w:val="14"/>
                <w:szCs w:val="14"/>
                <w:b w:val="1"/>
                <w:bCs w:val="1"/>
                <w:color w:val="auto"/>
                <w:w w:val="95"/>
              </w:rPr>
              <w:t>(Full title of the plan)</w:t>
            </w:r>
          </w:p>
        </w:tc>
      </w:tr>
      <w:tr>
        <w:trPr>
          <w:trHeight w:val="399"/>
        </w:trPr>
        <w:tc>
          <w:tcPr>
            <w:tcW w:w="2480" w:type="dxa"/>
            <w:vAlign w:val="bottom"/>
          </w:tcPr>
          <w:p>
            <w:pPr>
              <w:spacing w:after="0"/>
              <w:rPr>
                <w:sz w:val="24"/>
                <w:szCs w:val="24"/>
                <w:color w:val="auto"/>
              </w:rPr>
            </w:pPr>
          </w:p>
        </w:tc>
        <w:tc>
          <w:tcPr>
            <w:tcW w:w="5040" w:type="dxa"/>
            <w:vAlign w:val="bottom"/>
          </w:tcPr>
          <w:p>
            <w:pPr>
              <w:jc w:val="center"/>
              <w:ind w:right="1976"/>
              <w:spacing w:after="0"/>
              <w:rPr>
                <w:sz w:val="20"/>
                <w:szCs w:val="20"/>
                <w:color w:val="auto"/>
              </w:rPr>
            </w:pPr>
            <w:r>
              <w:rPr>
                <w:rFonts w:ascii="Arial" w:cs="Arial" w:eastAsia="Arial" w:hAnsi="Arial"/>
                <w:sz w:val="18"/>
                <w:szCs w:val="18"/>
                <w:b w:val="1"/>
                <w:bCs w:val="1"/>
                <w:color w:val="auto"/>
                <w:w w:val="94"/>
              </w:rPr>
              <w:t>Geoff MacKay</w:t>
            </w:r>
          </w:p>
        </w:tc>
      </w:tr>
      <w:tr>
        <w:trPr>
          <w:trHeight w:val="216"/>
        </w:trPr>
        <w:tc>
          <w:tcPr>
            <w:tcW w:w="2480" w:type="dxa"/>
            <w:vAlign w:val="bottom"/>
          </w:tcPr>
          <w:p>
            <w:pPr>
              <w:spacing w:after="0"/>
              <w:rPr>
                <w:sz w:val="18"/>
                <w:szCs w:val="18"/>
                <w:color w:val="auto"/>
              </w:rPr>
            </w:pPr>
          </w:p>
        </w:tc>
        <w:tc>
          <w:tcPr>
            <w:tcW w:w="5040" w:type="dxa"/>
            <w:vAlign w:val="bottom"/>
          </w:tcPr>
          <w:p>
            <w:pPr>
              <w:jc w:val="center"/>
              <w:ind w:right="1996"/>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16"/>
        </w:trPr>
        <w:tc>
          <w:tcPr>
            <w:tcW w:w="2480" w:type="dxa"/>
            <w:vAlign w:val="bottom"/>
          </w:tcPr>
          <w:p>
            <w:pPr>
              <w:spacing w:after="0"/>
              <w:rPr>
                <w:sz w:val="18"/>
                <w:szCs w:val="18"/>
                <w:color w:val="auto"/>
              </w:rPr>
            </w:pPr>
          </w:p>
        </w:tc>
        <w:tc>
          <w:tcPr>
            <w:tcW w:w="5040" w:type="dxa"/>
            <w:vAlign w:val="bottom"/>
          </w:tcPr>
          <w:p>
            <w:pPr>
              <w:jc w:val="center"/>
              <w:ind w:right="1996"/>
              <w:spacing w:after="0"/>
              <w:rPr>
                <w:sz w:val="20"/>
                <w:szCs w:val="20"/>
                <w:color w:val="auto"/>
              </w:rPr>
            </w:pPr>
            <w:r>
              <w:rPr>
                <w:rFonts w:ascii="Arial" w:cs="Arial" w:eastAsia="Arial" w:hAnsi="Arial"/>
                <w:sz w:val="18"/>
                <w:szCs w:val="18"/>
                <w:b w:val="1"/>
                <w:bCs w:val="1"/>
                <w:color w:val="auto"/>
                <w:w w:val="91"/>
              </w:rPr>
              <w:t>One Kendall Square</w:t>
            </w:r>
          </w:p>
        </w:tc>
      </w:tr>
      <w:tr>
        <w:trPr>
          <w:trHeight w:val="216"/>
        </w:trPr>
        <w:tc>
          <w:tcPr>
            <w:tcW w:w="2480" w:type="dxa"/>
            <w:vAlign w:val="bottom"/>
          </w:tcPr>
          <w:p>
            <w:pPr>
              <w:spacing w:after="0"/>
              <w:rPr>
                <w:sz w:val="18"/>
                <w:szCs w:val="18"/>
                <w:color w:val="auto"/>
              </w:rPr>
            </w:pPr>
          </w:p>
        </w:tc>
        <w:tc>
          <w:tcPr>
            <w:tcW w:w="5040" w:type="dxa"/>
            <w:vAlign w:val="bottom"/>
          </w:tcPr>
          <w:p>
            <w:pPr>
              <w:jc w:val="center"/>
              <w:ind w:right="1996"/>
              <w:spacing w:after="0"/>
              <w:rPr>
                <w:sz w:val="20"/>
                <w:szCs w:val="20"/>
                <w:color w:val="auto"/>
              </w:rPr>
            </w:pPr>
            <w:r>
              <w:rPr>
                <w:rFonts w:ascii="Arial" w:cs="Arial" w:eastAsia="Arial" w:hAnsi="Arial"/>
                <w:sz w:val="18"/>
                <w:szCs w:val="18"/>
                <w:b w:val="1"/>
                <w:bCs w:val="1"/>
                <w:color w:val="auto"/>
                <w:w w:val="89"/>
              </w:rPr>
              <w:t>Building 300, Suite 201</w:t>
            </w:r>
          </w:p>
        </w:tc>
      </w:tr>
      <w:tr>
        <w:trPr>
          <w:trHeight w:val="212"/>
        </w:trPr>
        <w:tc>
          <w:tcPr>
            <w:tcW w:w="2480" w:type="dxa"/>
            <w:vAlign w:val="bottom"/>
          </w:tcPr>
          <w:p>
            <w:pPr>
              <w:spacing w:after="0"/>
              <w:rPr>
                <w:sz w:val="18"/>
                <w:szCs w:val="18"/>
                <w:color w:val="auto"/>
              </w:rPr>
            </w:pPr>
          </w:p>
        </w:tc>
        <w:tc>
          <w:tcPr>
            <w:tcW w:w="5040" w:type="dxa"/>
            <w:vAlign w:val="bottom"/>
          </w:tcPr>
          <w:p>
            <w:pPr>
              <w:jc w:val="center"/>
              <w:ind w:right="1996"/>
              <w:spacing w:after="0"/>
              <w:rPr>
                <w:sz w:val="20"/>
                <w:szCs w:val="20"/>
                <w:color w:val="auto"/>
              </w:rPr>
            </w:pPr>
            <w:r>
              <w:rPr>
                <w:rFonts w:ascii="Arial" w:cs="Arial" w:eastAsia="Arial" w:hAnsi="Arial"/>
                <w:sz w:val="18"/>
                <w:szCs w:val="18"/>
                <w:b w:val="1"/>
                <w:bCs w:val="1"/>
                <w:color w:val="auto"/>
                <w:w w:val="94"/>
              </w:rPr>
              <w:t>Cambridge, MA 02139</w:t>
            </w:r>
          </w:p>
        </w:tc>
      </w:tr>
      <w:tr>
        <w:trPr>
          <w:trHeight w:val="186"/>
        </w:trPr>
        <w:tc>
          <w:tcPr>
            <w:tcW w:w="2480" w:type="dxa"/>
            <w:vAlign w:val="bottom"/>
          </w:tcPr>
          <w:p>
            <w:pPr>
              <w:spacing w:after="0"/>
              <w:rPr>
                <w:sz w:val="16"/>
                <w:szCs w:val="16"/>
                <w:color w:val="auto"/>
              </w:rPr>
            </w:pPr>
          </w:p>
        </w:tc>
        <w:tc>
          <w:tcPr>
            <w:tcW w:w="5040" w:type="dxa"/>
            <w:vAlign w:val="bottom"/>
          </w:tcPr>
          <w:p>
            <w:pPr>
              <w:jc w:val="center"/>
              <w:ind w:right="1996"/>
              <w:spacing w:after="0"/>
              <w:rPr>
                <w:sz w:val="20"/>
                <w:szCs w:val="20"/>
                <w:color w:val="auto"/>
              </w:rPr>
            </w:pPr>
            <w:r>
              <w:rPr>
                <w:rFonts w:ascii="Arial" w:cs="Arial" w:eastAsia="Arial" w:hAnsi="Arial"/>
                <w:sz w:val="14"/>
                <w:szCs w:val="14"/>
                <w:b w:val="1"/>
                <w:bCs w:val="1"/>
                <w:color w:val="auto"/>
                <w:w w:val="91"/>
              </w:rPr>
              <w:t>(Name and address of agent for service)</w:t>
            </w:r>
          </w:p>
        </w:tc>
      </w:tr>
    </w:tbl>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Arthur R. McGivern,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James Xu,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Registration Statement on Form S-8 (the “Registration Statement”) is being filed for the purpose of registering additional shares of common stock under the registrant’s Plan and ESPP.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reserved and available for issuance under the Plan is subject to an automatic annual increase on each January 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by an amount equal to the lesser of (i) 4.0% of the number of shares of common stock issued and outstanding on the immediately preceding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or (ii) such amount as determined by the Administrator (as defined in the Plan), currently the Compensation Committee of the registrant’s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Accordingly, on January 1, 2022, the number of shares of common stock reserved and available for issuance under the Plan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increased by 1,747,853 shares.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number of shares of common stock reserved and available for issuance under the ESPP is subject to an automatic annual increase on each January 1, by an amount equal to the lesser of (i) 1.0% of the number of shares of common stock issued and outstanding on the immediately preceding December 31, (ii) 1,115,700 shares or (iii) such amount as determined by the Administrator (as defined in the ESPP), currently the Compensation Committee of the registrant’s Board of Directors. Accordingly, on January 1, 2022, the number of shares of common stock reserved and available for issuance under the ESPP increased by 436,963 shares.</w:t>
      </w:r>
    </w:p>
    <w:p>
      <w:pPr>
        <w:spacing w:after="0" w:line="188" w:lineRule="exact"/>
        <w:rPr>
          <w:sz w:val="20"/>
          <w:szCs w:val="20"/>
          <w:color w:val="auto"/>
        </w:rPr>
      </w:pPr>
    </w:p>
    <w:p>
      <w:pPr>
        <w:ind w:right="24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The additional shares described above are of the same class as other securities relating to the Plan and the ESPP for which the registrant’s registration statements filed on Form S-8 (Registration No. 333-225788) on June 21, 2018, on Form S-8 (Registration No. 333-230494) on March 25, 2019, on Form S-8 (Registration No. 333-237203) on March 16, 2020, on Form S-8 (Registration No. 333-241400) on August 6, 2020 and on Form S-8 (Registration No. 333-254466) on March 18, 2021 are effective. The information contained in the registrant’s registration statement on </w:t>
      </w:r>
      <w:hyperlink r:id="rId17">
        <w:r>
          <w:rPr>
            <w:rFonts w:ascii="Arial" w:cs="Arial" w:eastAsia="Arial" w:hAnsi="Arial"/>
            <w:sz w:val="17"/>
            <w:szCs w:val="17"/>
            <w:u w:val="single" w:color="auto"/>
            <w:color w:val="0000EE"/>
          </w:rPr>
          <w:t>Form S-8</w:t>
        </w:r>
      </w:hyperlink>
      <w:r>
        <w:rPr>
          <w:rFonts w:ascii="Arial" w:cs="Arial" w:eastAsia="Arial" w:hAnsi="Arial"/>
          <w:sz w:val="17"/>
          <w:szCs w:val="17"/>
          <w:color w:val="auto"/>
        </w:rPr>
        <w:t xml:space="preserve"> (Registration No. 333-225788) is hereby incorporated by reference pursuant to General Instruction E.</w:t>
      </w:r>
    </w:p>
    <w:p>
      <w:pPr>
        <w:sectPr>
          <w:pgSz w:w="11900" w:h="16838" w:orient="portrait"/>
          <w:cols w:equalWidth="0" w:num="1">
            <w:col w:w="11000"/>
          </w:cols>
          <w:pgMar w:left="440" w:top="270" w:right="4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5440" w:type="dxa"/>
            <w:vAlign w:val="bottom"/>
            <w:gridSpan w:val="2"/>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40" w:type="dxa"/>
            <w:vAlign w:val="bottom"/>
            <w:gridSpan w:val="2"/>
          </w:tcPr>
          <w:p>
            <w:pPr>
              <w:ind w:left="3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9">
        <w:r>
          <w:rPr>
            <w:rFonts w:ascii="Arial" w:cs="Arial" w:eastAsia="Arial" w:hAnsi="Arial"/>
            <w:sz w:val="16"/>
            <w:szCs w:val="16"/>
            <w:u w:val="single" w:color="auto"/>
            <w:color w:val="0000EE"/>
          </w:rPr>
          <w:t>Fourth Amended and Restated Certificate of Incorporation of the Registrant (filed as Exhibit 3.1 to the Registrant’s Current Report on Form</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8-K filed on June 25, 2018 (File No. 001-38537) and incorporated herein by reference)</w:t>
        </w:r>
      </w:hyperlink>
    </w:p>
    <w:p>
      <w:pPr>
        <w:spacing w:after="0" w:line="103" w:lineRule="exact"/>
        <w:rPr>
          <w:sz w:val="20"/>
          <w:szCs w:val="20"/>
          <w:color w:val="auto"/>
        </w:rPr>
      </w:pPr>
    </w:p>
    <w:p>
      <w:pPr>
        <w:ind w:left="880" w:right="420" w:hanging="786"/>
        <w:spacing w:after="0" w:line="308" w:lineRule="auto"/>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20">
        <w:r>
          <w:rPr>
            <w:rFonts w:ascii="Arial" w:cs="Arial" w:eastAsia="Arial" w:hAnsi="Arial"/>
            <w:sz w:val="17"/>
            <w:szCs w:val="17"/>
            <w:u w:val="single" w:color="auto"/>
            <w:color w:val="0000EE"/>
          </w:rPr>
          <w:t>Certificate of Change of Registered Agent and/or Registered Office of the Registrant (filed as Exhibit 3.2 to the Registrant’s Quarterly</w:t>
        </w:r>
      </w:hyperlink>
      <w:r>
        <w:rPr>
          <w:rFonts w:ascii="Arial" w:cs="Arial" w:eastAsia="Arial" w:hAnsi="Arial"/>
          <w:sz w:val="17"/>
          <w:szCs w:val="17"/>
          <w:u w:val="single" w:color="auto"/>
          <w:color w:val="0000EE"/>
        </w:rPr>
        <w:t xml:space="preserve"> </w:t>
      </w:r>
      <w:hyperlink r:id="rId20">
        <w:r>
          <w:rPr>
            <w:rFonts w:ascii="Arial" w:cs="Arial" w:eastAsia="Arial" w:hAnsi="Arial"/>
            <w:sz w:val="17"/>
            <w:szCs w:val="17"/>
            <w:u w:val="single" w:color="auto"/>
            <w:color w:val="0000EE"/>
          </w:rPr>
          <w:t>Report on Form 10-Q filed on November 5, 2020 (File No. 001-38537) and incorporated herein by reference).</w:t>
        </w:r>
      </w:hyperlink>
    </w:p>
    <w:p>
      <w:pPr>
        <w:spacing w:after="0" w:line="38" w:lineRule="exact"/>
        <w:rPr>
          <w:sz w:val="20"/>
          <w:szCs w:val="20"/>
          <w:color w:val="auto"/>
        </w:rPr>
      </w:pPr>
    </w:p>
    <w:p>
      <w:pPr>
        <w:ind w:left="880" w:right="800" w:hanging="78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21">
        <w:r>
          <w:rPr>
            <w:rFonts w:ascii="Arial" w:cs="Arial" w:eastAsia="Arial" w:hAnsi="Arial"/>
            <w:sz w:val="18"/>
            <w:szCs w:val="18"/>
            <w:u w:val="single" w:color="auto"/>
            <w:color w:val="0000EE"/>
          </w:rPr>
          <w:t>Amended and Restated By-laws (filed as Exhibit 3.2 to the Registrant’s Current Report on Form 8-K filed on June 25, 2018 (File</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No. 001-38537) and incorporated herein by reference)</w:t>
        </w:r>
      </w:hyperlink>
    </w:p>
    <w:p>
      <w:pPr>
        <w:spacing w:after="0" w:line="62" w:lineRule="exact"/>
        <w:rPr>
          <w:sz w:val="20"/>
          <w:szCs w:val="20"/>
          <w:color w:val="auto"/>
        </w:rPr>
      </w:pPr>
    </w:p>
    <w:p>
      <w:pPr>
        <w:ind w:left="880" w:right="40" w:hanging="786"/>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22">
        <w:r>
          <w:rPr>
            <w:rFonts w:ascii="Arial" w:cs="Arial" w:eastAsia="Arial" w:hAnsi="Arial"/>
            <w:sz w:val="18"/>
            <w:szCs w:val="18"/>
            <w:u w:val="single" w:color="auto"/>
            <w:color w:val="0000EE"/>
          </w:rPr>
          <w:t>Second Amended and Restated Investors’ Rights Agreement among the Registrant and certain of its stockholders, dated January 9, 2018</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(filed as Exhibit 4.2 to the Registrant’s Registration Statement on Form S-1 filed on May 25, 2018 (File No. 333-225213) and incorporated</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herein by reference)</w:t>
        </w:r>
      </w:hyperlink>
    </w:p>
    <w:p>
      <w:pPr>
        <w:spacing w:after="0" w:line="76" w:lineRule="exact"/>
        <w:rPr>
          <w:rFonts w:ascii="Arial" w:cs="Arial" w:eastAsia="Arial" w:hAnsi="Arial"/>
          <w:sz w:val="18"/>
          <w:szCs w:val="18"/>
          <w:u w:val="single" w:color="auto"/>
          <w:color w:val="0000EE"/>
        </w:rPr>
      </w:pPr>
    </w:p>
    <w:p>
      <w:pPr>
        <w:ind w:left="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5">
        <w:r>
          <w:rPr>
            <w:rFonts w:ascii="Arial" w:cs="Arial" w:eastAsia="Arial" w:hAnsi="Arial"/>
            <w:sz w:val="16"/>
            <w:szCs w:val="16"/>
            <w:u w:val="single" w:color="auto"/>
            <w:color w:val="0000EE"/>
          </w:rPr>
          <w:t>Opinion of Goodwin Procter LLP</w:t>
        </w:r>
      </w:hyperlink>
    </w:p>
    <w:p>
      <w:pPr>
        <w:spacing w:after="0" w:line="117" w:lineRule="exact"/>
        <w:rPr>
          <w:rFonts w:ascii="Arial" w:cs="Arial" w:eastAsia="Arial" w:hAnsi="Arial"/>
          <w:sz w:val="18"/>
          <w:szCs w:val="18"/>
          <w:u w:val="single" w:color="auto"/>
          <w:color w:val="0000EE"/>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6">
        <w:r>
          <w:rPr>
            <w:rFonts w:ascii="Arial" w:cs="Arial" w:eastAsia="Arial" w:hAnsi="Arial"/>
            <w:sz w:val="16"/>
            <w:szCs w:val="16"/>
            <w:u w:val="single" w:color="auto"/>
            <w:color w:val="0000EE"/>
          </w:rPr>
          <w:t>Consent of Ernst &amp; Young LLP, Independent Registered Public Accounting Firm</w:t>
        </w:r>
      </w:hyperlink>
    </w:p>
    <w:p>
      <w:pPr>
        <w:spacing w:after="0" w:line="117" w:lineRule="exact"/>
        <w:rPr>
          <w:rFonts w:ascii="Arial" w:cs="Arial" w:eastAsia="Arial" w:hAnsi="Arial"/>
          <w:sz w:val="18"/>
          <w:szCs w:val="18"/>
          <w:u w:val="single" w:color="auto"/>
          <w:color w:val="0000EE"/>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5">
        <w:r>
          <w:rPr>
            <w:rFonts w:ascii="Arial" w:cs="Arial" w:eastAsia="Arial" w:hAnsi="Arial"/>
            <w:sz w:val="16"/>
            <w:szCs w:val="16"/>
            <w:u w:val="single" w:color="auto"/>
            <w:color w:val="0000EE"/>
          </w:rPr>
          <w:t>Consent of Goodwin Procter LLP (included in Exhibit 5.1)</w:t>
        </w:r>
      </w:hyperlink>
    </w:p>
    <w:p>
      <w:pPr>
        <w:spacing w:after="0" w:line="117" w:lineRule="exact"/>
        <w:rPr>
          <w:rFonts w:ascii="Arial" w:cs="Arial" w:eastAsia="Arial" w:hAnsi="Arial"/>
          <w:sz w:val="18"/>
          <w:szCs w:val="18"/>
          <w:u w:val="single" w:color="auto"/>
          <w:color w:val="0000EE"/>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4">
        <w:r>
          <w:rPr>
            <w:rFonts w:ascii="Arial" w:cs="Arial" w:eastAsia="Arial" w:hAnsi="Arial"/>
            <w:sz w:val="16"/>
            <w:szCs w:val="16"/>
            <w:u w:val="single" w:color="auto"/>
            <w:color w:val="0000EE"/>
          </w:rPr>
          <w:t>Power of Attorney (included on signature page)</w:t>
        </w:r>
      </w:hyperlink>
    </w:p>
    <w:p>
      <w:pPr>
        <w:spacing w:after="0" w:line="117" w:lineRule="exact"/>
        <w:rPr>
          <w:rFonts w:ascii="Arial" w:cs="Arial" w:eastAsia="Arial" w:hAnsi="Arial"/>
          <w:sz w:val="18"/>
          <w:szCs w:val="18"/>
          <w:u w:val="single" w:color="auto"/>
          <w:color w:val="0000EE"/>
        </w:rPr>
      </w:pPr>
    </w:p>
    <w:p>
      <w:pPr>
        <w:ind w:left="880" w:right="680" w:hanging="87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23">
        <w:r>
          <w:rPr>
            <w:rFonts w:ascii="Arial" w:cs="Arial" w:eastAsia="Arial" w:hAnsi="Arial"/>
            <w:sz w:val="18"/>
            <w:szCs w:val="18"/>
            <w:u w:val="single" w:color="auto"/>
            <w:color w:val="0000EE"/>
          </w:rPr>
          <w:t>2018 Stock Option and Incentive Plan and forms of award agreements thereunder (Incorporated by reference to Exhibit 10.2 to the</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registrant’s Registration Statement on Form S-1, as amended (File No. 333-225213))</w:t>
        </w:r>
      </w:hyperlink>
    </w:p>
    <w:p>
      <w:pPr>
        <w:spacing w:after="0" w:line="62" w:lineRule="exact"/>
        <w:rPr>
          <w:sz w:val="20"/>
          <w:szCs w:val="20"/>
          <w:color w:val="auto"/>
        </w:rPr>
      </w:pPr>
    </w:p>
    <w:p>
      <w:pPr>
        <w:ind w:left="880" w:right="80" w:hanging="87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24">
        <w:r>
          <w:rPr>
            <w:rFonts w:ascii="Arial" w:cs="Arial" w:eastAsia="Arial" w:hAnsi="Arial"/>
            <w:sz w:val="18"/>
            <w:szCs w:val="18"/>
            <w:u w:val="single" w:color="auto"/>
            <w:color w:val="0000EE"/>
          </w:rPr>
          <w:t>2018 Employee Stock Purchase Plan (Incorporated by reference to Exhibit 10.14 to the registrant’s Registration Statement on Form S-1, as</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amended (File No. 333-225213))</w:t>
        </w:r>
      </w:hyperlink>
    </w:p>
    <w:p>
      <w:pPr>
        <w:spacing w:after="0" w:line="62" w:lineRule="exact"/>
        <w:rPr>
          <w:sz w:val="20"/>
          <w:szCs w:val="20"/>
          <w:color w:val="auto"/>
        </w:rPr>
      </w:pPr>
    </w:p>
    <w:p>
      <w:pPr>
        <w:spacing w:after="0"/>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w:anchor="page7">
        <w:r>
          <w:rPr>
            <w:rFonts w:ascii="Arial" w:cs="Arial" w:eastAsia="Arial" w:hAnsi="Arial"/>
            <w:sz w:val="18"/>
            <w:szCs w:val="18"/>
            <w:u w:val="single" w:color="auto"/>
            <w:color w:val="0000EE"/>
          </w:rPr>
          <w:t>Filing Fee Table</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960"/>
          </w:cols>
          <w:pgMar w:left="440" w:top="270" w:right="4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17</w:t>
      </w:r>
      <w:r>
        <w:rPr>
          <w:rFonts w:ascii="Arial" w:cs="Arial" w:eastAsia="Arial" w:hAnsi="Arial"/>
          <w:sz w:val="15"/>
          <w:szCs w:val="15"/>
          <w:color w:val="auto"/>
        </w:rPr>
        <w:t>th</w:t>
      </w:r>
      <w:r>
        <w:rPr>
          <w:rFonts w:ascii="Arial" w:cs="Arial" w:eastAsia="Arial" w:hAnsi="Arial"/>
          <w:sz w:val="18"/>
          <w:szCs w:val="18"/>
          <w:color w:val="auto"/>
        </w:rPr>
        <w:t xml:space="preserve"> day of March,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KNOW ALL BY THESE PRESENT, that each individual whose signature appears below hereby constitutes and appoints each of Geoff MacKay and Erik Ostrowski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56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0" w:type="dxa"/>
            <w:vAlign w:val="bottom"/>
          </w:tcPr>
          <w:p>
            <w:pPr>
              <w:ind w:left="640"/>
              <w:spacing w:after="0"/>
              <w:rPr>
                <w:sz w:val="20"/>
                <w:szCs w:val="20"/>
                <w:color w:val="auto"/>
              </w:rPr>
            </w:pPr>
            <w:r>
              <w:rPr>
                <w:rFonts w:ascii="Arial" w:cs="Arial" w:eastAsia="Arial" w:hAnsi="Arial"/>
                <w:sz w:val="14"/>
                <w:szCs w:val="14"/>
                <w:b w:val="1"/>
                <w:bCs w:val="1"/>
                <w:color w:val="auto"/>
              </w:rPr>
              <w:t>Date</w:t>
            </w:r>
          </w:p>
        </w:tc>
      </w:tr>
      <w:tr>
        <w:trPr>
          <w:trHeight w:val="309"/>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Geoff MacKay</w:t>
            </w: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2"/>
              </w:rPr>
              <w:t>Director, President, Chief Executive Officer and Principal Executive Officer</w:t>
            </w:r>
          </w:p>
        </w:tc>
        <w:tc>
          <w:tcPr>
            <w:tcW w:w="1200" w:type="dxa"/>
            <w:vAlign w:val="bottom"/>
          </w:tcPr>
          <w:p>
            <w:pPr>
              <w:ind w:left="60"/>
              <w:spacing w:after="0"/>
              <w:rPr>
                <w:sz w:val="20"/>
                <w:szCs w:val="20"/>
                <w:color w:val="auto"/>
              </w:rPr>
            </w:pPr>
            <w:r>
              <w:rPr>
                <w:rFonts w:ascii="Arial" w:cs="Arial" w:eastAsia="Arial" w:hAnsi="Arial"/>
                <w:sz w:val="18"/>
                <w:szCs w:val="18"/>
                <w:color w:val="auto"/>
                <w:w w:val="89"/>
              </w:rPr>
              <w:t>March 17, 2022</w:t>
            </w:r>
          </w:p>
        </w:tc>
      </w:tr>
      <w:tr>
        <w:trPr>
          <w:trHeight w:val="224"/>
        </w:trPr>
        <w:tc>
          <w:tcPr>
            <w:tcW w:w="3840" w:type="dxa"/>
            <w:vAlign w:val="bottom"/>
          </w:tcPr>
          <w:p>
            <w:pPr>
              <w:jc w:val="center"/>
              <w:spacing w:after="0"/>
              <w:rPr>
                <w:sz w:val="20"/>
                <w:szCs w:val="20"/>
                <w:color w:val="auto"/>
              </w:rPr>
            </w:pPr>
            <w:r>
              <w:rPr>
                <w:rFonts w:ascii="Arial" w:cs="Arial" w:eastAsia="Arial" w:hAnsi="Arial"/>
                <w:sz w:val="18"/>
                <w:szCs w:val="18"/>
                <w:color w:val="auto"/>
                <w:w w:val="94"/>
              </w:rPr>
              <w:t>Geoff MacKay</w:t>
            </w:r>
          </w:p>
        </w:tc>
        <w:tc>
          <w:tcPr>
            <w:tcW w:w="5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Erik Ostrowski</w:t>
            </w: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 and Principal Financial and Accounting Officer</w:t>
            </w:r>
          </w:p>
        </w:tc>
        <w:tc>
          <w:tcPr>
            <w:tcW w:w="1200" w:type="dxa"/>
            <w:vAlign w:val="bottom"/>
          </w:tcPr>
          <w:p>
            <w:pPr>
              <w:ind w:left="60"/>
              <w:spacing w:after="0"/>
              <w:rPr>
                <w:sz w:val="20"/>
                <w:szCs w:val="20"/>
                <w:color w:val="auto"/>
              </w:rPr>
            </w:pPr>
            <w:r>
              <w:rPr>
                <w:rFonts w:ascii="Arial" w:cs="Arial" w:eastAsia="Arial" w:hAnsi="Arial"/>
                <w:sz w:val="18"/>
                <w:szCs w:val="18"/>
                <w:color w:val="auto"/>
                <w:w w:val="89"/>
              </w:rPr>
              <w:t>March 17, 2022</w:t>
            </w:r>
          </w:p>
        </w:tc>
      </w:tr>
      <w:tr>
        <w:trPr>
          <w:trHeight w:val="224"/>
        </w:trPr>
        <w:tc>
          <w:tcPr>
            <w:tcW w:w="3840" w:type="dxa"/>
            <w:vAlign w:val="bottom"/>
          </w:tcPr>
          <w:p>
            <w:pPr>
              <w:jc w:val="center"/>
              <w:spacing w:after="0"/>
              <w:rPr>
                <w:sz w:val="20"/>
                <w:szCs w:val="20"/>
                <w:color w:val="auto"/>
              </w:rPr>
            </w:pPr>
            <w:r>
              <w:rPr>
                <w:rFonts w:ascii="Arial" w:cs="Arial" w:eastAsia="Arial" w:hAnsi="Arial"/>
                <w:sz w:val="18"/>
                <w:szCs w:val="18"/>
                <w:color w:val="auto"/>
                <w:w w:val="93"/>
              </w:rPr>
              <w:t>Erik Ostrowski</w:t>
            </w:r>
          </w:p>
        </w:tc>
        <w:tc>
          <w:tcPr>
            <w:tcW w:w="5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Bruce Booth</w:t>
            </w: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c>
          <w:tcPr>
            <w:tcW w:w="1200" w:type="dxa"/>
            <w:vAlign w:val="bottom"/>
          </w:tcPr>
          <w:p>
            <w:pPr>
              <w:ind w:left="60"/>
              <w:spacing w:after="0"/>
              <w:rPr>
                <w:sz w:val="20"/>
                <w:szCs w:val="20"/>
                <w:color w:val="auto"/>
              </w:rPr>
            </w:pPr>
            <w:r>
              <w:rPr>
                <w:rFonts w:ascii="Arial" w:cs="Arial" w:eastAsia="Arial" w:hAnsi="Arial"/>
                <w:sz w:val="18"/>
                <w:szCs w:val="18"/>
                <w:color w:val="auto"/>
                <w:w w:val="89"/>
              </w:rPr>
              <w:t>March 17, 2022</w:t>
            </w:r>
          </w:p>
        </w:tc>
      </w:tr>
      <w:tr>
        <w:trPr>
          <w:trHeight w:val="224"/>
        </w:trPr>
        <w:tc>
          <w:tcPr>
            <w:tcW w:w="3840" w:type="dxa"/>
            <w:vAlign w:val="bottom"/>
          </w:tcPr>
          <w:p>
            <w:pPr>
              <w:jc w:val="center"/>
              <w:spacing w:after="0"/>
              <w:rPr>
                <w:sz w:val="20"/>
                <w:szCs w:val="20"/>
                <w:color w:val="auto"/>
              </w:rPr>
            </w:pPr>
            <w:r>
              <w:rPr>
                <w:rFonts w:ascii="Arial" w:cs="Arial" w:eastAsia="Arial" w:hAnsi="Arial"/>
                <w:sz w:val="18"/>
                <w:szCs w:val="18"/>
                <w:color w:val="auto"/>
                <w:w w:val="93"/>
              </w:rPr>
              <w:t>Bruce Booth, D.Phil.</w:t>
            </w:r>
          </w:p>
        </w:tc>
        <w:tc>
          <w:tcPr>
            <w:tcW w:w="5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Ian T. Clark</w:t>
            </w: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c>
          <w:tcPr>
            <w:tcW w:w="1200" w:type="dxa"/>
            <w:vAlign w:val="bottom"/>
          </w:tcPr>
          <w:p>
            <w:pPr>
              <w:ind w:left="60"/>
              <w:spacing w:after="0"/>
              <w:rPr>
                <w:sz w:val="20"/>
                <w:szCs w:val="20"/>
                <w:color w:val="auto"/>
              </w:rPr>
            </w:pPr>
            <w:r>
              <w:rPr>
                <w:rFonts w:ascii="Arial" w:cs="Arial" w:eastAsia="Arial" w:hAnsi="Arial"/>
                <w:sz w:val="18"/>
                <w:szCs w:val="18"/>
                <w:color w:val="auto"/>
                <w:w w:val="89"/>
              </w:rPr>
              <w:t>March 17, 2022</w:t>
            </w:r>
          </w:p>
        </w:tc>
      </w:tr>
      <w:tr>
        <w:trPr>
          <w:trHeight w:val="224"/>
        </w:trPr>
        <w:tc>
          <w:tcPr>
            <w:tcW w:w="3840" w:type="dxa"/>
            <w:vAlign w:val="bottom"/>
          </w:tcPr>
          <w:p>
            <w:pPr>
              <w:jc w:val="center"/>
              <w:spacing w:after="0"/>
              <w:rPr>
                <w:sz w:val="20"/>
                <w:szCs w:val="20"/>
                <w:color w:val="auto"/>
              </w:rPr>
            </w:pPr>
            <w:r>
              <w:rPr>
                <w:rFonts w:ascii="Arial" w:cs="Arial" w:eastAsia="Arial" w:hAnsi="Arial"/>
                <w:sz w:val="18"/>
                <w:szCs w:val="18"/>
                <w:color w:val="auto"/>
                <w:w w:val="94"/>
              </w:rPr>
              <w:t>Ian T. Clark</w:t>
            </w:r>
          </w:p>
        </w:tc>
        <w:tc>
          <w:tcPr>
            <w:tcW w:w="5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Phillip B. Donenberg</w:t>
            </w: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c>
          <w:tcPr>
            <w:tcW w:w="1200" w:type="dxa"/>
            <w:vAlign w:val="bottom"/>
          </w:tcPr>
          <w:p>
            <w:pPr>
              <w:ind w:left="60"/>
              <w:spacing w:after="0"/>
              <w:rPr>
                <w:sz w:val="20"/>
                <w:szCs w:val="20"/>
                <w:color w:val="auto"/>
              </w:rPr>
            </w:pPr>
            <w:r>
              <w:rPr>
                <w:rFonts w:ascii="Arial" w:cs="Arial" w:eastAsia="Arial" w:hAnsi="Arial"/>
                <w:sz w:val="18"/>
                <w:szCs w:val="18"/>
                <w:color w:val="auto"/>
                <w:w w:val="89"/>
              </w:rPr>
              <w:t>March 17, 2022</w:t>
            </w:r>
          </w:p>
        </w:tc>
      </w:tr>
      <w:tr>
        <w:trPr>
          <w:trHeight w:val="224"/>
        </w:trPr>
        <w:tc>
          <w:tcPr>
            <w:tcW w:w="3840" w:type="dxa"/>
            <w:vAlign w:val="bottom"/>
          </w:tcPr>
          <w:p>
            <w:pPr>
              <w:jc w:val="center"/>
              <w:spacing w:after="0"/>
              <w:rPr>
                <w:sz w:val="20"/>
                <w:szCs w:val="20"/>
                <w:color w:val="auto"/>
              </w:rPr>
            </w:pPr>
            <w:r>
              <w:rPr>
                <w:rFonts w:ascii="Arial" w:cs="Arial" w:eastAsia="Arial" w:hAnsi="Arial"/>
                <w:sz w:val="18"/>
                <w:szCs w:val="18"/>
                <w:color w:val="auto"/>
                <w:w w:val="92"/>
              </w:rPr>
              <w:t>Phillip B. Donenberg</w:t>
            </w:r>
          </w:p>
        </w:tc>
        <w:tc>
          <w:tcPr>
            <w:tcW w:w="5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Gail M. Farfel</w:t>
            </w: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c>
          <w:tcPr>
            <w:tcW w:w="1200" w:type="dxa"/>
            <w:vAlign w:val="bottom"/>
          </w:tcPr>
          <w:p>
            <w:pPr>
              <w:ind w:left="60"/>
              <w:spacing w:after="0"/>
              <w:rPr>
                <w:sz w:val="20"/>
                <w:szCs w:val="20"/>
                <w:color w:val="auto"/>
              </w:rPr>
            </w:pPr>
            <w:r>
              <w:rPr>
                <w:rFonts w:ascii="Arial" w:cs="Arial" w:eastAsia="Arial" w:hAnsi="Arial"/>
                <w:sz w:val="18"/>
                <w:szCs w:val="18"/>
                <w:color w:val="auto"/>
                <w:w w:val="89"/>
              </w:rPr>
              <w:t>March 17, 2022</w:t>
            </w:r>
          </w:p>
        </w:tc>
      </w:tr>
      <w:tr>
        <w:trPr>
          <w:trHeight w:val="224"/>
        </w:trPr>
        <w:tc>
          <w:tcPr>
            <w:tcW w:w="3840" w:type="dxa"/>
            <w:vAlign w:val="bottom"/>
          </w:tcPr>
          <w:p>
            <w:pPr>
              <w:jc w:val="center"/>
              <w:spacing w:after="0"/>
              <w:rPr>
                <w:sz w:val="20"/>
                <w:szCs w:val="20"/>
                <w:color w:val="auto"/>
              </w:rPr>
            </w:pPr>
            <w:r>
              <w:rPr>
                <w:rFonts w:ascii="Arial" w:cs="Arial" w:eastAsia="Arial" w:hAnsi="Arial"/>
                <w:sz w:val="18"/>
                <w:szCs w:val="18"/>
                <w:color w:val="auto"/>
                <w:w w:val="93"/>
              </w:rPr>
              <w:t>Gail M. Farfel, Ph.D.</w:t>
            </w:r>
          </w:p>
        </w:tc>
        <w:tc>
          <w:tcPr>
            <w:tcW w:w="5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c>
          <w:tcPr>
            <w:tcW w:w="1200" w:type="dxa"/>
            <w:vAlign w:val="bottom"/>
          </w:tcPr>
          <w:p>
            <w:pPr>
              <w:ind w:left="60"/>
              <w:spacing w:after="0"/>
              <w:rPr>
                <w:sz w:val="20"/>
                <w:szCs w:val="20"/>
                <w:color w:val="auto"/>
              </w:rPr>
            </w:pPr>
            <w:r>
              <w:rPr>
                <w:rFonts w:ascii="Arial" w:cs="Arial" w:eastAsia="Arial" w:hAnsi="Arial"/>
                <w:sz w:val="18"/>
                <w:szCs w:val="18"/>
                <w:color w:val="auto"/>
                <w:w w:val="89"/>
              </w:rPr>
              <w:t>March 17, 2022</w:t>
            </w:r>
          </w:p>
        </w:tc>
      </w:tr>
      <w:tr>
        <w:trPr>
          <w:trHeight w:val="224"/>
        </w:trPr>
        <w:tc>
          <w:tcPr>
            <w:tcW w:w="3840" w:type="dxa"/>
            <w:vAlign w:val="bottom"/>
          </w:tcPr>
          <w:p>
            <w:pPr>
              <w:jc w:val="center"/>
              <w:spacing w:after="0"/>
              <w:rPr>
                <w:sz w:val="20"/>
                <w:szCs w:val="20"/>
                <w:color w:val="auto"/>
              </w:rPr>
            </w:pPr>
            <w:r>
              <w:rPr>
                <w:rFonts w:ascii="Arial" w:cs="Arial" w:eastAsia="Arial" w:hAnsi="Arial"/>
                <w:sz w:val="18"/>
                <w:szCs w:val="18"/>
                <w:color w:val="auto"/>
                <w:w w:val="90"/>
              </w:rPr>
              <w:t>Annalisa Jenkins, M.B.B.S., F.R.C.P.</w:t>
            </w:r>
          </w:p>
        </w:tc>
        <w:tc>
          <w:tcPr>
            <w:tcW w:w="5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Christopher Paige</w:t>
            </w: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c>
          <w:tcPr>
            <w:tcW w:w="1200" w:type="dxa"/>
            <w:vAlign w:val="bottom"/>
          </w:tcPr>
          <w:p>
            <w:pPr>
              <w:ind w:left="60"/>
              <w:spacing w:after="0"/>
              <w:rPr>
                <w:sz w:val="20"/>
                <w:szCs w:val="20"/>
                <w:color w:val="auto"/>
              </w:rPr>
            </w:pPr>
            <w:r>
              <w:rPr>
                <w:rFonts w:ascii="Arial" w:cs="Arial" w:eastAsia="Arial" w:hAnsi="Arial"/>
                <w:sz w:val="18"/>
                <w:szCs w:val="18"/>
                <w:color w:val="auto"/>
                <w:w w:val="89"/>
              </w:rPr>
              <w:t>March 17, 2022</w:t>
            </w:r>
          </w:p>
        </w:tc>
      </w:tr>
      <w:tr>
        <w:trPr>
          <w:trHeight w:val="224"/>
        </w:trPr>
        <w:tc>
          <w:tcPr>
            <w:tcW w:w="3840" w:type="dxa"/>
            <w:vAlign w:val="bottom"/>
          </w:tcPr>
          <w:p>
            <w:pPr>
              <w:jc w:val="center"/>
              <w:spacing w:after="0"/>
              <w:rPr>
                <w:sz w:val="20"/>
                <w:szCs w:val="20"/>
                <w:color w:val="auto"/>
              </w:rPr>
            </w:pPr>
            <w:r>
              <w:rPr>
                <w:rFonts w:ascii="Arial" w:cs="Arial" w:eastAsia="Arial" w:hAnsi="Arial"/>
                <w:sz w:val="18"/>
                <w:szCs w:val="18"/>
                <w:color w:val="auto"/>
                <w:w w:val="90"/>
              </w:rPr>
              <w:t>Christopher Paige, Ph.D.</w:t>
            </w:r>
          </w:p>
        </w:tc>
        <w:tc>
          <w:tcPr>
            <w:tcW w:w="56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1"/>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Philip Vickers</w:t>
            </w: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c>
          <w:tcPr>
            <w:tcW w:w="1200" w:type="dxa"/>
            <w:vAlign w:val="bottom"/>
          </w:tcPr>
          <w:p>
            <w:pPr>
              <w:ind w:left="60"/>
              <w:spacing w:after="0"/>
              <w:rPr>
                <w:sz w:val="20"/>
                <w:szCs w:val="20"/>
                <w:color w:val="auto"/>
              </w:rPr>
            </w:pPr>
            <w:r>
              <w:rPr>
                <w:rFonts w:ascii="Arial" w:cs="Arial" w:eastAsia="Arial" w:hAnsi="Arial"/>
                <w:sz w:val="18"/>
                <w:szCs w:val="18"/>
                <w:color w:val="auto"/>
                <w:w w:val="89"/>
              </w:rPr>
              <w:t>March 17, 2022</w:t>
            </w:r>
          </w:p>
        </w:tc>
      </w:tr>
      <w:tr>
        <w:trPr>
          <w:trHeight w:val="224"/>
        </w:trPr>
        <w:tc>
          <w:tcPr>
            <w:tcW w:w="3840" w:type="dxa"/>
            <w:vAlign w:val="bottom"/>
          </w:tcPr>
          <w:p>
            <w:pPr>
              <w:jc w:val="center"/>
              <w:spacing w:after="0"/>
              <w:rPr>
                <w:sz w:val="20"/>
                <w:szCs w:val="20"/>
                <w:color w:val="auto"/>
              </w:rPr>
            </w:pPr>
            <w:r>
              <w:rPr>
                <w:rFonts w:ascii="Arial" w:cs="Arial" w:eastAsia="Arial" w:hAnsi="Arial"/>
                <w:sz w:val="18"/>
                <w:szCs w:val="18"/>
                <w:color w:val="auto"/>
                <w:w w:val="93"/>
              </w:rPr>
              <w:t>Philip Vickers, Ph.D.</w:t>
            </w:r>
          </w:p>
        </w:tc>
        <w:tc>
          <w:tcPr>
            <w:tcW w:w="568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ectPr>
          <w:pgSz w:w="11900" w:h="16838" w:orient="portrait"/>
          <w:cols w:equalWidth="0" w:num="1">
            <w:col w:w="10980"/>
          </w:cols>
          <w:pgMar w:left="440" w:top="270" w:right="4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17,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116"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pursuant to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on or about the date hereof relating to an aggregate of 2,184,816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Common Stock, $0.0001 par value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AVROBIO,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that may be issued pursuant to the Company’s 2018 Stock Option and Incentive Plan, as amended, and the Company’s 2018 Employee Stock Purchase Plan (collectively, the “</w:t>
      </w:r>
      <w:r>
        <w:rPr>
          <w:rFonts w:ascii="Arial" w:cs="Arial" w:eastAsia="Arial" w:hAnsi="Arial"/>
          <w:sz w:val="18"/>
          <w:szCs w:val="18"/>
          <w:u w:val="single" w:color="auto"/>
          <w:color w:val="auto"/>
        </w:rPr>
        <w:t>Plans</w:t>
      </w:r>
      <w:r>
        <w:rPr>
          <w:rFonts w:ascii="Arial" w:cs="Arial" w:eastAsia="Arial" w:hAnsi="Arial"/>
          <w:sz w:val="18"/>
          <w:szCs w:val="18"/>
          <w:color w:val="auto"/>
        </w:rPr>
        <w:t>”).</w:t>
      </w:r>
    </w:p>
    <w:p>
      <w:pPr>
        <w:spacing w:after="0" w:line="188"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/s/ GOODWIN PROCTER </w:t>
      </w:r>
      <w:r>
        <w:rPr>
          <w:rFonts w:ascii="Arial" w:cs="Arial" w:eastAsia="Arial" w:hAnsi="Arial"/>
          <w:sz w:val="14"/>
          <w:szCs w:val="14"/>
          <w:color w:val="auto"/>
        </w:rPr>
        <w:t>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4"/>
          <w:szCs w:val="14"/>
          <w:color w:val="auto"/>
        </w:rPr>
        <w:t>LLP</w:t>
      </w:r>
    </w:p>
    <w:p>
      <w:pPr>
        <w:sectPr>
          <w:pgSz w:w="11900" w:h="16838" w:orient="portrait"/>
          <w:cols w:equalWidth="0" w:num="1">
            <w:col w:w="11020"/>
          </w:cols>
          <w:pgMar w:left="440" w:top="12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2018 Stock Option and Incentive Plan of AVROBIO, Inc. and the 2018 Employee Stock Purchase Plan of AVROBIO, Inc. of our report dated March 17, 2022, with respect to the consolidated financial statements of AVROBIO, Inc. included in its Annual Report (Form 10-K) for the year ended December 31, 2021,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1100" w:type="dxa"/>
            <w:vAlign w:val="bottom"/>
            <w:tcBorders>
              <w:top w:val="single" w:sz="8" w:color="auto"/>
              <w:left w:val="single" w:sz="8" w:color="auto"/>
              <w:right w:val="single" w:sz="8" w:color="auto"/>
            </w:tcBorders>
          </w:tcPr>
          <w:p>
            <w:pPr>
              <w:spacing w:after="0"/>
              <w:rPr>
                <w:sz w:val="12"/>
                <w:szCs w:val="12"/>
                <w:color w:val="auto"/>
              </w:rPr>
            </w:pPr>
          </w:p>
        </w:tc>
        <w:tc>
          <w:tcPr>
            <w:tcW w:w="328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16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32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32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tcBorders>
              <w:right w:val="single" w:sz="8" w:color="auto"/>
            </w:tcBorders>
          </w:tcPr>
          <w:p>
            <w:pPr>
              <w:jc w:val="center"/>
              <w:ind w:right="430"/>
              <w:spacing w:after="0" w:line="135" w:lineRule="exact"/>
              <w:rPr>
                <w:sz w:val="20"/>
                <w:szCs w:val="20"/>
                <w:color w:val="auto"/>
              </w:rPr>
            </w:pPr>
            <w:r>
              <w:rPr>
                <w:rFonts w:ascii="Arial" w:cs="Arial" w:eastAsia="Arial" w:hAnsi="Arial"/>
                <w:sz w:val="13"/>
                <w:szCs w:val="13"/>
                <w:b w:val="1"/>
                <w:bCs w:val="1"/>
                <w:color w:val="auto"/>
                <w:w w:val="89"/>
              </w:rPr>
              <w:t>Fee</w:t>
            </w:r>
          </w:p>
        </w:tc>
        <w:tc>
          <w:tcPr>
            <w:tcW w:w="10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78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35"/>
        </w:trPr>
        <w:tc>
          <w:tcPr>
            <w:tcW w:w="1100" w:type="dxa"/>
            <w:vAlign w:val="bottom"/>
            <w:tcBorders>
              <w:left w:val="single" w:sz="8" w:color="auto"/>
              <w:right w:val="single" w:sz="8" w:color="auto"/>
            </w:tcBorders>
          </w:tcPr>
          <w:p>
            <w:pPr>
              <w:spacing w:after="0"/>
              <w:rPr>
                <w:sz w:val="11"/>
                <w:szCs w:val="11"/>
                <w:color w:val="auto"/>
              </w:rPr>
            </w:pPr>
          </w:p>
        </w:tc>
        <w:tc>
          <w:tcPr>
            <w:tcW w:w="32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tcBorders>
              <w:right w:val="single" w:sz="8" w:color="auto"/>
            </w:tcBorders>
          </w:tcPr>
          <w:p>
            <w:pPr>
              <w:jc w:val="center"/>
              <w:ind w:right="450"/>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11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Offering</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r>
      <w:tr>
        <w:trPr>
          <w:trHeight w:val="165"/>
        </w:trPr>
        <w:tc>
          <w:tcPr>
            <w:tcW w:w="1100" w:type="dxa"/>
            <w:vAlign w:val="bottom"/>
            <w:tcBorders>
              <w:left w:val="single" w:sz="8" w:color="auto"/>
              <w:bottom w:val="single" w:sz="8" w:color="auto"/>
              <w:right w:val="single" w:sz="8" w:color="auto"/>
            </w:tcBorders>
          </w:tcPr>
          <w:p>
            <w:pPr>
              <w:jc w:val="center"/>
              <w:ind w:left="79"/>
              <w:spacing w:after="0"/>
              <w:rPr>
                <w:sz w:val="20"/>
                <w:szCs w:val="20"/>
                <w:color w:val="auto"/>
              </w:rPr>
            </w:pPr>
            <w:r>
              <w:rPr>
                <w:rFonts w:ascii="Arial" w:cs="Arial" w:eastAsia="Arial" w:hAnsi="Arial"/>
                <w:sz w:val="13"/>
                <w:szCs w:val="13"/>
                <w:b w:val="1"/>
                <w:bCs w:val="1"/>
                <w:color w:val="auto"/>
                <w:w w:val="86"/>
              </w:rPr>
              <w:t>Security Type</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Security Class Title</w:t>
            </w:r>
          </w:p>
        </w:tc>
        <w:tc>
          <w:tcPr>
            <w:tcW w:w="540" w:type="dxa"/>
            <w:vAlign w:val="bottom"/>
            <w:tcBorders>
              <w:bottom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jc w:val="center"/>
              <w:ind w:right="430"/>
              <w:spacing w:after="0"/>
              <w:rPr>
                <w:sz w:val="20"/>
                <w:szCs w:val="20"/>
                <w:color w:val="auto"/>
              </w:rPr>
            </w:pPr>
            <w:r>
              <w:rPr>
                <w:rFonts w:ascii="Arial" w:cs="Arial" w:eastAsia="Arial" w:hAnsi="Arial"/>
                <w:sz w:val="13"/>
                <w:szCs w:val="13"/>
                <w:b w:val="1"/>
                <w:bCs w:val="1"/>
                <w:color w:val="auto"/>
                <w:w w:val="85"/>
              </w:rPr>
              <w:t>Rule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Registered</w:t>
            </w:r>
            <w:r>
              <w:rPr>
                <w:rFonts w:ascii="Arial" w:cs="Arial" w:eastAsia="Arial" w:hAnsi="Arial"/>
                <w:sz w:val="10"/>
                <w:szCs w:val="10"/>
                <w:b w:val="1"/>
                <w:bCs w:val="1"/>
                <w:color w:val="auto"/>
                <w:w w:val="88"/>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Unit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Fee</w:t>
            </w:r>
          </w:p>
        </w:tc>
      </w:tr>
      <w:tr>
        <w:trPr>
          <w:trHeight w:val="231"/>
        </w:trPr>
        <w:tc>
          <w:tcPr>
            <w:tcW w:w="110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8"/>
                <w:szCs w:val="18"/>
                <w:color w:val="auto"/>
                <w:w w:val="95"/>
              </w:rPr>
              <w:t>Equity</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54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jc w:val="center"/>
              <w:ind w:right="450"/>
              <w:spacing w:after="0"/>
              <w:rPr>
                <w:sz w:val="20"/>
                <w:szCs w:val="20"/>
                <w:color w:val="auto"/>
              </w:rPr>
            </w:pPr>
            <w:r>
              <w:rPr>
                <w:rFonts w:ascii="Arial" w:cs="Arial" w:eastAsia="Arial" w:hAnsi="Arial"/>
                <w:sz w:val="18"/>
                <w:szCs w:val="18"/>
                <w:color w:val="auto"/>
                <w:w w:val="91"/>
              </w:rPr>
              <w:t>Rule 457(h)</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 xml:space="preserve">1,747,853 </w:t>
            </w:r>
            <w:r>
              <w:rPr>
                <w:rFonts w:ascii="Arial" w:cs="Arial" w:eastAsia="Arial" w:hAnsi="Arial"/>
                <w:sz w:val="15"/>
                <w:szCs w:val="15"/>
                <w:color w:val="auto"/>
                <w:w w:val="94"/>
              </w:rPr>
              <w:t>(2)</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$1.42 </w:t>
            </w:r>
            <w:r>
              <w:rPr>
                <w:rFonts w:ascii="Arial" w:cs="Arial" w:eastAsia="Arial" w:hAnsi="Arial"/>
                <w:sz w:val="15"/>
                <w:szCs w:val="15"/>
                <w:color w:val="auto"/>
                <w:w w:val="90"/>
              </w:rPr>
              <w:t>(3)</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$2,481,951.26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.0000927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$230.08</w:t>
            </w:r>
          </w:p>
        </w:tc>
      </w:tr>
      <w:tr>
        <w:trPr>
          <w:trHeight w:val="236"/>
        </w:trPr>
        <w:tc>
          <w:tcPr>
            <w:tcW w:w="110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8"/>
                <w:szCs w:val="18"/>
                <w:color w:val="auto"/>
                <w:w w:val="95"/>
              </w:rPr>
              <w:t>Equity</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1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Rule 457(c) and Rule 457(h)</w:t>
            </w:r>
          </w:p>
        </w:tc>
        <w:tc>
          <w:tcPr>
            <w:tcW w:w="1040" w:type="dxa"/>
            <w:vAlign w:val="bottom"/>
            <w:tcBorders>
              <w:bottom w:val="single" w:sz="8" w:color="auto"/>
              <w:right w:val="single" w:sz="8" w:color="auto"/>
            </w:tcBorders>
          </w:tcPr>
          <w:p>
            <w:pPr>
              <w:jc w:val="center"/>
              <w:ind w:right="4"/>
              <w:spacing w:after="0"/>
              <w:rPr>
                <w:sz w:val="20"/>
                <w:szCs w:val="20"/>
                <w:color w:val="auto"/>
              </w:rPr>
            </w:pPr>
            <w:r>
              <w:rPr>
                <w:rFonts w:ascii="Arial" w:cs="Arial" w:eastAsia="Arial" w:hAnsi="Arial"/>
                <w:sz w:val="18"/>
                <w:szCs w:val="18"/>
                <w:color w:val="auto"/>
              </w:rPr>
              <w:t xml:space="preserve">436,963 </w:t>
            </w:r>
            <w:r>
              <w:rPr>
                <w:rFonts w:ascii="Arial" w:cs="Arial" w:eastAsia="Arial" w:hAnsi="Arial"/>
                <w:sz w:val="15"/>
                <w:szCs w:val="15"/>
                <w:color w:val="auto"/>
              </w:rPr>
              <w:t>(4)</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$1.21 </w:t>
            </w:r>
            <w:r>
              <w:rPr>
                <w:rFonts w:ascii="Arial" w:cs="Arial" w:eastAsia="Arial" w:hAnsi="Arial"/>
                <w:sz w:val="15"/>
                <w:szCs w:val="15"/>
                <w:color w:val="auto"/>
                <w:w w:val="90"/>
              </w:rPr>
              <w:t>(5)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$528,725.23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.0000927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$49.02</w:t>
            </w:r>
          </w:p>
        </w:tc>
      </w:tr>
      <w:tr>
        <w:trPr>
          <w:trHeight w:val="239"/>
        </w:trPr>
        <w:tc>
          <w:tcPr>
            <w:tcW w:w="1100" w:type="dxa"/>
            <w:vAlign w:val="bottom"/>
            <w:tcBorders>
              <w:left w:val="single" w:sz="8" w:color="auto"/>
              <w:bottom w:val="single" w:sz="8" w:color="auto"/>
            </w:tcBorders>
          </w:tcPr>
          <w:p>
            <w:pPr>
              <w:spacing w:after="0"/>
              <w:rPr>
                <w:sz w:val="20"/>
                <w:szCs w:val="20"/>
                <w:color w:val="auto"/>
              </w:rPr>
            </w:pPr>
          </w:p>
        </w:tc>
        <w:tc>
          <w:tcPr>
            <w:tcW w:w="3820" w:type="dxa"/>
            <w:vAlign w:val="bottom"/>
            <w:tcBorders>
              <w:bottom w:val="single" w:sz="8" w:color="auto"/>
            </w:tcBorders>
            <w:gridSpan w:val="2"/>
          </w:tcPr>
          <w:p>
            <w:pPr>
              <w:jc w:val="center"/>
              <w:ind w:left="1615"/>
              <w:spacing w:after="0"/>
              <w:rPr>
                <w:sz w:val="20"/>
                <w:szCs w:val="20"/>
                <w:color w:val="auto"/>
              </w:rPr>
            </w:pPr>
            <w:r>
              <w:rPr>
                <w:rFonts w:ascii="Arial" w:cs="Arial" w:eastAsia="Arial" w:hAnsi="Arial"/>
                <w:sz w:val="18"/>
                <w:szCs w:val="18"/>
                <w:b w:val="1"/>
                <w:bCs w:val="1"/>
                <w:color w:val="auto"/>
                <w:w w:val="91"/>
              </w:rPr>
              <w:t>Total Offering Amounts</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$3,010,676.49</w:t>
            </w: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$279.10</w:t>
            </w:r>
          </w:p>
        </w:tc>
      </w:tr>
      <w:tr>
        <w:trPr>
          <w:trHeight w:val="237"/>
        </w:trPr>
        <w:tc>
          <w:tcPr>
            <w:tcW w:w="1100" w:type="dxa"/>
            <w:vAlign w:val="bottom"/>
            <w:tcBorders>
              <w:left w:val="single" w:sz="8" w:color="auto"/>
              <w:bottom w:val="single" w:sz="8" w:color="auto"/>
            </w:tcBorders>
          </w:tcPr>
          <w:p>
            <w:pPr>
              <w:spacing w:after="0"/>
              <w:rPr>
                <w:sz w:val="20"/>
                <w:szCs w:val="20"/>
                <w:color w:val="auto"/>
              </w:rPr>
            </w:pPr>
          </w:p>
        </w:tc>
        <w:tc>
          <w:tcPr>
            <w:tcW w:w="3820" w:type="dxa"/>
            <w:vAlign w:val="bottom"/>
            <w:tcBorders>
              <w:bottom w:val="single" w:sz="8" w:color="auto"/>
            </w:tcBorders>
            <w:gridSpan w:val="2"/>
          </w:tcPr>
          <w:p>
            <w:pPr>
              <w:jc w:val="center"/>
              <w:ind w:left="1595"/>
              <w:spacing w:after="0"/>
              <w:rPr>
                <w:sz w:val="20"/>
                <w:szCs w:val="20"/>
                <w:color w:val="auto"/>
              </w:rPr>
            </w:pPr>
            <w:r>
              <w:rPr>
                <w:rFonts w:ascii="Arial" w:cs="Arial" w:eastAsia="Arial" w:hAnsi="Arial"/>
                <w:sz w:val="18"/>
                <w:szCs w:val="18"/>
                <w:b w:val="1"/>
                <w:bCs w:val="1"/>
                <w:color w:val="auto"/>
                <w:w w:val="88"/>
              </w:rPr>
              <w:t>Total Fee Offsets</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37"/>
        </w:trPr>
        <w:tc>
          <w:tcPr>
            <w:tcW w:w="1100" w:type="dxa"/>
            <w:vAlign w:val="bottom"/>
            <w:tcBorders>
              <w:left w:val="single" w:sz="8" w:color="auto"/>
              <w:bottom w:val="single" w:sz="8" w:color="auto"/>
            </w:tcBorders>
          </w:tcPr>
          <w:p>
            <w:pPr>
              <w:spacing w:after="0"/>
              <w:rPr>
                <w:sz w:val="20"/>
                <w:szCs w:val="20"/>
                <w:color w:val="auto"/>
              </w:rPr>
            </w:pPr>
          </w:p>
        </w:tc>
        <w:tc>
          <w:tcPr>
            <w:tcW w:w="3820" w:type="dxa"/>
            <w:vAlign w:val="bottom"/>
            <w:tcBorders>
              <w:bottom w:val="single" w:sz="8" w:color="auto"/>
            </w:tcBorders>
            <w:gridSpan w:val="2"/>
          </w:tcPr>
          <w:p>
            <w:pPr>
              <w:jc w:val="center"/>
              <w:ind w:left="1595"/>
              <w:spacing w:after="0"/>
              <w:rPr>
                <w:sz w:val="20"/>
                <w:szCs w:val="20"/>
                <w:color w:val="auto"/>
              </w:rPr>
            </w:pPr>
            <w:r>
              <w:rPr>
                <w:rFonts w:ascii="Arial" w:cs="Arial" w:eastAsia="Arial" w:hAnsi="Arial"/>
                <w:sz w:val="18"/>
                <w:szCs w:val="18"/>
                <w:b w:val="1"/>
                <w:bCs w:val="1"/>
                <w:color w:val="auto"/>
                <w:w w:val="90"/>
              </w:rPr>
              <w:t>Net Fee Due</w:t>
            </w: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$279.10</w:t>
            </w:r>
          </w:p>
        </w:tc>
      </w:tr>
    </w:tbl>
    <w:p>
      <w:pPr>
        <w:spacing w:after="0" w:line="229" w:lineRule="exact"/>
        <w:rPr>
          <w:sz w:val="20"/>
          <w:szCs w:val="20"/>
          <w:color w:val="auto"/>
        </w:rPr>
      </w:pPr>
    </w:p>
    <w:p>
      <w:pPr>
        <w:ind w:left="424" w:right="540" w:hanging="424"/>
        <w:spacing w:after="0" w:line="25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shall also cover any additional shares of common stock which become issuable by reason of any stock dividend, stock split, recapitalization or any other similar transaction effected without the receipt of consideration which results in an increase in the number of the registrant’s outstanding shares of common stock.</w:t>
      </w:r>
    </w:p>
    <w:p>
      <w:pPr>
        <w:spacing w:after="0" w:line="2" w:lineRule="exact"/>
        <w:rPr>
          <w:rFonts w:ascii="Arial" w:cs="Arial" w:eastAsia="Arial" w:hAnsi="Arial"/>
          <w:sz w:val="18"/>
          <w:szCs w:val="18"/>
          <w:color w:val="auto"/>
        </w:rPr>
      </w:pPr>
    </w:p>
    <w:p>
      <w:pPr>
        <w:ind w:left="424" w:right="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of 1,747,853 shares of common stock to the number of shares available for issuance under the Registrant’s 2018 Stock Option and Incentive Plan (the “Plan”), effective January 1, 2022. Shares available for issuance under the Plan were previously registered on a registration statement on Form S-8 filed with the Securities and Exchange Commission on June 21, 2018 (Registration No. 333-225788), March 25, 2019 (Registration No. 333-230494), March 16, 2020 (Registration No. 333-237203), August 6, 2020 (Registration No. 333-241400) and March 18, 2021 (Registration No. 333-254466).</w:t>
      </w:r>
    </w:p>
    <w:p>
      <w:pPr>
        <w:spacing w:after="0" w:line="1" w:lineRule="exact"/>
        <w:rPr>
          <w:rFonts w:ascii="Arial" w:cs="Arial" w:eastAsia="Arial" w:hAnsi="Arial"/>
          <w:sz w:val="18"/>
          <w:szCs w:val="18"/>
          <w:color w:val="auto"/>
        </w:rPr>
      </w:pPr>
    </w:p>
    <w:p>
      <w:pPr>
        <w:ind w:left="424" w:right="22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 of the Securities Act, and based on the average of the high and low sales prices of the registrant’s common stock, as quoted on the Nasdaq Global Select Market, on March 11, 2022.</w:t>
      </w:r>
    </w:p>
    <w:p>
      <w:pPr>
        <w:spacing w:after="0" w:line="1" w:lineRule="exact"/>
        <w:rPr>
          <w:rFonts w:ascii="Arial" w:cs="Arial" w:eastAsia="Arial" w:hAnsi="Arial"/>
          <w:sz w:val="16"/>
          <w:szCs w:val="16"/>
          <w:color w:val="auto"/>
        </w:rPr>
      </w:pPr>
    </w:p>
    <w:p>
      <w:pPr>
        <w:ind w:left="424" w:right="14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an automatic increase of 436,963 shares of common stock to the number of shares available for issuance under the registrant’s 2018 Employee Stock Purchase Plan (the “ESPP”), effective January 1, 2022. Shares available for issuance under the ESPP were previously registered on a registration statement on Form S-8 filed with the Securities and Exchange Commission on June 21, 2018 (Registration No. 333-225788), March 25, 2019 (Registration No. 333-230494), March 16, 2020 (Registration No. 333-237203) and March 18, 2021 (Registration</w:t>
      </w:r>
    </w:p>
    <w:p>
      <w:pPr>
        <w:spacing w:after="0" w:line="2"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No. 333-254466).</w:t>
      </w:r>
    </w:p>
    <w:p>
      <w:pPr>
        <w:spacing w:after="0" w:line="9" w:lineRule="exact"/>
        <w:rPr>
          <w:rFonts w:ascii="Arial" w:cs="Arial" w:eastAsia="Arial" w:hAnsi="Arial"/>
          <w:sz w:val="16"/>
          <w:szCs w:val="16"/>
          <w:color w:val="auto"/>
        </w:rPr>
      </w:pPr>
    </w:p>
    <w:p>
      <w:pPr>
        <w:ind w:left="424" w:right="160" w:hanging="424"/>
        <w:spacing w:after="0" w:line="295"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 of the Securities Act, and based on 85% of $1.42 per share, which represents the average of the high and low prices of the registrant’s common stock reported on the Nasdaq Global Select Market on March 11, 2022. Pursuant to the ESPP, the purchase price of the shares of common stock reserved for issuance thereunder will be 85% of the fair market value of a share of common stock on the first trading day of the offering period or on the exercise date, whichever is less.</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17" Type="http://schemas.openxmlformats.org/officeDocument/2006/relationships/hyperlink" Target="http://www.sec.gov/Archives/edgar/data/1681087/000119312518199489/d679181ds8.htm" TargetMode="External"/><Relationship Id="rId19" Type="http://schemas.openxmlformats.org/officeDocument/2006/relationships/hyperlink" Target="http://www.sec.gov/Archives/edgar/data/1681087/000119312518202460/d153924dex31.htm" TargetMode="External"/><Relationship Id="rId20" Type="http://schemas.openxmlformats.org/officeDocument/2006/relationships/hyperlink" Target="http://www.sec.gov/Archives/edgar/data/1681087/000156459020051456/avro-ex32_90.htm" TargetMode="External"/><Relationship Id="rId21" Type="http://schemas.openxmlformats.org/officeDocument/2006/relationships/hyperlink" Target="http://www.sec.gov/Archives/edgar/data/1681087/000119312518202460/d153924dex32.htm" TargetMode="External"/><Relationship Id="rId22" Type="http://schemas.openxmlformats.org/officeDocument/2006/relationships/hyperlink" Target="http://www.sec.gov/Archives/edgar/data/1681087/000119312518175024/d562006dex42.htm" TargetMode="External"/><Relationship Id="rId23" Type="http://schemas.openxmlformats.org/officeDocument/2006/relationships/hyperlink" Target="http://www.sec.gov/Archives/edgar/data/1681087/000119312518188630/d562006dex102.htm" TargetMode="External"/><Relationship Id="rId24" Type="http://schemas.openxmlformats.org/officeDocument/2006/relationships/hyperlink" Target="http://www.sec.gov/Archives/edgar/data/1681087/000119312518188630/d562006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2022-03-17T15:57:59Z</dcterms:created>
  <dcterms:modified xsi:type="dcterms:W3CDTF">2022-03-17T15:57:59Z</dcterms:modified>
</cp:coreProperties>
</file>