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February 27, 2026</w:t>
      </w:r>
    </w:p>
    <w:p>
      <w:pPr>
        <w:spacing w:after="0" w:line="32"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7"/>
          <w:szCs w:val="17"/>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67100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6710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210820</wp:posOffset>
            </wp:positionV>
            <wp:extent cx="1414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19"/>
        <w:spacing w:after="0" w:line="231"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210820</wp:posOffset>
            </wp:positionV>
            <wp:extent cx="1414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Tectonic Therapeutic, Inc.</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228600</wp:posOffset>
            </wp:positionV>
            <wp:extent cx="1414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tbl>
      <w:tblPr>
        <w:tblLayout w:type="fixed"/>
        <w:tblInd w:w="1480" w:type="dxa"/>
        <w:tblCellMar>
          <w:top w:w="0" w:type="dxa"/>
          <w:left w:w="0" w:type="dxa"/>
          <w:bottom w:w="0" w:type="dxa"/>
          <w:right w:w="0" w:type="dxa"/>
        </w:tblCellMar>
      </w:tblPr>
      <w:tr>
        <w:trPr>
          <w:trHeight w:val="203"/>
        </w:trPr>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4640" w:type="dxa"/>
            <w:vAlign w:val="bottom"/>
          </w:tcPr>
          <w:p>
            <w:pPr>
              <w:jc w:val="right"/>
              <w:ind w:right="42"/>
              <w:spacing w:after="0"/>
              <w:rPr>
                <w:sz w:val="20"/>
                <w:szCs w:val="20"/>
                <w:color w:val="auto"/>
              </w:rPr>
            </w:pPr>
            <w:r>
              <w:rPr>
                <w:rFonts w:ascii="Times New Roman" w:cs="Times New Roman" w:eastAsia="Times New Roman" w:hAnsi="Times New Roman"/>
                <w:sz w:val="17"/>
                <w:szCs w:val="17"/>
                <w:b w:val="1"/>
                <w:bCs w:val="1"/>
                <w:color w:val="auto"/>
              </w:rPr>
              <w:t>83-0710585</w:t>
            </w:r>
          </w:p>
        </w:tc>
      </w:tr>
      <w:tr>
        <w:trPr>
          <w:trHeight w:val="142"/>
        </w:trPr>
        <w:tc>
          <w:tcPr>
            <w:tcW w:w="24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4640" w:type="dxa"/>
            <w:vAlign w:val="bottom"/>
          </w:tcPr>
          <w:p>
            <w:pPr>
              <w:jc w:val="center"/>
              <w:ind w:left="3482"/>
              <w:spacing w:after="0" w:line="143"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3"/>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4640" w:type="dxa"/>
            <w:vAlign w:val="bottom"/>
          </w:tcPr>
          <w:p>
            <w:pPr>
              <w:jc w:val="center"/>
              <w:ind w:left="3482"/>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391"/>
        </w:trPr>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490 Arsenal Way</w:t>
            </w:r>
          </w:p>
        </w:tc>
        <w:tc>
          <w:tcPr>
            <w:tcW w:w="4640" w:type="dxa"/>
            <w:vAlign w:val="bottom"/>
          </w:tcPr>
          <w:p>
            <w:pPr>
              <w:spacing w:after="0"/>
              <w:rPr>
                <w:sz w:val="24"/>
                <w:szCs w:val="24"/>
                <w:color w:val="auto"/>
              </w:rPr>
            </w:pPr>
          </w:p>
        </w:tc>
      </w:tr>
      <w:tr>
        <w:trPr>
          <w:trHeight w:val="207"/>
        </w:trPr>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Suite 200</w:t>
            </w:r>
          </w:p>
        </w:tc>
        <w:tc>
          <w:tcPr>
            <w:tcW w:w="4640" w:type="dxa"/>
            <w:vAlign w:val="bottom"/>
          </w:tcPr>
          <w:p>
            <w:pPr>
              <w:spacing w:after="0"/>
              <w:rPr>
                <w:sz w:val="18"/>
                <w:szCs w:val="18"/>
                <w:color w:val="auto"/>
              </w:rPr>
            </w:pPr>
          </w:p>
        </w:tc>
      </w:tr>
      <w:tr>
        <w:trPr>
          <w:trHeight w:val="216"/>
        </w:trPr>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Watertown, MA</w:t>
            </w:r>
          </w:p>
        </w:tc>
        <w:tc>
          <w:tcPr>
            <w:tcW w:w="4640" w:type="dxa"/>
            <w:vAlign w:val="bottom"/>
          </w:tcPr>
          <w:p>
            <w:pPr>
              <w:jc w:val="right"/>
              <w:ind w:right="242"/>
              <w:spacing w:after="0"/>
              <w:rPr>
                <w:sz w:val="20"/>
                <w:szCs w:val="20"/>
                <w:color w:val="auto"/>
              </w:rPr>
            </w:pPr>
            <w:r>
              <w:rPr>
                <w:rFonts w:ascii="Times New Roman" w:cs="Times New Roman" w:eastAsia="Times New Roman" w:hAnsi="Times New Roman"/>
                <w:sz w:val="17"/>
                <w:szCs w:val="17"/>
                <w:b w:val="1"/>
                <w:bCs w:val="1"/>
                <w:color w:val="auto"/>
              </w:rPr>
              <w:t>02472</w:t>
            </w:r>
          </w:p>
        </w:tc>
      </w:tr>
      <w:tr>
        <w:trPr>
          <w:trHeight w:val="183"/>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c>
          <w:tcPr>
            <w:tcW w:w="4640" w:type="dxa"/>
            <w:vAlign w:val="bottom"/>
          </w:tcPr>
          <w:p>
            <w:pPr>
              <w:jc w:val="center"/>
              <w:ind w:left="3482"/>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378"/>
        </w:trPr>
        <w:tc>
          <w:tcPr>
            <w:tcW w:w="2420" w:type="dxa"/>
            <w:vAlign w:val="bottom"/>
          </w:tcPr>
          <w:p>
            <w:pPr>
              <w:spacing w:after="0"/>
              <w:rPr>
                <w:sz w:val="24"/>
                <w:szCs w:val="24"/>
                <w:color w:val="auto"/>
              </w:rPr>
            </w:pPr>
          </w:p>
        </w:tc>
        <w:tc>
          <w:tcPr>
            <w:tcW w:w="4640" w:type="dxa"/>
            <w:vAlign w:val="bottom"/>
          </w:tcPr>
          <w:p>
            <w:pPr>
              <w:jc w:val="center"/>
              <w:ind w:right="1802"/>
              <w:spacing w:after="0"/>
              <w:rPr>
                <w:sz w:val="20"/>
                <w:szCs w:val="20"/>
                <w:color w:val="auto"/>
              </w:rPr>
            </w:pPr>
            <w:r>
              <w:rPr>
                <w:rFonts w:ascii="Times New Roman" w:cs="Times New Roman" w:eastAsia="Times New Roman" w:hAnsi="Times New Roman"/>
                <w:sz w:val="17"/>
                <w:szCs w:val="17"/>
                <w:b w:val="1"/>
                <w:bCs w:val="1"/>
                <w:color w:val="auto"/>
              </w:rPr>
              <w:t>2024 Equity Incentive Plan</w:t>
            </w:r>
          </w:p>
        </w:tc>
      </w:tr>
      <w:tr>
        <w:trPr>
          <w:trHeight w:val="203"/>
        </w:trPr>
        <w:tc>
          <w:tcPr>
            <w:tcW w:w="2420" w:type="dxa"/>
            <w:vAlign w:val="bottom"/>
          </w:tcPr>
          <w:p>
            <w:pPr>
              <w:spacing w:after="0"/>
              <w:rPr>
                <w:sz w:val="17"/>
                <w:szCs w:val="17"/>
                <w:color w:val="auto"/>
              </w:rPr>
            </w:pPr>
          </w:p>
        </w:tc>
        <w:tc>
          <w:tcPr>
            <w:tcW w:w="4640" w:type="dxa"/>
            <w:vAlign w:val="bottom"/>
          </w:tcPr>
          <w:p>
            <w:pPr>
              <w:jc w:val="center"/>
              <w:ind w:right="1802"/>
              <w:spacing w:after="0"/>
              <w:rPr>
                <w:sz w:val="20"/>
                <w:szCs w:val="20"/>
                <w:color w:val="auto"/>
              </w:rPr>
            </w:pPr>
            <w:r>
              <w:rPr>
                <w:rFonts w:ascii="Times New Roman" w:cs="Times New Roman" w:eastAsia="Times New Roman" w:hAnsi="Times New Roman"/>
                <w:sz w:val="17"/>
                <w:szCs w:val="17"/>
                <w:b w:val="1"/>
                <w:bCs w:val="1"/>
                <w:color w:val="auto"/>
              </w:rPr>
              <w:t>2024 Employee Stock Purchase Plan</w:t>
            </w:r>
          </w:p>
        </w:tc>
      </w:tr>
      <w:tr>
        <w:trPr>
          <w:trHeight w:val="183"/>
        </w:trPr>
        <w:tc>
          <w:tcPr>
            <w:tcW w:w="2420" w:type="dxa"/>
            <w:vAlign w:val="bottom"/>
          </w:tcPr>
          <w:p>
            <w:pPr>
              <w:spacing w:after="0"/>
              <w:rPr>
                <w:sz w:val="15"/>
                <w:szCs w:val="15"/>
                <w:color w:val="auto"/>
              </w:rPr>
            </w:pPr>
          </w:p>
        </w:tc>
        <w:tc>
          <w:tcPr>
            <w:tcW w:w="4640" w:type="dxa"/>
            <w:vAlign w:val="bottom"/>
          </w:tcPr>
          <w:p>
            <w:pPr>
              <w:jc w:val="center"/>
              <w:ind w:right="1802"/>
              <w:spacing w:after="0"/>
              <w:rPr>
                <w:sz w:val="20"/>
                <w:szCs w:val="20"/>
                <w:color w:val="auto"/>
              </w:rPr>
            </w:pPr>
            <w:r>
              <w:rPr>
                <w:rFonts w:ascii="Times New Roman" w:cs="Times New Roman" w:eastAsia="Times New Roman" w:hAnsi="Times New Roman"/>
                <w:sz w:val="14"/>
                <w:szCs w:val="14"/>
                <w:b w:val="1"/>
                <w:bCs w:val="1"/>
                <w:color w:val="auto"/>
                <w:w w:val="98"/>
              </w:rPr>
              <w:t>(Full titles of the plans)</w:t>
            </w:r>
          </w:p>
        </w:tc>
      </w:tr>
    </w:tbl>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Daniel Lochner</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490 Arsenal Way</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Suite 200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Watertown, MA 02472</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(339) 666-3320</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214630</wp:posOffset>
            </wp:positionV>
            <wp:extent cx="1414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Divakar S. Gupta</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Brandon Fenn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Minkyu Park</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Cooley LLP</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55 Hudson Yards</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New York, New York 10001</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(212) 479-6000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220980</wp:posOffset>
            </wp:positionV>
            <wp:extent cx="1414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both"/>
        <w:ind w:firstLine="422"/>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36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Accelerated Filer</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36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Emerging growth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3" w:lineRule="exact"/>
        <w:rPr>
          <w:sz w:val="24"/>
          <w:szCs w:val="24"/>
          <w:color w:val="auto"/>
        </w:rPr>
      </w:pPr>
    </w:p>
    <w:p>
      <w:pPr>
        <w:ind w:right="120" w:firstLine="422"/>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6710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6710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ectPr>
          <w:pgSz w:w="11900" w:h="16838" w:orient="portrait"/>
          <w:cols w:equalWidth="0" w:num="1">
            <w:col w:w="10540"/>
          </w:cols>
          <w:pgMar w:left="660" w:top="223" w:right="699"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REGISTRATION OF ADDITIONAL SHARES PURSUANT TO GENERAL INSTRUCTION E</w:t>
      </w:r>
    </w:p>
    <w:p>
      <w:pPr>
        <w:spacing w:after="0" w:line="221" w:lineRule="exact"/>
        <w:rPr>
          <w:sz w:val="20"/>
          <w:szCs w:val="20"/>
          <w:color w:val="auto"/>
        </w:rPr>
      </w:pPr>
    </w:p>
    <w:p>
      <w:pPr>
        <w:ind w:firstLine="422"/>
        <w:spacing w:after="0" w:line="259" w:lineRule="auto"/>
        <w:rPr>
          <w:sz w:val="20"/>
          <w:szCs w:val="20"/>
          <w:color w:val="auto"/>
        </w:rPr>
      </w:pPr>
      <w:r>
        <w:rPr>
          <w:rFonts w:ascii="Times New Roman" w:cs="Times New Roman" w:eastAsia="Times New Roman" w:hAnsi="Times New Roman"/>
          <w:sz w:val="17"/>
          <w:szCs w:val="17"/>
          <w:color w:val="auto"/>
        </w:rPr>
        <w:t>Tectonic Therapeutic, Inc. (the “Registrant”) is filing this Registration Statement on Form S-8 with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for the purpose of registering (a) 936,912 shares of the Registrant’s common stock, par value $0.0001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issuable to eligible persons under the Registrant’s 2024 Equity Incentive Plan (the “</w:t>
      </w:r>
      <w:r>
        <w:rPr>
          <w:rFonts w:ascii="Times New Roman" w:cs="Times New Roman" w:eastAsia="Times New Roman" w:hAnsi="Times New Roman"/>
          <w:sz w:val="17"/>
          <w:szCs w:val="17"/>
          <w:b w:val="1"/>
          <w:bCs w:val="1"/>
          <w:i w:val="1"/>
          <w:iCs w:val="1"/>
          <w:color w:val="auto"/>
        </w:rPr>
        <w:t>2024 Plan</w:t>
      </w:r>
      <w:r>
        <w:rPr>
          <w:rFonts w:ascii="Times New Roman" w:cs="Times New Roman" w:eastAsia="Times New Roman" w:hAnsi="Times New Roman"/>
          <w:sz w:val="17"/>
          <w:szCs w:val="17"/>
          <w:color w:val="auto"/>
        </w:rPr>
        <w:t>”), pursuant to the provisions of the 2024 Plan providing for an automatic increase in the number of shares of Common Stock reserved and available for issuance under the 2024 Plan on January 1, 2026 and (b) 187,382 shares of Common Stock issuable to eligible persons under the Registrant’s 2024 Employee Stock Purchase Plan (the “</w:t>
      </w:r>
      <w:r>
        <w:rPr>
          <w:rFonts w:ascii="Times New Roman" w:cs="Times New Roman" w:eastAsia="Times New Roman" w:hAnsi="Times New Roman"/>
          <w:sz w:val="17"/>
          <w:szCs w:val="17"/>
          <w:b w:val="1"/>
          <w:bCs w:val="1"/>
          <w:i w:val="1"/>
          <w:iCs w:val="1"/>
          <w:color w:val="auto"/>
        </w:rPr>
        <w:t>2024 ESPP</w:t>
      </w:r>
      <w:r>
        <w:rPr>
          <w:rFonts w:ascii="Times New Roman" w:cs="Times New Roman" w:eastAsia="Times New Roman" w:hAnsi="Times New Roman"/>
          <w:sz w:val="17"/>
          <w:szCs w:val="17"/>
          <w:color w:val="auto"/>
        </w:rPr>
        <w:t>”), pursuant to the provisions of the 2024 ESPP providing for an automatic increase in the number of shares of Common Stock reserved and available for issuance under the 2024 ESPP on January 1, 2026. In accordance with the instructional note to Part I of Form S-8 as promulgated by the Commission, the information specified by Part I of the Form S-8 has been omitted from this Registration Statement.</w:t>
      </w:r>
    </w:p>
    <w:p>
      <w:pPr>
        <w:spacing w:after="0" w:line="177" w:lineRule="exact"/>
        <w:rPr>
          <w:sz w:val="20"/>
          <w:szCs w:val="20"/>
          <w:color w:val="auto"/>
        </w:rPr>
      </w:pPr>
    </w:p>
    <w:p>
      <w:pPr>
        <w:ind w:right="60" w:firstLine="422"/>
        <w:spacing w:after="0" w:line="263" w:lineRule="auto"/>
        <w:rPr>
          <w:sz w:val="20"/>
          <w:szCs w:val="20"/>
          <w:color w:val="auto"/>
        </w:rPr>
      </w:pPr>
      <w:r>
        <w:rPr>
          <w:rFonts w:ascii="Times New Roman" w:cs="Times New Roman" w:eastAsia="Times New Roman" w:hAnsi="Times New Roman"/>
          <w:sz w:val="17"/>
          <w:szCs w:val="17"/>
          <w:color w:val="auto"/>
        </w:rPr>
        <w:t>These shares of Common Stock are additional securities of the same class as other securities for which the Registration Statement on Form S-8 was previously filed with the Commission, including any post-effective amendments thereto (File Nos. 333-281690 and 333-285976) (collectively, the “</w:t>
      </w:r>
      <w:r>
        <w:rPr>
          <w:rFonts w:ascii="Times New Roman" w:cs="Times New Roman" w:eastAsia="Times New Roman" w:hAnsi="Times New Roman"/>
          <w:sz w:val="17"/>
          <w:szCs w:val="17"/>
          <w:b w:val="1"/>
          <w:bCs w:val="1"/>
          <w:i w:val="1"/>
          <w:iCs w:val="1"/>
          <w:color w:val="auto"/>
        </w:rPr>
        <w:t>Prior Registration Statements</w:t>
      </w:r>
      <w:r>
        <w:rPr>
          <w:rFonts w:ascii="Times New Roman" w:cs="Times New Roman" w:eastAsia="Times New Roman" w:hAnsi="Times New Roman"/>
          <w:sz w:val="17"/>
          <w:szCs w:val="17"/>
          <w:color w:val="auto"/>
        </w:rPr>
        <w:t>”). Pursuant to General Instruction E to Form S-8, the contents of the Prior Registration Statement are incorporated by reference into this Registration Statement, except that the provisions contained in Part II of such Prior Registration Statement are modified or supplemented, as the case may be, as set forth in this Registration Statement.</w:t>
      </w:r>
    </w:p>
    <w:p>
      <w:pPr>
        <w:sectPr>
          <w:pgSz w:w="11900" w:h="16838" w:orient="portrait"/>
          <w:cols w:equalWidth="0" w:num="1">
            <w:col w:w="10460"/>
          </w:cols>
          <w:pgMar w:left="660" w:top="262" w:right="7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PART II</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24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1" w:lineRule="exact"/>
        <w:rPr>
          <w:sz w:val="20"/>
          <w:szCs w:val="20"/>
          <w:color w:val="auto"/>
        </w:rPr>
      </w:pPr>
    </w:p>
    <w:p>
      <w:pPr>
        <w:ind w:right="120" w:firstLine="422"/>
        <w:spacing w:after="0" w:line="291" w:lineRule="auto"/>
        <w:rPr>
          <w:sz w:val="20"/>
          <w:szCs w:val="20"/>
          <w:color w:val="auto"/>
        </w:rPr>
      </w:pPr>
      <w:r>
        <w:rPr>
          <w:rFonts w:ascii="Times New Roman" w:cs="Times New Roman" w:eastAsia="Times New Roman" w:hAnsi="Times New Roman"/>
          <w:sz w:val="17"/>
          <w:szCs w:val="17"/>
          <w:color w:val="auto"/>
        </w:rPr>
        <w:t>The Registrant hereby incorporates by reference into this Registration Statement the following documents previously filed by the Registrant with the Commission:</w:t>
      </w:r>
    </w:p>
    <w:p>
      <w:pPr>
        <w:spacing w:after="0" w:line="44" w:lineRule="exact"/>
        <w:rPr>
          <w:sz w:val="20"/>
          <w:szCs w:val="20"/>
          <w:color w:val="auto"/>
        </w:rPr>
      </w:pPr>
    </w:p>
    <w:p>
      <w:pPr>
        <w:ind w:left="660" w:hanging="237"/>
        <w:spacing w:after="0"/>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Annual Report on Form 10-K for the fiscal year ended </w:t>
      </w:r>
      <w:hyperlink r:id="rId19">
        <w:r>
          <w:rPr>
            <w:rFonts w:ascii="Times New Roman" w:cs="Times New Roman" w:eastAsia="Times New Roman" w:hAnsi="Times New Roman"/>
            <w:sz w:val="17"/>
            <w:szCs w:val="17"/>
            <w:u w:val="single" w:color="auto"/>
            <w:color w:val="0000EE"/>
          </w:rPr>
          <w:t>December 31, 2025</w:t>
        </w:r>
      </w:hyperlink>
      <w:r>
        <w:rPr>
          <w:rFonts w:ascii="Times New Roman" w:cs="Times New Roman" w:eastAsia="Times New Roman" w:hAnsi="Times New Roman"/>
          <w:sz w:val="17"/>
          <w:szCs w:val="17"/>
          <w:color w:val="auto"/>
        </w:rPr>
        <w:t>, filed with the Commission on February 26, 2026;</w:t>
      </w:r>
    </w:p>
    <w:p>
      <w:pPr>
        <w:spacing w:after="0" w:line="218" w:lineRule="exact"/>
        <w:rPr>
          <w:rFonts w:ascii="Times New Roman" w:cs="Times New Roman" w:eastAsia="Times New Roman" w:hAnsi="Times New Roman"/>
          <w:sz w:val="17"/>
          <w:szCs w:val="17"/>
          <w:color w:val="auto"/>
        </w:rPr>
      </w:pPr>
    </w:p>
    <w:p>
      <w:pPr>
        <w:ind w:right="180" w:firstLine="423"/>
        <w:spacing w:after="0" w:line="291" w:lineRule="auto"/>
        <w:tabs>
          <w:tab w:leader="none" w:pos="667"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Current Report on Form 8-K, which was filed with the Commission on </w:t>
      </w:r>
      <w:hyperlink r:id="rId20">
        <w:r>
          <w:rPr>
            <w:rFonts w:ascii="Times New Roman" w:cs="Times New Roman" w:eastAsia="Times New Roman" w:hAnsi="Times New Roman"/>
            <w:sz w:val="17"/>
            <w:szCs w:val="17"/>
            <w:u w:val="single" w:color="auto"/>
            <w:color w:val="0000EE"/>
          </w:rPr>
          <w:t>February 24, 2026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(except that, with respect to the foregoing Current Report, any portions thereof which are furnished and not filed shall not be deemed incorporated by reference); and</w:t>
      </w:r>
    </w:p>
    <w:p>
      <w:pPr>
        <w:spacing w:after="0" w:line="148" w:lineRule="exact"/>
        <w:rPr>
          <w:rFonts w:ascii="Times New Roman" w:cs="Times New Roman" w:eastAsia="Times New Roman" w:hAnsi="Times New Roman"/>
          <w:sz w:val="17"/>
          <w:szCs w:val="17"/>
          <w:color w:val="auto"/>
        </w:rPr>
      </w:pPr>
    </w:p>
    <w:p>
      <w:pPr>
        <w:jc w:val="both"/>
        <w:ind w:right="260" w:firstLine="423"/>
        <w:spacing w:after="0" w:line="273" w:lineRule="auto"/>
        <w:tabs>
          <w:tab w:leader="none" w:pos="667"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Registrant’s common stock in the Registrant’s registration statement on </w:t>
      </w:r>
      <w:hyperlink r:id="rId21">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filed with the Commission on June 11, 2018, including any amendments or reports filed for the purpose of updating such description, including as </w:t>
      </w:r>
      <w:hyperlink r:id="rId22">
        <w:r>
          <w:rPr>
            <w:rFonts w:ascii="Times New Roman" w:cs="Times New Roman" w:eastAsia="Times New Roman" w:hAnsi="Times New Roman"/>
            <w:sz w:val="17"/>
            <w:szCs w:val="17"/>
            <w:u w:val="single" w:color="auto"/>
            <w:color w:val="0000EE"/>
          </w:rPr>
          <w:t>Exhibit 4.1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Registrant’s Annual Report on Form 10-K for the fiscal year ended December 31, 2024.</w:t>
      </w:r>
    </w:p>
    <w:p>
      <w:pPr>
        <w:spacing w:after="0" w:line="162" w:lineRule="exact"/>
        <w:rPr>
          <w:rFonts w:ascii="Times New Roman" w:cs="Times New Roman" w:eastAsia="Times New Roman" w:hAnsi="Times New Roman"/>
          <w:sz w:val="17"/>
          <w:szCs w:val="17"/>
          <w:color w:val="auto"/>
        </w:rPr>
      </w:pPr>
    </w:p>
    <w:p>
      <w:pPr>
        <w:ind w:right="40" w:firstLine="422"/>
        <w:spacing w:after="0" w:line="258" w:lineRule="auto"/>
        <w:rPr>
          <w:sz w:val="20"/>
          <w:szCs w:val="20"/>
          <w:color w:val="auto"/>
        </w:rPr>
      </w:pPr>
      <w:r>
        <w:rPr>
          <w:rFonts w:ascii="Times New Roman" w:cs="Times New Roman" w:eastAsia="Times New Roman" w:hAnsi="Times New Roman"/>
          <w:sz w:val="17"/>
          <w:szCs w:val="17"/>
          <w:color w:val="auto"/>
        </w:rPr>
        <w:t>All documents, reports and definitive proxy or information statements filed pursuant to Section 13(a), 13(c), 14 or 15(d) of the Securities Exchange Act of 1934, as amended (the “Exchange Act”), other than current reports furnished under Item 2.02 or Item 7.01 of Form 8-K and exhibits furnished on such form that relate to such items,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reports and definitive proxy or information statements, or portions thereof, which are furnished and not filed in accordance with the rules of the Commission shall not be deemed incorporated by reference into this Registration Statement. Any statement contained in a document incorporated or deemed to be incorporated herein by reference shall be deemed to be modified or superseded for purposes of this Registration Statement to the extent that a statement herein or in any other subsequently filed document which also is or is deemed to be incorporated by reference herein modifies or supersedes that statement. Any such statement so modified or superseded shall not constitute a part of this Registration Statement, except as so modified or superseded.</w:t>
      </w:r>
    </w:p>
    <w:p>
      <w:pPr>
        <w:spacing w:after="0" w:line="200" w:lineRule="exact"/>
        <w:rPr>
          <w:rFonts w:ascii="Times New Roman" w:cs="Times New Roman" w:eastAsia="Times New Roman" w:hAnsi="Times New Roman"/>
          <w:sz w:val="17"/>
          <w:szCs w:val="17"/>
          <w:color w:val="auto"/>
        </w:rPr>
      </w:pPr>
    </w:p>
    <w:p>
      <w:pPr>
        <w:spacing w:after="0" w:line="325" w:lineRule="exact"/>
        <w:rPr>
          <w:rFonts w:ascii="Times New Roman" w:cs="Times New Roman" w:eastAsia="Times New Roman" w:hAnsi="Times New Roman"/>
          <w:sz w:val="17"/>
          <w:szCs w:val="17"/>
          <w:color w:val="auto"/>
        </w:rPr>
      </w:pPr>
    </w:p>
    <w:tbl>
      <w:tblPr>
        <w:tblLayout w:type="fixed"/>
        <w:tblInd w:w="0" w:type="dxa"/>
        <w:tblCellMar>
          <w:top w:w="0" w:type="dxa"/>
          <w:left w:w="0" w:type="dxa"/>
          <w:bottom w:w="0" w:type="dxa"/>
          <w:right w:w="0" w:type="dxa"/>
        </w:tblCellMar>
      </w:tblPr>
      <w:tr>
        <w:trPr>
          <w:trHeight w:val="228"/>
        </w:trPr>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8.</w:t>
            </w:r>
          </w:p>
        </w:tc>
        <w:tc>
          <w:tcPr>
            <w:tcW w:w="96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0" w:type="dxa"/>
            <w:vAlign w:val="bottom"/>
          </w:tcPr>
          <w:p>
            <w:pPr>
              <w:spacing w:after="0"/>
              <w:rPr>
                <w:sz w:val="1"/>
                <w:szCs w:val="1"/>
                <w:color w:val="auto"/>
              </w:rPr>
            </w:pPr>
          </w:p>
        </w:tc>
      </w:tr>
      <w:tr>
        <w:trPr>
          <w:trHeight w:val="234"/>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60" w:type="dxa"/>
            <w:vAlign w:val="bottom"/>
            <w:vMerge w:val="restart"/>
          </w:tcPr>
          <w:p>
            <w:pPr>
              <w:ind w:left="4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7"/>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00" w:type="dxa"/>
            <w:vAlign w:val="bottom"/>
          </w:tcPr>
          <w:p>
            <w:pPr>
              <w:spacing w:after="0"/>
              <w:rPr>
                <w:sz w:val="14"/>
                <w:szCs w:val="14"/>
                <w:color w:val="auto"/>
              </w:rPr>
            </w:pPr>
          </w:p>
        </w:tc>
        <w:tc>
          <w:tcPr>
            <w:tcW w:w="9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72" w:lineRule="exact"/>
        <w:rPr>
          <w:rFonts w:ascii="Times New Roman" w:cs="Times New Roman" w:eastAsia="Times New Roman" w:hAnsi="Times New Roman"/>
          <w:sz w:val="17"/>
          <w:szCs w:val="17"/>
          <w:color w:val="auto"/>
        </w:rPr>
      </w:pPr>
    </w:p>
    <w:p>
      <w:pPr>
        <w:ind w:left="900" w:right="60" w:hanging="900"/>
        <w:spacing w:after="0" w:line="291" w:lineRule="auto"/>
        <w:tabs>
          <w:tab w:leader="none" w:pos="93" w:val="left"/>
        </w:tabs>
        <w:numPr>
          <w:ilvl w:val="0"/>
          <w:numId w:val="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4.1</w:t>
      </w:r>
      <w:hyperlink r:id="rId23">
        <w:r>
          <w:rPr>
            <w:rFonts w:ascii="Times New Roman" w:cs="Times New Roman" w:eastAsia="Times New Roman" w:hAnsi="Times New Roman"/>
            <w:sz w:val="17"/>
            <w:szCs w:val="17"/>
            <w:u w:val="single" w:color="auto"/>
            <w:color w:val="0000EE"/>
          </w:rPr>
          <w:t>Fourth Amended and Restated Certificate of Incorporation, as amended through June 20, 2024 (incorporated by reference to Exhibit 3.1 to</w:t>
        </w:r>
      </w:hyperlink>
      <w:r>
        <w:rPr>
          <w:rFonts w:ascii="Times New Roman" w:cs="Times New Roman" w:eastAsia="Times New Roman" w:hAnsi="Times New Roman"/>
          <w:sz w:val="17"/>
          <w:szCs w:val="17"/>
          <w:u w:val="single" w:color="auto"/>
          <w:color w:val="0000EE"/>
        </w:rPr>
        <w:t xml:space="preserve"> </w:t>
      </w:r>
      <w:hyperlink r:id="rId23">
        <w:r>
          <w:rPr>
            <w:rFonts w:ascii="Times New Roman" w:cs="Times New Roman" w:eastAsia="Times New Roman" w:hAnsi="Times New Roman"/>
            <w:sz w:val="17"/>
            <w:szCs w:val="17"/>
            <w:u w:val="single" w:color="auto"/>
            <w:color w:val="0000EE"/>
          </w:rPr>
          <w:t>the Registrant’s Quarterly Report on Form 10-Q (File No. 001-38537), filed with the Commission on August 14, 2024).</w:t>
        </w:r>
      </w:hyperlink>
    </w:p>
    <w:p>
      <w:pPr>
        <w:spacing w:after="0" w:line="43" w:lineRule="exact"/>
        <w:rPr>
          <w:rFonts w:ascii="Times New Roman" w:cs="Times New Roman" w:eastAsia="Times New Roman" w:hAnsi="Times New Roman"/>
          <w:sz w:val="17"/>
          <w:szCs w:val="17"/>
          <w:u w:val="single" w:color="auto"/>
          <w:color w:val="0000EE"/>
        </w:rPr>
      </w:pPr>
    </w:p>
    <w:p>
      <w:pPr>
        <w:ind w:left="80" w:hanging="80"/>
        <w:spacing w:after="0"/>
        <w:tabs>
          <w:tab w:leader="none" w:pos="80" w:val="left"/>
        </w:tabs>
        <w:numPr>
          <w:ilvl w:val="0"/>
          <w:numId w:val="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5"/>
          <w:szCs w:val="15"/>
          <w:color w:val="auto"/>
        </w:rPr>
        <w:t>  4.2</w:t>
      </w:r>
      <w:hyperlink r:id="rId24">
        <w:r>
          <w:rPr>
            <w:rFonts w:ascii="Times New Roman" w:cs="Times New Roman" w:eastAsia="Times New Roman" w:hAnsi="Times New Roman"/>
            <w:sz w:val="17"/>
            <w:szCs w:val="17"/>
            <w:u w:val="single" w:color="auto"/>
            <w:color w:val="0000EE"/>
          </w:rPr>
          <w:t>Amended and Restated Bylaws (incorporated by reference to Exhibit 3.2 to the Registrant’s Current Report on Form 8-K (File</w:t>
        </w:r>
      </w:hyperlink>
    </w:p>
    <w:p>
      <w:pPr>
        <w:spacing w:after="0" w:line="30" w:lineRule="exact"/>
        <w:rPr>
          <w:rFonts w:ascii="Times New Roman" w:cs="Times New Roman" w:eastAsia="Times New Roman" w:hAnsi="Times New Roman"/>
          <w:sz w:val="17"/>
          <w:szCs w:val="17"/>
          <w:u w:val="single" w:color="auto"/>
          <w:color w:val="0000EE"/>
        </w:rPr>
      </w:pPr>
    </w:p>
    <w:p>
      <w:pPr>
        <w:ind w:left="900"/>
        <w:spacing w:after="0"/>
        <w:rPr>
          <w:rFonts w:ascii="Times New Roman" w:cs="Times New Roman" w:eastAsia="Times New Roman" w:hAnsi="Times New Roman"/>
          <w:sz w:val="17"/>
          <w:szCs w:val="17"/>
          <w:u w:val="single" w:color="auto"/>
          <w:color w:val="0000EE"/>
        </w:rPr>
      </w:pPr>
      <w:hyperlink r:id="rId24">
        <w:r>
          <w:rPr>
            <w:rFonts w:ascii="Times New Roman" w:cs="Times New Roman" w:eastAsia="Times New Roman" w:hAnsi="Times New Roman"/>
            <w:sz w:val="17"/>
            <w:szCs w:val="17"/>
            <w:u w:val="single" w:color="auto"/>
            <w:color w:val="0000EE"/>
          </w:rPr>
          <w:t>No. 001-38537), filed with the Commission on June 25, 2018).</w:t>
        </w:r>
      </w:hyperlink>
    </w:p>
    <w:p>
      <w:pPr>
        <w:spacing w:after="0" w:line="97" w:lineRule="exact"/>
        <w:rPr>
          <w:rFonts w:ascii="Times New Roman" w:cs="Times New Roman" w:eastAsia="Times New Roman" w:hAnsi="Times New Roman"/>
          <w:sz w:val="17"/>
          <w:szCs w:val="17"/>
          <w:u w:val="single" w:color="auto"/>
          <w:color w:val="0000EE"/>
        </w:rPr>
      </w:pPr>
    </w:p>
    <w:p>
      <w:pPr>
        <w:ind w:left="80" w:hanging="80"/>
        <w:spacing w:after="0"/>
        <w:tabs>
          <w:tab w:leader="none" w:pos="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5.1</w:t>
      </w:r>
      <w:r>
        <w:rPr>
          <w:rFonts w:ascii="Times New Roman" w:cs="Times New Roman" w:eastAsia="Times New Roman" w:hAnsi="Times New Roman"/>
          <w:sz w:val="16"/>
          <w:szCs w:val="16"/>
          <w:u w:val="single" w:color="auto"/>
          <w:color w:val="0000EE"/>
        </w:rPr>
        <w:t>Opinion of Cooley LLP.</w:t>
      </w:r>
    </w:p>
    <w:p>
      <w:pPr>
        <w:spacing w:after="0" w:line="126" w:lineRule="exact"/>
        <w:rPr>
          <w:rFonts w:ascii="Times New Roman" w:cs="Times New Roman" w:eastAsia="Times New Roman" w:hAnsi="Times New Roman"/>
          <w:sz w:val="15"/>
          <w:szCs w:val="15"/>
          <w:color w:val="auto"/>
        </w:rPr>
      </w:pPr>
    </w:p>
    <w:p>
      <w:pPr>
        <w:ind w:left="80" w:hanging="80"/>
        <w:spacing w:after="0"/>
        <w:tabs>
          <w:tab w:leader="none" w:pos="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23.1</w:t>
      </w:r>
      <w:r>
        <w:rPr>
          <w:rFonts w:ascii="Times New Roman" w:cs="Times New Roman" w:eastAsia="Times New Roman" w:hAnsi="Times New Roman"/>
          <w:sz w:val="17"/>
          <w:szCs w:val="17"/>
          <w:u w:val="single" w:color="auto"/>
          <w:color w:val="0000EE"/>
        </w:rPr>
        <w:t>Consent of Deloitte &amp; Touche LLP, independent registered public accounting firm of Tectonic Therapeutic, Inc.</w:t>
      </w:r>
    </w:p>
    <w:p>
      <w:pPr>
        <w:spacing w:after="0" w:line="115" w:lineRule="exact"/>
        <w:rPr>
          <w:rFonts w:ascii="Times New Roman" w:cs="Times New Roman" w:eastAsia="Times New Roman" w:hAnsi="Times New Roman"/>
          <w:sz w:val="15"/>
          <w:szCs w:val="15"/>
          <w:color w:val="auto"/>
        </w:rPr>
      </w:pPr>
    </w:p>
    <w:p>
      <w:pPr>
        <w:ind w:left="80" w:hanging="80"/>
        <w:spacing w:after="0"/>
        <w:tabs>
          <w:tab w:leader="none" w:pos="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23.2</w:t>
      </w:r>
      <w:r>
        <w:rPr>
          <w:rFonts w:ascii="Times New Roman" w:cs="Times New Roman" w:eastAsia="Times New Roman" w:hAnsi="Times New Roman"/>
          <w:sz w:val="17"/>
          <w:szCs w:val="17"/>
          <w:u w:val="single" w:color="auto"/>
          <w:color w:val="0000EE"/>
        </w:rPr>
        <w:t>Consent of Cooley LLP. Reference is made to Exhibit 5.1.</w:t>
      </w:r>
    </w:p>
    <w:p>
      <w:pPr>
        <w:spacing w:after="0" w:line="154" w:lineRule="exact"/>
        <w:rPr>
          <w:rFonts w:ascii="Times New Roman" w:cs="Times New Roman" w:eastAsia="Times New Roman" w:hAnsi="Times New Roman"/>
          <w:sz w:val="17"/>
          <w:szCs w:val="17"/>
          <w:u w:val="single" w:color="auto"/>
          <w:color w:val="0000EE"/>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560"/>
          </w:cols>
          <w:pgMar w:left="660" w:top="262" w:right="6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940" w:type="dxa"/>
            <w:vAlign w:val="bottom"/>
          </w:tcPr>
          <w:p>
            <w:pPr>
              <w:jc w:val="center"/>
              <w:ind w:right="2391"/>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140" w:type="dxa"/>
            <w:vAlign w:val="bottom"/>
            <w:vMerge w:val="restart"/>
          </w:tcPr>
          <w:p>
            <w:pPr>
              <w:ind w:left="244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83"/>
        </w:trPr>
        <w:tc>
          <w:tcPr>
            <w:tcW w:w="2940" w:type="dxa"/>
            <w:vAlign w:val="bottom"/>
          </w:tcPr>
          <w:p>
            <w:pPr>
              <w:jc w:val="center"/>
              <w:ind w:right="2371"/>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3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79945" cy="3746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-9525</wp:posOffset>
            </wp:positionV>
            <wp:extent cx="61429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6142990" cy="8255"/>
                    </a:xfrm>
                    <a:prstGeom prst="rect">
                      <a:avLst/>
                    </a:prstGeom>
                    <a:noFill/>
                  </pic:spPr>
                </pic:pic>
              </a:graphicData>
            </a:graphic>
          </wp:anchor>
        </w:drawing>
      </w:r>
    </w:p>
    <w:p>
      <w:pPr>
        <w:spacing w:after="0" w:line="49" w:lineRule="exact"/>
        <w:rPr>
          <w:sz w:val="20"/>
          <w:szCs w:val="20"/>
          <w:color w:val="auto"/>
        </w:rPr>
      </w:pPr>
    </w:p>
    <w:p>
      <w:pPr>
        <w:ind w:left="80" w:hanging="80"/>
        <w:spacing w:after="0"/>
        <w:tabs>
          <w:tab w:leader="none" w:pos="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24.1</w:t>
      </w:r>
      <w:r>
        <w:rPr>
          <w:rFonts w:ascii="Times New Roman" w:cs="Times New Roman" w:eastAsia="Times New Roman" w:hAnsi="Times New Roman"/>
          <w:sz w:val="17"/>
          <w:szCs w:val="17"/>
          <w:u w:val="single" w:color="auto"/>
          <w:color w:val="0000EE"/>
        </w:rPr>
        <w:t>Power of Attorney. Reference is made to the signature page hereto.</w:t>
      </w:r>
    </w:p>
    <w:p>
      <w:pPr>
        <w:spacing w:after="0" w:line="115" w:lineRule="exact"/>
        <w:rPr>
          <w:rFonts w:ascii="Times New Roman" w:cs="Times New Roman" w:eastAsia="Times New Roman" w:hAnsi="Times New Roman"/>
          <w:sz w:val="15"/>
          <w:szCs w:val="15"/>
          <w:color w:val="auto"/>
        </w:rPr>
      </w:pPr>
    </w:p>
    <w:p>
      <w:pPr>
        <w:ind w:left="900" w:right="380" w:hanging="900"/>
        <w:spacing w:after="0" w:line="291" w:lineRule="auto"/>
        <w:tabs>
          <w:tab w:leader="none" w:pos="93" w:val="left"/>
        </w:tabs>
        <w:numPr>
          <w:ilvl w:val="0"/>
          <w:numId w:val="5"/>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99.1</w:t>
      </w:r>
      <w:hyperlink r:id="rId27">
        <w:r>
          <w:rPr>
            <w:rFonts w:ascii="Times New Roman" w:cs="Times New Roman" w:eastAsia="Times New Roman" w:hAnsi="Times New Roman"/>
            <w:sz w:val="17"/>
            <w:szCs w:val="17"/>
            <w:u w:val="single" w:color="auto"/>
            <w:color w:val="0000EE"/>
          </w:rPr>
          <w:t>Tectonic Therapeutic, Inc. 2024 Equity Incentive Plan (incorporated by reference to Exhibit 10.6 to the Registrant’s Current Report on</w:t>
        </w:r>
      </w:hyperlink>
      <w:r>
        <w:rPr>
          <w:rFonts w:ascii="Times New Roman" w:cs="Times New Roman" w:eastAsia="Times New Roman" w:hAnsi="Times New Roman"/>
          <w:sz w:val="17"/>
          <w:szCs w:val="17"/>
          <w:u w:val="single" w:color="auto"/>
          <w:color w:val="0000EE"/>
        </w:rPr>
        <w:t xml:space="preserve"> </w:t>
      </w:r>
      <w:hyperlink r:id="rId27">
        <w:r>
          <w:rPr>
            <w:rFonts w:ascii="Times New Roman" w:cs="Times New Roman" w:eastAsia="Times New Roman" w:hAnsi="Times New Roman"/>
            <w:sz w:val="17"/>
            <w:szCs w:val="17"/>
            <w:u w:val="single" w:color="auto"/>
            <w:color w:val="0000EE"/>
          </w:rPr>
          <w:t>Form 8-K (File No. 001-38537), filed with the Commission on June 20, 2024).</w:t>
        </w:r>
      </w:hyperlink>
    </w:p>
    <w:p>
      <w:pPr>
        <w:spacing w:after="0" w:line="43" w:lineRule="exact"/>
        <w:rPr>
          <w:rFonts w:ascii="Times New Roman" w:cs="Times New Roman" w:eastAsia="Times New Roman" w:hAnsi="Times New Roman"/>
          <w:sz w:val="17"/>
          <w:szCs w:val="17"/>
          <w:u w:val="single" w:color="auto"/>
          <w:color w:val="0000EE"/>
        </w:rPr>
      </w:pPr>
    </w:p>
    <w:p>
      <w:pPr>
        <w:ind w:left="900" w:hanging="900"/>
        <w:spacing w:after="0" w:line="273" w:lineRule="auto"/>
        <w:tabs>
          <w:tab w:leader="none" w:pos="93" w:val="left"/>
        </w:tabs>
        <w:numPr>
          <w:ilvl w:val="0"/>
          <w:numId w:val="5"/>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99.2</w:t>
      </w:r>
      <w:hyperlink r:id="rId28">
        <w:r>
          <w:rPr>
            <w:rFonts w:ascii="Times New Roman" w:cs="Times New Roman" w:eastAsia="Times New Roman" w:hAnsi="Times New Roman"/>
            <w:sz w:val="17"/>
            <w:szCs w:val="17"/>
            <w:u w:val="single" w:color="auto"/>
            <w:color w:val="0000EE"/>
          </w:rPr>
          <w:t>Forms of Option Grant Notice, Option Agreement and Notice of Exercise under Tectonic Therapeutic, Inc. 2024 Equity Incentive Plan</w:t>
        </w:r>
      </w:hyperlink>
      <w:r>
        <w:rPr>
          <w:rFonts w:ascii="Times New Roman" w:cs="Times New Roman" w:eastAsia="Times New Roman" w:hAnsi="Times New Roman"/>
          <w:sz w:val="17"/>
          <w:szCs w:val="17"/>
          <w:u w:val="single" w:color="auto"/>
          <w:color w:val="0000EE"/>
        </w:rPr>
        <w:t xml:space="preserve"> </w:t>
      </w:r>
      <w:hyperlink r:id="rId28">
        <w:r>
          <w:rPr>
            <w:rFonts w:ascii="Times New Roman" w:cs="Times New Roman" w:eastAsia="Times New Roman" w:hAnsi="Times New Roman"/>
            <w:sz w:val="17"/>
            <w:szCs w:val="17"/>
            <w:u w:val="single" w:color="auto"/>
            <w:color w:val="0000EE"/>
          </w:rPr>
          <w:t>(incorporated by reference to Exhibit 10.7 to the Registrant’s Current Report on Form 8-K (File No. 001-38537), filed with the Commission</w:t>
        </w:r>
      </w:hyperlink>
      <w:r>
        <w:rPr>
          <w:rFonts w:ascii="Times New Roman" w:cs="Times New Roman" w:eastAsia="Times New Roman" w:hAnsi="Times New Roman"/>
          <w:sz w:val="17"/>
          <w:szCs w:val="17"/>
          <w:u w:val="single" w:color="auto"/>
          <w:color w:val="0000EE"/>
        </w:rPr>
        <w:t xml:space="preserve"> </w:t>
      </w:r>
      <w:hyperlink r:id="rId28">
        <w:r>
          <w:rPr>
            <w:rFonts w:ascii="Times New Roman" w:cs="Times New Roman" w:eastAsia="Times New Roman" w:hAnsi="Times New Roman"/>
            <w:sz w:val="17"/>
            <w:szCs w:val="17"/>
            <w:u w:val="single" w:color="auto"/>
            <w:color w:val="0000EE"/>
          </w:rPr>
          <w:t>on June 20, 2024).</w:t>
        </w:r>
      </w:hyperlink>
    </w:p>
    <w:p>
      <w:pPr>
        <w:spacing w:after="0" w:line="58" w:lineRule="exact"/>
        <w:rPr>
          <w:rFonts w:ascii="Times New Roman" w:cs="Times New Roman" w:eastAsia="Times New Roman" w:hAnsi="Times New Roman"/>
          <w:sz w:val="17"/>
          <w:szCs w:val="17"/>
          <w:u w:val="single" w:color="auto"/>
          <w:color w:val="0000EE"/>
        </w:rPr>
      </w:pPr>
    </w:p>
    <w:p>
      <w:pPr>
        <w:ind w:left="900" w:right="460" w:hanging="900"/>
        <w:spacing w:after="0" w:line="291" w:lineRule="auto"/>
        <w:tabs>
          <w:tab w:leader="none" w:pos="93" w:val="left"/>
        </w:tabs>
        <w:numPr>
          <w:ilvl w:val="0"/>
          <w:numId w:val="5"/>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99.3</w:t>
      </w:r>
      <w:hyperlink r:id="rId29">
        <w:r>
          <w:rPr>
            <w:rFonts w:ascii="Times New Roman" w:cs="Times New Roman" w:eastAsia="Times New Roman" w:hAnsi="Times New Roman"/>
            <w:sz w:val="17"/>
            <w:szCs w:val="17"/>
            <w:u w:val="single" w:color="auto"/>
            <w:color w:val="0000EE"/>
          </w:rPr>
          <w:t>Tectonic Therapeutic, Inc. 2024 Employee Stock Purchase Plan (incorporated by reference to Exhibit 10.8 to the Registrant’s Current</w:t>
        </w:r>
      </w:hyperlink>
      <w:r>
        <w:rPr>
          <w:rFonts w:ascii="Times New Roman" w:cs="Times New Roman" w:eastAsia="Times New Roman" w:hAnsi="Times New Roman"/>
          <w:sz w:val="17"/>
          <w:szCs w:val="17"/>
          <w:u w:val="single" w:color="auto"/>
          <w:color w:val="0000EE"/>
        </w:rPr>
        <w:t xml:space="preserve"> </w:t>
      </w:r>
      <w:hyperlink r:id="rId29">
        <w:r>
          <w:rPr>
            <w:rFonts w:ascii="Times New Roman" w:cs="Times New Roman" w:eastAsia="Times New Roman" w:hAnsi="Times New Roman"/>
            <w:sz w:val="17"/>
            <w:szCs w:val="17"/>
            <w:u w:val="single" w:color="auto"/>
            <w:color w:val="0000EE"/>
          </w:rPr>
          <w:t>Report on Form 8-K (File No. 001-38537), filed with the Commission on June 20, 2024).</w:t>
        </w:r>
      </w:hyperlink>
    </w:p>
    <w:p>
      <w:pPr>
        <w:spacing w:after="0" w:line="44" w:lineRule="exact"/>
        <w:rPr>
          <w:rFonts w:ascii="Times New Roman" w:cs="Times New Roman" w:eastAsia="Times New Roman" w:hAnsi="Times New Roman"/>
          <w:sz w:val="17"/>
          <w:szCs w:val="17"/>
          <w:color w:val="auto"/>
        </w:rPr>
      </w:pPr>
    </w:p>
    <w:p>
      <w:pPr>
        <w:ind w:left="900" w:hanging="900"/>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Filing Fee Table.</w:t>
      </w:r>
    </w:p>
    <w:p>
      <w:pPr>
        <w:spacing w:after="0" w:line="243" w:lineRule="exact"/>
        <w:rPr>
          <w:rFonts w:ascii="Times New Roman" w:cs="Times New Roman" w:eastAsia="Times New Roman" w:hAnsi="Times New Roman"/>
          <w:sz w:val="17"/>
          <w:szCs w:val="17"/>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1" w:lineRule="exact"/>
        <w:rPr>
          <w:rFonts w:ascii="Times New Roman" w:cs="Times New Roman" w:eastAsia="Times New Roman" w:hAnsi="Times New Roman"/>
          <w:sz w:val="17"/>
          <w:szCs w:val="17"/>
          <w:color w:val="auto"/>
        </w:rPr>
      </w:pPr>
    </w:p>
    <w:p>
      <w:pPr>
        <w:ind w:left="660" w:hanging="237"/>
        <w:spacing w:after="0"/>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w:t>
      </w:r>
    </w:p>
    <w:p>
      <w:pPr>
        <w:spacing w:after="0" w:line="115" w:lineRule="exact"/>
        <w:rPr>
          <w:rFonts w:ascii="Times New Roman" w:cs="Times New Roman" w:eastAsia="Times New Roman" w:hAnsi="Times New Roman"/>
          <w:sz w:val="17"/>
          <w:szCs w:val="17"/>
          <w:color w:val="auto"/>
        </w:rPr>
      </w:pPr>
    </w:p>
    <w:p>
      <w:pPr>
        <w:ind w:left="1200" w:hanging="249"/>
        <w:spacing w:after="0"/>
        <w:tabs>
          <w:tab w:leader="none" w:pos="120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115" w:lineRule="exact"/>
        <w:rPr>
          <w:rFonts w:ascii="Times New Roman" w:cs="Times New Roman" w:eastAsia="Times New Roman" w:hAnsi="Times New Roman"/>
          <w:sz w:val="17"/>
          <w:szCs w:val="17"/>
          <w:color w:val="auto"/>
        </w:rPr>
      </w:pPr>
    </w:p>
    <w:p>
      <w:pPr>
        <w:ind w:left="1580" w:hanging="206"/>
        <w:spacing w:after="0"/>
        <w:tabs>
          <w:tab w:leader="none" w:pos="1580"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 of 1933, as amended (the “Securities Act”);</w:t>
      </w:r>
    </w:p>
    <w:p>
      <w:pPr>
        <w:spacing w:after="0" w:line="218" w:lineRule="exact"/>
        <w:rPr>
          <w:rFonts w:ascii="Times New Roman" w:cs="Times New Roman" w:eastAsia="Times New Roman" w:hAnsi="Times New Roman"/>
          <w:sz w:val="17"/>
          <w:szCs w:val="17"/>
          <w:color w:val="auto"/>
        </w:rPr>
      </w:pPr>
    </w:p>
    <w:p>
      <w:pPr>
        <w:ind w:right="60" w:firstLine="1374"/>
        <w:spacing w:after="0" w:line="261" w:lineRule="auto"/>
        <w:tabs>
          <w:tab w:leader="none" w:pos="1628"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382" w:lineRule="exact"/>
        <w:rPr>
          <w:rFonts w:ascii="Times New Roman" w:cs="Times New Roman" w:eastAsia="Times New Roman" w:hAnsi="Times New Roman"/>
          <w:sz w:val="17"/>
          <w:szCs w:val="17"/>
          <w:color w:val="auto"/>
        </w:rPr>
      </w:pPr>
    </w:p>
    <w:p>
      <w:pPr>
        <w:ind w:right="680" w:firstLine="1374"/>
        <w:spacing w:after="0" w:line="291" w:lineRule="auto"/>
        <w:tabs>
          <w:tab w:leader="none" w:pos="1676"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46" w:lineRule="exact"/>
        <w:rPr>
          <w:rFonts w:ascii="Times New Roman" w:cs="Times New Roman" w:eastAsia="Times New Roman" w:hAnsi="Times New Roman"/>
          <w:sz w:val="17"/>
          <w:szCs w:val="17"/>
          <w:color w:val="auto"/>
        </w:rPr>
      </w:pPr>
    </w:p>
    <w:p>
      <w:pPr>
        <w:ind w:right="40"/>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Provided, however, </w:t>
      </w:r>
      <w:r>
        <w:rPr>
          <w:rFonts w:ascii="Times New Roman" w:cs="Times New Roman" w:eastAsia="Times New Roman" w:hAnsi="Times New Roman"/>
          <w:sz w:val="17"/>
          <w:szCs w:val="17"/>
          <w:color w:val="auto"/>
        </w:rPr>
        <w:t>that paragraphs (a)(1)(i) and (a)(1)(ii) do not apply if the Registration Statement is on Form S-8, and the information required to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included in a post-effective amendment by those paragraphs is contained in reports filed with or furnished to the Commission by the Registrant pursuant to Section 13 or Section 15(d) of the Exchange Act that are incorporated by reference in the Registration Statement; and</w:t>
      </w:r>
    </w:p>
    <w:p>
      <w:pPr>
        <w:spacing w:after="0" w:line="161" w:lineRule="exact"/>
        <w:rPr>
          <w:rFonts w:ascii="Times New Roman" w:cs="Times New Roman" w:eastAsia="Times New Roman" w:hAnsi="Times New Roman"/>
          <w:sz w:val="17"/>
          <w:szCs w:val="17"/>
          <w:color w:val="auto"/>
        </w:rPr>
      </w:pPr>
    </w:p>
    <w:p>
      <w:pPr>
        <w:jc w:val="both"/>
        <w:ind w:right="180" w:firstLine="423"/>
        <w:spacing w:after="0" w:line="273" w:lineRule="auto"/>
        <w:tabs>
          <w:tab w:leader="none" w:pos="66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61" w:lineRule="exact"/>
        <w:rPr>
          <w:rFonts w:ascii="Times New Roman" w:cs="Times New Roman" w:eastAsia="Times New Roman" w:hAnsi="Times New Roman"/>
          <w:sz w:val="17"/>
          <w:szCs w:val="17"/>
          <w:color w:val="auto"/>
        </w:rPr>
      </w:pPr>
    </w:p>
    <w:p>
      <w:pPr>
        <w:ind w:right="600" w:firstLine="423"/>
        <w:spacing w:after="0" w:line="291" w:lineRule="auto"/>
        <w:tabs>
          <w:tab w:leader="none" w:pos="66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83"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560"/>
          </w:cols>
          <w:pgMar w:left="660" w:top="239" w:right="679" w:bottom="1440" w:gutter="0" w:footer="0" w:header="0"/>
        </w:sectPr>
      </w:pPr>
    </w:p>
    <w:bookmarkStart w:id="4" w:name="page5"/>
    <w:bookmarkEnd w:id="4"/>
    <w:p>
      <w:pPr>
        <w:ind w:left="-20" w:firstLine="423"/>
        <w:spacing w:after="0" w:line="263" w:lineRule="auto"/>
        <w:tabs>
          <w:tab w:leader="none" w:pos="64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7"/>
          <w:szCs w:val="17"/>
          <w:i w:val="1"/>
          <w:iCs w:val="1"/>
          <w:color w:val="auto"/>
        </w:rPr>
        <w:t>bona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fide </w:t>
      </w:r>
      <w:r>
        <w:rPr>
          <w:rFonts w:ascii="Times New Roman" w:cs="Times New Roman" w:eastAsia="Times New Roman" w:hAnsi="Times New Roman"/>
          <w:sz w:val="17"/>
          <w:szCs w:val="17"/>
          <w:color w:val="auto"/>
        </w:rPr>
        <w:t>offering thereof.</w:t>
      </w:r>
    </w:p>
    <w:p>
      <w:pPr>
        <w:spacing w:after="0" w:line="172" w:lineRule="exact"/>
        <w:rPr>
          <w:rFonts w:ascii="Times New Roman" w:cs="Times New Roman" w:eastAsia="Times New Roman" w:hAnsi="Times New Roman"/>
          <w:sz w:val="17"/>
          <w:szCs w:val="17"/>
          <w:color w:val="auto"/>
        </w:rPr>
      </w:pPr>
    </w:p>
    <w:p>
      <w:pPr>
        <w:ind w:left="-20" w:right="40" w:firstLine="423"/>
        <w:spacing w:after="0" w:line="259" w:lineRule="auto"/>
        <w:tabs>
          <w:tab w:leader="none" w:pos="63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520"/>
          </w:cols>
          <w:pgMar w:left="680" w:top="264" w:right="6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SIGNATURES</w:t>
      </w:r>
    </w:p>
    <w:p>
      <w:pPr>
        <w:spacing w:after="0" w:line="221" w:lineRule="exact"/>
        <w:rPr>
          <w:sz w:val="20"/>
          <w:szCs w:val="20"/>
          <w:color w:val="auto"/>
        </w:rPr>
      </w:pPr>
    </w:p>
    <w:p>
      <w:pPr>
        <w:ind w:right="320" w:firstLine="422"/>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Watertown, Commonwealth of Massachusetts, on February 27, 2026.</w:t>
      </w:r>
    </w:p>
    <w:p>
      <w:pPr>
        <w:spacing w:after="0" w:line="18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b w:val="1"/>
          <w:bCs w:val="1"/>
          <w:color w:val="auto"/>
        </w:rPr>
        <w:t>TECTONIC THERAPEUTIC, INC.</w:t>
      </w:r>
    </w:p>
    <w:p>
      <w:pPr>
        <w:spacing w:after="0" w:line="21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Alise Reicin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4194175</wp:posOffset>
            </wp:positionH>
            <wp:positionV relativeFrom="paragraph">
              <wp:posOffset>20320</wp:posOffset>
            </wp:positionV>
            <wp:extent cx="25165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2516505" cy="8255"/>
                    </a:xfrm>
                    <a:prstGeom prst="rect">
                      <a:avLst/>
                    </a:prstGeom>
                    <a:noFill/>
                  </pic:spPr>
                </pic:pic>
              </a:graphicData>
            </a:graphic>
          </wp:anchor>
        </w:drawing>
      </w:r>
    </w:p>
    <w:p>
      <w:pPr>
        <w:spacing w:after="0" w:line="3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auto"/>
        </w:rPr>
        <w:t>Alise Reicin</w:t>
      </w:r>
    </w:p>
    <w:p>
      <w:pPr>
        <w:spacing w:after="0" w:line="1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ind w:right="180" w:firstLine="422"/>
        <w:spacing w:after="0" w:line="259"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Alise Reicin and Daniel Lochner, and each of them, as true and lawful attorneys-in-fact and agents, with full powers of substitution and resubstitution, for them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generally to do all such things in their names and behalf in their capacities as officers and directors to enable Tectonic Therapeutic,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ratifying and confirming all that said attorneys-in-fact and agents, or any of them, or their or his substitutes or substitute, may lawfully do or cause to be done by virtue hereof.</w:t>
      </w:r>
    </w:p>
    <w:p>
      <w:pPr>
        <w:spacing w:after="0" w:line="173" w:lineRule="exact"/>
        <w:rPr>
          <w:sz w:val="20"/>
          <w:szCs w:val="20"/>
          <w:color w:val="auto"/>
        </w:rPr>
      </w:pPr>
    </w:p>
    <w:p>
      <w:pPr>
        <w:ind w:right="120" w:firstLine="422"/>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on Form S-8 has been signed by the following persons in the capacities and on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5"/>
                <w:szCs w:val="15"/>
                <w:color w:val="auto"/>
              </w:rPr>
            </w:pP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94"/>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Alise Reicin</w:t>
            </w:r>
          </w:p>
        </w:tc>
        <w:tc>
          <w:tcPr>
            <w:tcW w:w="12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27, 2026</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Alise Reicin</w:t>
            </w:r>
          </w:p>
        </w:tc>
        <w:tc>
          <w:tcPr>
            <w:tcW w:w="120" w:type="dxa"/>
            <w:vAlign w:val="bottom"/>
          </w:tcPr>
          <w:p>
            <w:pPr>
              <w:spacing w:after="0"/>
              <w:rPr>
                <w:sz w:val="19"/>
                <w:szCs w:val="19"/>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Daniel Lochner</w:t>
            </w:r>
          </w:p>
        </w:tc>
        <w:tc>
          <w:tcPr>
            <w:tcW w:w="120" w:type="dxa"/>
            <w:vAlign w:val="bottom"/>
          </w:tcPr>
          <w:p>
            <w:pPr>
              <w:spacing w:after="0"/>
              <w:rPr>
                <w:sz w:val="24"/>
                <w:szCs w:val="24"/>
                <w:color w:val="auto"/>
              </w:rPr>
            </w:pPr>
          </w:p>
        </w:tc>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Chief Financial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27, 2026</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Daniel Lochner</w:t>
            </w:r>
          </w:p>
        </w:tc>
        <w:tc>
          <w:tcPr>
            <w:tcW w:w="120" w:type="dxa"/>
            <w:vAlign w:val="bottom"/>
          </w:tcPr>
          <w:p>
            <w:pPr>
              <w:spacing w:after="0"/>
              <w:rPr>
                <w:sz w:val="19"/>
                <w:szCs w:val="19"/>
                <w:color w:val="auto"/>
              </w:rPr>
            </w:pPr>
          </w:p>
        </w:tc>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 Accounting Officer)</w:t>
            </w: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Terrance McGuire</w:t>
            </w:r>
          </w:p>
        </w:tc>
        <w:tc>
          <w:tcPr>
            <w:tcW w:w="12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27, 2026</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Terrance McGuire</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Phillip B. Donenberg</w:t>
            </w:r>
          </w:p>
        </w:tc>
        <w:tc>
          <w:tcPr>
            <w:tcW w:w="12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27, 2026</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Phillip B. Donenberg</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Timothy A. Springer</w:t>
            </w:r>
          </w:p>
        </w:tc>
        <w:tc>
          <w:tcPr>
            <w:tcW w:w="12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27, 2026</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Timothy A. Springer</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Praveen Tipirneni</w:t>
            </w:r>
          </w:p>
        </w:tc>
        <w:tc>
          <w:tcPr>
            <w:tcW w:w="12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27, 2026</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Praveen Tipirneni</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Stefan Vitorovic</w:t>
            </w:r>
          </w:p>
        </w:tc>
        <w:tc>
          <w:tcPr>
            <w:tcW w:w="12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27, 2026</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Stefan Vitorovic</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44"/>
        </w:trPr>
        <w:tc>
          <w:tcPr>
            <w:tcW w:w="4020" w:type="dxa"/>
            <w:vAlign w:val="bottom"/>
          </w:tcPr>
          <w:p>
            <w:pPr>
              <w:spacing w:after="0"/>
              <w:rPr>
                <w:sz w:val="24"/>
                <w:szCs w:val="24"/>
                <w:color w:val="auto"/>
              </w:rPr>
            </w:pPr>
          </w:p>
        </w:tc>
        <w:tc>
          <w:tcPr>
            <w:tcW w:w="4760" w:type="dxa"/>
            <w:vAlign w:val="bottom"/>
            <w:gridSpan w:val="2"/>
          </w:tcPr>
          <w:p>
            <w:pPr>
              <w:jc w:val="right"/>
              <w:ind w:right="3375"/>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0560"/>
          </w:cols>
          <w:pgMar w:left="660" w:top="262" w:right="6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1118235" cy="361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118235" cy="361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Brandon Fenn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+1 212 479 6626</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bfenn@cooley.com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Tectonic Therapeutic,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490 Arsenal Way, Suite 200</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Watertown, MA 02472</w:t>
      </w:r>
    </w:p>
    <w:p>
      <w:pPr>
        <w:spacing w:after="0" w:line="22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t>Re:</w:t>
        <w:tab/>
        <w:t>Registration on Form S-8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1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We have acted as counsel to Tectonic Therapeutic,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in connection with the filing of a Registration Statement on Form S-8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with the U.S.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covering the offering by the Company of up to 1,124,294 shares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of its common stock, par value $0.0001 per share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consisting of (a) 936,912 shares of Common Stock issuable pursuant to the Company’s 2024 Equity Incentive Plan (the “</w:t>
      </w:r>
      <w:r>
        <w:rPr>
          <w:rFonts w:ascii="Times New Roman" w:cs="Times New Roman" w:eastAsia="Times New Roman" w:hAnsi="Times New Roman"/>
          <w:sz w:val="17"/>
          <w:szCs w:val="17"/>
          <w:b w:val="1"/>
          <w:bCs w:val="1"/>
          <w:i w:val="1"/>
          <w:iCs w:val="1"/>
          <w:color w:val="auto"/>
        </w:rPr>
        <w:t>2024 EIP</w:t>
      </w:r>
      <w:r>
        <w:rPr>
          <w:rFonts w:ascii="Times New Roman" w:cs="Times New Roman" w:eastAsia="Times New Roman" w:hAnsi="Times New Roman"/>
          <w:sz w:val="17"/>
          <w:szCs w:val="17"/>
          <w:color w:val="auto"/>
        </w:rPr>
        <w:t>”) and (b) 187,382 shares of Common Stock issuable pursuant to the Company’s 2024 Employee Stock Purchase Plan (together with the 2024 EIP, the “</w:t>
      </w:r>
      <w:r>
        <w:rPr>
          <w:rFonts w:ascii="Times New Roman" w:cs="Times New Roman" w:eastAsia="Times New Roman" w:hAnsi="Times New Roman"/>
          <w:sz w:val="17"/>
          <w:szCs w:val="17"/>
          <w:b w:val="1"/>
          <w:bCs w:val="1"/>
          <w:i w:val="1"/>
          <w:iCs w:val="1"/>
          <w:color w:val="auto"/>
        </w:rPr>
        <w:t>Plans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In connection with this opinion, we have examined and relied upon (a) the Registration Statement and the related prospectuses, (b) the Company’s certificate of incorporation and bylaws, each as currently in effect, (c) the Plans and (d) originals or copies certified to our satisfaction of such other records, documents, opinions,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thereof,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75"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62"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On the basis of the foregoing, and in reliance thereon, we are of the opinion that the Shares, when sold and issued in accordance with the Plans, the Registration Statement and the related prospectuses, will be validly issued, fully paid, and nonassessable (except as to Shares issued pursuant to certain deferred payment arrangements, which will be fully paid and nonassessable when such deferred payments are made in full).</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7"/>
          <w:szCs w:val="17"/>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COOLEY LLP 55 HUDSON YARDS, NEW YORK, NY 10001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 (212) 479-6000 F: (212) 479-6275 COOLEY.COM</w:t>
      </w:r>
    </w:p>
    <w:p>
      <w:pPr>
        <w:sectPr>
          <w:pgSz w:w="11900" w:h="16838" w:orient="portrait"/>
          <w:cols w:equalWidth="0" w:num="1">
            <w:col w:w="10560"/>
          </w:cols>
          <w:pgMar w:left="660" w:top="119" w:right="6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79945" cy="37465"/>
                    </a:xfrm>
                    <a:prstGeom prst="rect">
                      <a:avLst/>
                    </a:prstGeom>
                    <a:noFill/>
                  </pic:spPr>
                </pic:pic>
              </a:graphicData>
            </a:graphic>
          </wp:anchor>
        </w:drawing>
        <w:drawing>
          <wp:anchor simplePos="0" relativeHeight="251657728" behindDoc="1" locked="0" layoutInCell="0" allowOverlap="1">
            <wp:simplePos x="0" y="0"/>
            <wp:positionH relativeFrom="page">
              <wp:posOffset>419100</wp:posOffset>
            </wp:positionH>
            <wp:positionV relativeFrom="page">
              <wp:posOffset>179070</wp:posOffset>
            </wp:positionV>
            <wp:extent cx="1118235" cy="361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118235" cy="361950"/>
                    </a:xfrm>
                    <a:prstGeom prst="rect">
                      <a:avLst/>
                    </a:prstGeom>
                    <a:noFill/>
                  </pic:spPr>
                </pic:pic>
              </a:graphicData>
            </a:graphic>
          </wp:anchor>
        </w:drawing>
        <w:t>Tectonic Therapeutic,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Two</w:t>
      </w:r>
    </w:p>
    <w:p>
      <w:pPr>
        <w:spacing w:after="0" w:line="13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w:t>
      </w:r>
      <w:r>
        <w:rPr>
          <w:rFonts w:ascii="Times New Roman" w:cs="Times New Roman" w:eastAsia="Times New Roman" w:hAnsi="Times New Roman"/>
          <w:sz w:val="14"/>
          <w:szCs w:val="14"/>
          <w:color w:val="auto"/>
        </w:rPr>
        <w:t>OOLEY</w:t>
      </w:r>
      <w:r>
        <w:rPr>
          <w:rFonts w:ascii="Times New Roman" w:cs="Times New Roman" w:eastAsia="Times New Roman" w:hAnsi="Times New Roman"/>
          <w:sz w:val="17"/>
          <w:szCs w:val="17"/>
          <w:color w:val="auto"/>
        </w:rPr>
        <w:t xml:space="preserve"> LLP</w:t>
      </w:r>
    </w:p>
    <w:p>
      <w:pPr>
        <w:spacing w:after="0" w:line="219" w:lineRule="exact"/>
        <w:rPr>
          <w:sz w:val="20"/>
          <w:szCs w:val="20"/>
          <w:color w:val="auto"/>
        </w:rPr>
      </w:pPr>
    </w:p>
    <w:p>
      <w:pPr>
        <w:jc w:val="right"/>
        <w:ind w:right="9020"/>
        <w:spacing w:after="0"/>
        <w:rPr>
          <w:sz w:val="20"/>
          <w:szCs w:val="20"/>
          <w:color w:val="auto"/>
        </w:rPr>
      </w:pPr>
      <w:r>
        <w:rPr>
          <w:rFonts w:ascii="Times New Roman" w:cs="Times New Roman" w:eastAsia="Times New Roman" w:hAnsi="Times New Roman"/>
          <w:sz w:val="17"/>
          <w:szCs w:val="17"/>
          <w:color w:val="auto"/>
        </w:rPr>
        <w:t>By: /s/ Brandon Fenn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19050</wp:posOffset>
            </wp:positionV>
            <wp:extent cx="24917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spacing w:after="0" w:line="10" w:lineRule="exact"/>
        <w:rPr>
          <w:sz w:val="20"/>
          <w:szCs w:val="20"/>
          <w:color w:val="auto"/>
        </w:rPr>
      </w:pPr>
    </w:p>
    <w:p>
      <w:pPr>
        <w:jc w:val="right"/>
        <w:ind w:right="9060"/>
        <w:spacing w:after="0"/>
        <w:tabs>
          <w:tab w:leader="none" w:pos="10020" w:val="left"/>
        </w:tabs>
        <w:rPr>
          <w:sz w:val="20"/>
          <w:szCs w:val="20"/>
          <w:color w:val="auto"/>
        </w:rPr>
      </w:pPr>
      <w:r>
        <w:rPr>
          <w:rFonts w:ascii="Times New Roman" w:cs="Times New Roman" w:eastAsia="Times New Roman" w:hAnsi="Times New Roman"/>
          <w:sz w:val="17"/>
          <w:szCs w:val="17"/>
          <w:color w:val="auto"/>
        </w:rPr>
        <w:t>  </w:t>
        <w:tab/>
        <w:t>Brandon Fenn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COOLEY LLP 55 HUDSON YARDS, NEW YORK, NY 10001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 (212) 479-6000 F: (212) 479-6275 COOLEY.COM</w:t>
      </w:r>
    </w:p>
    <w:p>
      <w:pPr>
        <w:sectPr>
          <w:pgSz w:w="11900" w:h="16838" w:orient="portrait"/>
          <w:cols w:equalWidth="0" w:num="1">
            <w:col w:w="10560"/>
          </w:cols>
          <w:pgMar w:left="660" w:top="1041" w:right="67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1" w:lineRule="exact"/>
        <w:rPr>
          <w:sz w:val="20"/>
          <w:szCs w:val="20"/>
          <w:color w:val="auto"/>
        </w:rPr>
      </w:pPr>
    </w:p>
    <w:p>
      <w:pPr>
        <w:jc w:val="both"/>
        <w:ind w:right="120"/>
        <w:spacing w:after="0" w:line="273" w:lineRule="auto"/>
        <w:rPr>
          <w:sz w:val="20"/>
          <w:szCs w:val="20"/>
          <w:color w:val="auto"/>
        </w:rPr>
      </w:pPr>
      <w:r>
        <w:rPr>
          <w:rFonts w:ascii="Times New Roman" w:cs="Times New Roman" w:eastAsia="Times New Roman" w:hAnsi="Times New Roman"/>
          <w:sz w:val="17"/>
          <w:szCs w:val="17"/>
          <w:color w:val="auto"/>
        </w:rPr>
        <w:t>We consent to the incorporation by reference in this Registration Statement on Form S-8 of our report dated February 27, 2026, relating to the financial statements of Tectonic Therapeutic, Inc., appearing in the Annual Report on Form 10-K of Tectonic Therapeutic, Inc. for the year ended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ectPr>
          <w:pgSz w:w="11900" w:h="16838" w:orient="portrait"/>
          <w:cols w:equalWidth="0" w:num="1">
            <w:col w:w="10560"/>
          </w:cols>
          <w:pgMar w:left="660" w:top="119" w:right="679" w:bottom="1440" w:gutter="0" w:footer="0" w:header="0"/>
        </w:sectPr>
      </w:pPr>
    </w:p>
    <w:bookmarkStart w:id="9" w:name="page10"/>
    <w:bookmarkEnd w:id="9"/>
    <w:p>
      <w:pPr>
        <w:ind w:left="2380"/>
        <w:spacing w:after="0"/>
        <w:rPr>
          <w:sz w:val="20"/>
          <w:szCs w:val="20"/>
          <w:color w:val="auto"/>
        </w:rPr>
      </w:pPr>
      <w:r>
        <w:rPr>
          <w:rFonts w:ascii="Arial" w:cs="Arial" w:eastAsia="Arial" w:hAnsi="Arial"/>
          <w:sz w:val="34"/>
          <w:szCs w:val="34"/>
          <w:b w:val="1"/>
          <w:bCs w:val="1"/>
          <w:color w:val="auto"/>
        </w:rPr>
        <w:t>Calculation of Filing Fee Tables</w:t>
      </w:r>
    </w:p>
    <w:p>
      <w:pPr>
        <w:spacing w:after="0" w:line="218" w:lineRule="exact"/>
        <w:rPr>
          <w:sz w:val="20"/>
          <w:szCs w:val="20"/>
          <w:color w:val="auto"/>
        </w:rPr>
      </w:pPr>
    </w:p>
    <w:p>
      <w:pPr>
        <w:ind w:left="468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140"/>
        <w:spacing w:after="0"/>
        <w:rPr>
          <w:sz w:val="20"/>
          <w:szCs w:val="20"/>
          <w:color w:val="auto"/>
        </w:rPr>
      </w:pPr>
      <w:r>
        <w:rPr>
          <w:rFonts w:ascii="Arial" w:cs="Arial" w:eastAsia="Arial" w:hAnsi="Arial"/>
          <w:sz w:val="35"/>
          <w:szCs w:val="35"/>
          <w:b w:val="1"/>
          <w:bCs w:val="1"/>
          <w:color w:val="auto"/>
        </w:rPr>
        <w:t>Tectonic Therapeutic,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1: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33655</wp:posOffset>
            </wp:positionV>
            <wp:extent cx="6426835" cy="5563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6426835" cy="5563235"/>
                    </a:xfrm>
                    <a:prstGeom prst="rect">
                      <a:avLst/>
                    </a:prstGeom>
                    <a:noFill/>
                  </pic:spPr>
                </pic:pic>
              </a:graphicData>
            </a:graphic>
          </wp:anchor>
        </w:drawing>
      </w:r>
    </w:p>
    <w:p>
      <w:pPr>
        <w:sectPr>
          <w:pgSz w:w="11900" w:h="16838" w:orient="portrait"/>
          <w:cols w:equalWidth="0" w:num="1">
            <w:col w:w="10040"/>
          </w:cols>
          <w:pgMar w:left="920" w:top="141" w:right="939" w:bottom="0" w:gutter="0" w:footer="0" w:header="0"/>
        </w:sectPr>
      </w:pP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453"/>
        </w:trPr>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4"/>
                <w:szCs w:val="24"/>
                <w:color w:val="auto"/>
              </w:rPr>
            </w:pPr>
          </w:p>
        </w:tc>
        <w:tc>
          <w:tcPr>
            <w:tcW w:w="1180" w:type="dxa"/>
            <w:vAlign w:val="bottom"/>
            <w:vMerge w:val="restart"/>
            <w:shd w:val="clear" w:color="auto" w:fill="9ADAF6"/>
          </w:tcPr>
          <w:p>
            <w:pPr>
              <w:ind w:left="180"/>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00" w:type="dxa"/>
            <w:vAlign w:val="bottom"/>
            <w:vMerge w:val="restart"/>
            <w:shd w:val="clear" w:color="auto" w:fill="9ADAF6"/>
          </w:tcPr>
          <w:p>
            <w:pPr>
              <w:jc w:val="right"/>
              <w:ind w:right="56"/>
              <w:spacing w:after="0"/>
              <w:rPr>
                <w:sz w:val="20"/>
                <w:szCs w:val="20"/>
                <w:color w:val="auto"/>
              </w:rPr>
            </w:pPr>
            <w:r>
              <w:rPr>
                <w:rFonts w:ascii="Arial" w:cs="Arial" w:eastAsia="Arial" w:hAnsi="Arial"/>
                <w:sz w:val="21"/>
                <w:szCs w:val="21"/>
                <w:b w:val="1"/>
                <w:bCs w:val="1"/>
                <w:color w:val="auto"/>
              </w:rPr>
              <w:t>Amount</w:t>
            </w:r>
          </w:p>
        </w:tc>
        <w:tc>
          <w:tcPr>
            <w:tcW w:w="0" w:type="dxa"/>
            <w:vAlign w:val="bottom"/>
          </w:tcPr>
          <w:p>
            <w:pPr>
              <w:spacing w:after="0"/>
              <w:rPr>
                <w:sz w:val="1"/>
                <w:szCs w:val="1"/>
                <w:color w:val="auto"/>
              </w:rPr>
            </w:pPr>
          </w:p>
        </w:tc>
      </w:tr>
      <w:tr>
        <w:trPr>
          <w:trHeight w:val="208"/>
        </w:trPr>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Calculation</w:t>
            </w:r>
          </w:p>
        </w:tc>
        <w:tc>
          <w:tcPr>
            <w:tcW w:w="20" w:type="dxa"/>
            <w:vAlign w:val="bottom"/>
          </w:tcPr>
          <w:p>
            <w:pPr>
              <w:spacing w:after="0"/>
              <w:rPr>
                <w:sz w:val="18"/>
                <w:szCs w:val="18"/>
                <w:color w:val="auto"/>
              </w:rPr>
            </w:pPr>
          </w:p>
        </w:tc>
        <w:tc>
          <w:tcPr>
            <w:tcW w:w="11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1180" w:type="dxa"/>
            <w:vAlign w:val="bottom"/>
            <w:shd w:val="clear" w:color="auto" w:fill="9ADAF6"/>
          </w:tcPr>
          <w:p>
            <w:pPr>
              <w:ind w:left="80"/>
              <w:spacing w:after="0" w:line="233" w:lineRule="exact"/>
              <w:rPr>
                <w:sz w:val="20"/>
                <w:szCs w:val="20"/>
                <w:color w:val="auto"/>
              </w:rPr>
            </w:pPr>
            <w:r>
              <w:rPr>
                <w:rFonts w:ascii="Arial" w:cs="Arial" w:eastAsia="Arial" w:hAnsi="Arial"/>
                <w:sz w:val="21"/>
                <w:szCs w:val="21"/>
                <w:b w:val="1"/>
                <w:bCs w:val="1"/>
                <w:color w:val="auto"/>
              </w:rPr>
              <w:t>Class Title</w:t>
            </w:r>
          </w:p>
        </w:tc>
        <w:tc>
          <w:tcPr>
            <w:tcW w:w="20" w:type="dxa"/>
            <w:vAlign w:val="bottom"/>
          </w:tcPr>
          <w:p>
            <w:pPr>
              <w:spacing w:after="0"/>
              <w:rPr>
                <w:sz w:val="20"/>
                <w:szCs w:val="2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6"/>
              </w:rPr>
              <w:t>Rule</w:t>
            </w:r>
          </w:p>
        </w:tc>
        <w:tc>
          <w:tcPr>
            <w:tcW w:w="20" w:type="dxa"/>
            <w:vAlign w:val="bottom"/>
          </w:tcPr>
          <w:p>
            <w:pPr>
              <w:spacing w:after="0"/>
              <w:rPr>
                <w:sz w:val="20"/>
                <w:szCs w:val="20"/>
                <w:color w:val="auto"/>
              </w:rPr>
            </w:pPr>
          </w:p>
        </w:tc>
        <w:tc>
          <w:tcPr>
            <w:tcW w:w="110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Registered</w:t>
            </w:r>
          </w:p>
        </w:tc>
        <w:tc>
          <w:tcPr>
            <w:tcW w:w="0" w:type="dxa"/>
            <w:vAlign w:val="bottom"/>
          </w:tcPr>
          <w:p>
            <w:pPr>
              <w:spacing w:after="0"/>
              <w:rPr>
                <w:sz w:val="1"/>
                <w:szCs w:val="1"/>
                <w:color w:val="auto"/>
              </w:rPr>
            </w:pPr>
          </w:p>
        </w:tc>
      </w:tr>
      <w:tr>
        <w:trPr>
          <w:trHeight w:val="76"/>
        </w:trPr>
        <w:tc>
          <w:tcPr>
            <w:tcW w:w="16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vMerge w:val="continue"/>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shd w:val="clear" w:color="auto" w:fill="9ADAF6"/>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$0.0001 par</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value per</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share to be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issued</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11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pursuant to</w:t>
            </w:r>
          </w:p>
        </w:tc>
        <w:tc>
          <w:tcPr>
            <w:tcW w:w="20" w:type="dxa"/>
            <w:vAlign w:val="bottom"/>
          </w:tcPr>
          <w:p>
            <w:pPr>
              <w:spacing w:after="0"/>
              <w:rPr>
                <w:sz w:val="20"/>
                <w:szCs w:val="20"/>
                <w:color w:val="auto"/>
              </w:rPr>
            </w:pPr>
          </w:p>
        </w:tc>
        <w:tc>
          <w:tcPr>
            <w:tcW w:w="116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936,912</w:t>
            </w: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9"/>
              </w:rPr>
              <w:t>the Tectonic</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7"/>
              </w:rPr>
              <w:t>Therapeutic,</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Inc. 2024</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Incentive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shd w:val="clear" w:color="auto" w:fill="E7E7E2"/>
          </w:tcPr>
          <w:p>
            <w:pPr>
              <w:ind w:left="20"/>
              <w:spacing w:after="0"/>
              <w:rPr>
                <w:sz w:val="20"/>
                <w:szCs w:val="20"/>
                <w:color w:val="auto"/>
              </w:rPr>
            </w:pPr>
            <w:r>
              <w:rPr>
                <w:rFonts w:ascii="Arial" w:cs="Arial" w:eastAsia="Arial" w:hAnsi="Arial"/>
                <w:sz w:val="21"/>
                <w:szCs w:val="21"/>
                <w:color w:val="auto"/>
              </w:rPr>
              <w:t>Plan</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21"/>
                <w:szCs w:val="21"/>
                <w:color w:val="auto"/>
              </w:rPr>
              <w:t>Common</w:t>
            </w: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ind w:left="20"/>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ind w:left="20"/>
              <w:spacing w:after="0" w:line="233" w:lineRule="exact"/>
              <w:rPr>
                <w:sz w:val="20"/>
                <w:szCs w:val="20"/>
                <w:color w:val="auto"/>
              </w:rPr>
            </w:pPr>
            <w:r>
              <w:rPr>
                <w:rFonts w:ascii="Arial" w:cs="Arial" w:eastAsia="Arial" w:hAnsi="Arial"/>
                <w:sz w:val="21"/>
                <w:szCs w:val="21"/>
                <w:color w:val="auto"/>
              </w:rPr>
              <w:t>$0.0001 par</w:t>
            </w: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ind w:left="20"/>
              <w:spacing w:after="0" w:line="233" w:lineRule="exact"/>
              <w:rPr>
                <w:sz w:val="20"/>
                <w:szCs w:val="20"/>
                <w:color w:val="auto"/>
              </w:rPr>
            </w:pPr>
            <w:r>
              <w:rPr>
                <w:rFonts w:ascii="Arial" w:cs="Arial" w:eastAsia="Arial" w:hAnsi="Arial"/>
                <w:sz w:val="21"/>
                <w:szCs w:val="21"/>
                <w:color w:val="auto"/>
              </w:rPr>
              <w:t>value per</w:t>
            </w: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ind w:left="20"/>
              <w:spacing w:after="0" w:line="233" w:lineRule="exact"/>
              <w:rPr>
                <w:sz w:val="20"/>
                <w:szCs w:val="20"/>
                <w:color w:val="auto"/>
              </w:rPr>
            </w:pPr>
            <w:r>
              <w:rPr>
                <w:rFonts w:ascii="Arial" w:cs="Arial" w:eastAsia="Arial" w:hAnsi="Arial"/>
                <w:sz w:val="21"/>
                <w:szCs w:val="21"/>
                <w:color w:val="auto"/>
              </w:rPr>
              <w:t>share to be</w:t>
            </w: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ind w:left="20"/>
              <w:spacing w:after="0" w:line="233" w:lineRule="exact"/>
              <w:rPr>
                <w:sz w:val="20"/>
                <w:szCs w:val="20"/>
                <w:color w:val="auto"/>
              </w:rPr>
            </w:pPr>
            <w:r>
              <w:rPr>
                <w:rFonts w:ascii="Arial" w:cs="Arial" w:eastAsia="Arial" w:hAnsi="Arial"/>
                <w:sz w:val="21"/>
                <w:szCs w:val="21"/>
                <w:color w:val="auto"/>
              </w:rPr>
              <w:t>issued</w:t>
            </w: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120" w:type="dxa"/>
            <w:vAlign w:val="bottom"/>
            <w:gridSpan w:val="3"/>
          </w:tcPr>
          <w:p>
            <w:pPr>
              <w:ind w:left="20"/>
              <w:spacing w:after="0"/>
              <w:rPr>
                <w:sz w:val="20"/>
                <w:szCs w:val="20"/>
                <w:color w:val="auto"/>
              </w:rPr>
            </w:pPr>
            <w:r>
              <w:rPr>
                <w:rFonts w:ascii="Arial" w:cs="Arial" w:eastAsia="Arial" w:hAnsi="Arial"/>
                <w:sz w:val="21"/>
                <w:szCs w:val="21"/>
                <w:color w:val="auto"/>
              </w:rPr>
              <w:t>2 Equity</w:t>
            </w:r>
          </w:p>
        </w:tc>
        <w:tc>
          <w:tcPr>
            <w:tcW w:w="20" w:type="dxa"/>
            <w:vAlign w:val="bottom"/>
          </w:tcPr>
          <w:p>
            <w:pPr>
              <w:spacing w:after="0"/>
              <w:rPr>
                <w:sz w:val="23"/>
                <w:szCs w:val="23"/>
                <w:color w:val="auto"/>
              </w:rPr>
            </w:pPr>
          </w:p>
        </w:tc>
        <w:tc>
          <w:tcPr>
            <w:tcW w:w="1180" w:type="dxa"/>
            <w:vAlign w:val="bottom"/>
          </w:tcPr>
          <w:p>
            <w:pPr>
              <w:ind w:left="20"/>
              <w:spacing w:after="0"/>
              <w:rPr>
                <w:sz w:val="20"/>
                <w:szCs w:val="20"/>
                <w:color w:val="auto"/>
              </w:rPr>
            </w:pPr>
            <w:r>
              <w:rPr>
                <w:rFonts w:ascii="Arial" w:cs="Arial" w:eastAsia="Arial" w:hAnsi="Arial"/>
                <w:sz w:val="21"/>
                <w:szCs w:val="21"/>
                <w:color w:val="auto"/>
              </w:rPr>
              <w:t>pursuant to</w:t>
            </w:r>
          </w:p>
        </w:tc>
        <w:tc>
          <w:tcPr>
            <w:tcW w:w="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21"/>
                <w:szCs w:val="21"/>
                <w:color w:val="auto"/>
                <w:w w:val="98"/>
              </w:rPr>
              <w:t>Other</w:t>
            </w:r>
          </w:p>
        </w:tc>
        <w:tc>
          <w:tcPr>
            <w:tcW w:w="1120" w:type="dxa"/>
            <w:vAlign w:val="bottom"/>
            <w:gridSpan w:val="2"/>
          </w:tcPr>
          <w:p>
            <w:pPr>
              <w:jc w:val="right"/>
              <w:spacing w:after="0"/>
              <w:rPr>
                <w:sz w:val="20"/>
                <w:szCs w:val="20"/>
                <w:color w:val="auto"/>
              </w:rPr>
            </w:pPr>
            <w:r>
              <w:rPr>
                <w:rFonts w:ascii="Arial" w:cs="Arial" w:eastAsia="Arial" w:hAnsi="Arial"/>
                <w:sz w:val="21"/>
                <w:szCs w:val="21"/>
                <w:color w:val="auto"/>
              </w:rPr>
              <w:t>187,382</w:t>
            </w:r>
          </w:p>
        </w:tc>
        <w:tc>
          <w:tcPr>
            <w:tcW w:w="0" w:type="dxa"/>
            <w:vAlign w:val="bottom"/>
          </w:tcPr>
          <w:p>
            <w:pPr>
              <w:spacing w:after="0"/>
              <w:rPr>
                <w:sz w:val="1"/>
                <w:szCs w:val="1"/>
                <w:color w:val="auto"/>
              </w:rPr>
            </w:pPr>
          </w:p>
        </w:tc>
      </w:tr>
    </w:tbl>
    <w:p>
      <w:pPr>
        <w:ind w:left="1180"/>
        <w:spacing w:after="0" w:line="211" w:lineRule="auto"/>
        <w:rPr>
          <w:sz w:val="20"/>
          <w:szCs w:val="20"/>
          <w:color w:val="auto"/>
        </w:rPr>
      </w:pPr>
      <w:r>
        <w:rPr>
          <w:rFonts w:ascii="Arial" w:cs="Arial" w:eastAsia="Arial" w:hAnsi="Arial"/>
          <w:sz w:val="21"/>
          <w:szCs w:val="21"/>
          <w:color w:val="auto"/>
        </w:rPr>
        <w:t>the Tectonic</w:t>
      </w:r>
    </w:p>
    <w:p>
      <w:pPr>
        <w:ind w:left="1180"/>
        <w:spacing w:after="0"/>
        <w:rPr>
          <w:sz w:val="20"/>
          <w:szCs w:val="20"/>
          <w:color w:val="auto"/>
        </w:rPr>
      </w:pPr>
      <w:r>
        <w:rPr>
          <w:rFonts w:ascii="Arial" w:cs="Arial" w:eastAsia="Arial" w:hAnsi="Arial"/>
          <w:sz w:val="20"/>
          <w:szCs w:val="20"/>
          <w:color w:val="auto"/>
        </w:rPr>
        <w:t>Therapeutic,</w:t>
      </w:r>
    </w:p>
    <w:p>
      <w:pPr>
        <w:ind w:left="1180"/>
        <w:spacing w:after="0" w:line="234" w:lineRule="auto"/>
        <w:rPr>
          <w:sz w:val="20"/>
          <w:szCs w:val="20"/>
          <w:color w:val="auto"/>
        </w:rPr>
      </w:pPr>
      <w:r>
        <w:rPr>
          <w:rFonts w:ascii="Arial" w:cs="Arial" w:eastAsia="Arial" w:hAnsi="Arial"/>
          <w:sz w:val="21"/>
          <w:szCs w:val="21"/>
          <w:color w:val="auto"/>
        </w:rPr>
        <w:t>Inc. 2024</w:t>
      </w:r>
    </w:p>
    <w:p>
      <w:pPr>
        <w:ind w:left="1180"/>
        <w:spacing w:after="0" w:line="232" w:lineRule="auto"/>
        <w:rPr>
          <w:sz w:val="20"/>
          <w:szCs w:val="20"/>
          <w:color w:val="auto"/>
        </w:rPr>
      </w:pPr>
      <w:r>
        <w:rPr>
          <w:rFonts w:ascii="Arial" w:cs="Arial" w:eastAsia="Arial" w:hAnsi="Arial"/>
          <w:sz w:val="21"/>
          <w:szCs w:val="21"/>
          <w:color w:val="auto"/>
        </w:rPr>
        <w:t>Employee</w:t>
      </w:r>
    </w:p>
    <w:p>
      <w:pPr>
        <w:ind w:left="1180"/>
        <w:spacing w:after="0" w:line="232" w:lineRule="auto"/>
        <w:rPr>
          <w:sz w:val="20"/>
          <w:szCs w:val="20"/>
          <w:color w:val="auto"/>
        </w:rPr>
      </w:pPr>
      <w:r>
        <w:rPr>
          <w:rFonts w:ascii="Arial" w:cs="Arial" w:eastAsia="Arial" w:hAnsi="Arial"/>
          <w:sz w:val="21"/>
          <w:szCs w:val="21"/>
          <w:color w:val="auto"/>
        </w:rPr>
        <w:t>Stock</w:t>
      </w:r>
    </w:p>
    <w:p>
      <w:pPr>
        <w:ind w:left="1180"/>
        <w:spacing w:after="0" w:line="231" w:lineRule="auto"/>
        <w:rPr>
          <w:sz w:val="20"/>
          <w:szCs w:val="20"/>
          <w:color w:val="auto"/>
        </w:rPr>
      </w:pPr>
      <w:r>
        <w:rPr>
          <w:rFonts w:ascii="Arial" w:cs="Arial" w:eastAsia="Arial" w:hAnsi="Arial"/>
          <w:sz w:val="21"/>
          <w:szCs w:val="21"/>
          <w:color w:val="auto"/>
        </w:rPr>
        <w:t>Purchase</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Plan</w:t>
      </w:r>
    </w:p>
    <w:p>
      <w:pPr>
        <w:spacing w:after="0" w:line="23"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Total Offering Amounts:</w:t>
      </w:r>
    </w:p>
    <w:p>
      <w:pPr>
        <w:spacing w:after="0" w:line="288"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Total Fee Offsets:</w:t>
      </w:r>
    </w:p>
    <w:p>
      <w:pPr>
        <w:spacing w:after="0" w:line="55"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Net Fee Due:</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3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21"/>
                <w:szCs w:val="21"/>
                <w:color w:val="auto"/>
              </w:rPr>
            </w:pPr>
          </w:p>
        </w:tc>
        <w:tc>
          <w:tcPr>
            <w:tcW w:w="15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shd w:val="clear" w:color="auto" w:fill="9ADAF6"/>
          </w:tcPr>
          <w:p>
            <w:pPr>
              <w:spacing w:after="0"/>
              <w:rPr>
                <w:sz w:val="21"/>
                <w:szCs w:val="21"/>
                <w:color w:val="auto"/>
              </w:rPr>
            </w:pPr>
          </w:p>
        </w:tc>
      </w:tr>
      <w:tr>
        <w:trPr>
          <w:trHeight w:val="233"/>
        </w:trPr>
        <w:tc>
          <w:tcPr>
            <w:tcW w:w="13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20"/>
                <w:szCs w:val="20"/>
                <w:color w:val="auto"/>
              </w:rPr>
            </w:pPr>
          </w:p>
        </w:tc>
        <w:tc>
          <w:tcPr>
            <w:tcW w:w="10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Amount of</w:t>
            </w:r>
          </w:p>
        </w:tc>
      </w:tr>
      <w:tr>
        <w:trPr>
          <w:trHeight w:val="233"/>
        </w:trPr>
        <w:tc>
          <w:tcPr>
            <w:tcW w:w="13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1000" w:type="dxa"/>
            <w:vAlign w:val="bottom"/>
            <w:shd w:val="clear" w:color="auto" w:fill="9ADAF6"/>
          </w:tcPr>
          <w:p>
            <w:pPr>
              <w:ind w:left="60"/>
              <w:spacing w:after="0" w:line="233" w:lineRule="exact"/>
              <w:rPr>
                <w:sz w:val="20"/>
                <w:szCs w:val="20"/>
                <w:color w:val="auto"/>
              </w:rPr>
            </w:pPr>
            <w:r>
              <w:rPr>
                <w:rFonts w:ascii="Arial" w:cs="Arial" w:eastAsia="Arial" w:hAnsi="Arial"/>
                <w:sz w:val="21"/>
                <w:szCs w:val="21"/>
                <w:b w:val="1"/>
                <w:bCs w:val="1"/>
                <w:color w:val="auto"/>
              </w:rPr>
              <w:t>Fee Rate</w:t>
            </w:r>
          </w:p>
        </w:tc>
        <w:tc>
          <w:tcPr>
            <w:tcW w:w="40" w:type="dxa"/>
            <w:vAlign w:val="bottom"/>
          </w:tcPr>
          <w:p>
            <w:pPr>
              <w:spacing w:after="0"/>
              <w:rPr>
                <w:sz w:val="20"/>
                <w:szCs w:val="20"/>
                <w:color w:val="auto"/>
              </w:rPr>
            </w:pPr>
          </w:p>
        </w:tc>
        <w:tc>
          <w:tcPr>
            <w:tcW w:w="14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Registration</w:t>
            </w:r>
          </w:p>
        </w:tc>
      </w:tr>
      <w:tr>
        <w:trPr>
          <w:trHeight w:val="233"/>
        </w:trPr>
        <w:tc>
          <w:tcPr>
            <w:tcW w:w="13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Price Per</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Offering Price</w:t>
            </w:r>
          </w:p>
        </w:tc>
        <w:tc>
          <w:tcPr>
            <w:tcW w:w="20" w:type="dxa"/>
            <w:vAlign w:val="bottom"/>
          </w:tcPr>
          <w:p>
            <w:pPr>
              <w:spacing w:after="0"/>
              <w:rPr>
                <w:sz w:val="20"/>
                <w:szCs w:val="20"/>
                <w:color w:val="auto"/>
              </w:rPr>
            </w:pPr>
          </w:p>
        </w:tc>
        <w:tc>
          <w:tcPr>
            <w:tcW w:w="10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r>
      <w:tr>
        <w:trPr>
          <w:trHeight w:val="272"/>
        </w:trPr>
        <w:tc>
          <w:tcPr>
            <w:tcW w:w="13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3"/>
                <w:szCs w:val="23"/>
                <w:color w:val="auto"/>
              </w:rPr>
            </w:pPr>
          </w:p>
        </w:tc>
        <w:tc>
          <w:tcPr>
            <w:tcW w:w="15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460" w:type="dxa"/>
            <w:vAlign w:val="bottom"/>
            <w:shd w:val="clear" w:color="auto" w:fill="9ADAF6"/>
          </w:tcPr>
          <w:p>
            <w:pPr>
              <w:spacing w:after="0"/>
              <w:rPr>
                <w:sz w:val="23"/>
                <w:szCs w:val="23"/>
                <w:color w:val="auto"/>
              </w:rPr>
            </w:pPr>
          </w:p>
        </w:tc>
      </w:tr>
    </w:tbl>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93"/>
        </w:trPr>
        <w:tc>
          <w:tcPr>
            <w:tcW w:w="130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$ 21.13</w:t>
            </w:r>
          </w:p>
        </w:tc>
        <w:tc>
          <w:tcPr>
            <w:tcW w:w="20" w:type="dxa"/>
            <w:vAlign w:val="bottom"/>
          </w:tcPr>
          <w:p>
            <w:pPr>
              <w:spacing w:after="0"/>
              <w:rPr>
                <w:sz w:val="24"/>
                <w:szCs w:val="24"/>
                <w:color w:val="auto"/>
              </w:rPr>
            </w:pPr>
          </w:p>
        </w:tc>
        <w:tc>
          <w:tcPr>
            <w:tcW w:w="1520" w:type="dxa"/>
            <w:vAlign w:val="bottom"/>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4"/>
                <w:szCs w:val="24"/>
                <w:color w:val="auto"/>
              </w:rPr>
            </w:pPr>
          </w:p>
        </w:tc>
        <w:tc>
          <w:tcPr>
            <w:tcW w:w="1000" w:type="dxa"/>
            <w:vAlign w:val="bottom"/>
            <w:shd w:val="clear" w:color="auto" w:fill="E7E7E2"/>
          </w:tcPr>
          <w:p>
            <w:pPr>
              <w:jc w:val="right"/>
              <w:spacing w:after="0"/>
              <w:rPr>
                <w:sz w:val="20"/>
                <w:szCs w:val="20"/>
                <w:color w:val="auto"/>
              </w:rPr>
            </w:pPr>
            <w:r>
              <w:rPr>
                <w:rFonts w:ascii="Arial" w:cs="Arial" w:eastAsia="Arial" w:hAnsi="Arial"/>
                <w:sz w:val="21"/>
                <w:szCs w:val="21"/>
                <w:color w:val="auto"/>
                <w:w w:val="96"/>
              </w:rPr>
              <w:t>0.0001381</w:t>
            </w:r>
          </w:p>
        </w:tc>
        <w:tc>
          <w:tcPr>
            <w:tcW w:w="40" w:type="dxa"/>
            <w:vAlign w:val="bottom"/>
          </w:tcPr>
          <w:p>
            <w:pPr>
              <w:spacing w:after="0"/>
              <w:rPr>
                <w:sz w:val="24"/>
                <w:szCs w:val="24"/>
                <w:color w:val="auto"/>
              </w:rPr>
            </w:pPr>
          </w:p>
        </w:tc>
        <w:tc>
          <w:tcPr>
            <w:tcW w:w="14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$ 2,733.96</w:t>
            </w:r>
          </w:p>
        </w:tc>
      </w:tr>
      <w:tr>
        <w:trPr>
          <w:trHeight w:val="274"/>
        </w:trPr>
        <w:tc>
          <w:tcPr>
            <w:tcW w:w="13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jc w:val="right"/>
              <w:spacing w:after="0"/>
              <w:rPr>
                <w:sz w:val="20"/>
                <w:szCs w:val="20"/>
                <w:color w:val="auto"/>
              </w:rPr>
            </w:pPr>
            <w:r>
              <w:rPr>
                <w:rFonts w:ascii="Arial" w:cs="Arial" w:eastAsia="Arial" w:hAnsi="Arial"/>
                <w:sz w:val="21"/>
                <w:szCs w:val="21"/>
                <w:color w:val="auto"/>
              </w:rPr>
              <w:t>19,796,950.56</w:t>
            </w:r>
          </w:p>
        </w:tc>
        <w:tc>
          <w:tcPr>
            <w:tcW w:w="20" w:type="dxa"/>
            <w:vAlign w:val="bottom"/>
          </w:tcPr>
          <w:p>
            <w:pPr>
              <w:spacing w:after="0"/>
              <w:rPr>
                <w:sz w:val="23"/>
                <w:szCs w:val="23"/>
                <w:color w:val="auto"/>
              </w:rPr>
            </w:pPr>
          </w:p>
        </w:tc>
        <w:tc>
          <w:tcPr>
            <w:tcW w:w="10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60" w:type="dxa"/>
            <w:vAlign w:val="bottom"/>
            <w:shd w:val="clear" w:color="auto" w:fill="E7E7E2"/>
          </w:tcPr>
          <w:p>
            <w:pPr>
              <w:spacing w:after="0"/>
              <w:rPr>
                <w:sz w:val="23"/>
                <w:szCs w:val="23"/>
                <w:color w:val="auto"/>
              </w:rPr>
            </w:pPr>
          </w:p>
        </w:tc>
      </w:tr>
      <w:tr>
        <w:trPr>
          <w:trHeight w:val="1190"/>
        </w:trPr>
        <w:tc>
          <w:tcPr>
            <w:tcW w:w="13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shd w:val="clear" w:color="auto" w:fill="E7E7E2"/>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0"/>
        <w:spacing w:after="0"/>
        <w:tabs>
          <w:tab w:leader="none" w:pos="4520" w:val="left"/>
        </w:tabs>
        <w:rPr>
          <w:sz w:val="20"/>
          <w:szCs w:val="20"/>
          <w:color w:val="auto"/>
        </w:rPr>
      </w:pPr>
      <w:r>
        <w:rPr>
          <w:rFonts w:ascii="Arial" w:cs="Arial" w:eastAsia="Arial" w:hAnsi="Arial"/>
          <w:sz w:val="21"/>
          <w:szCs w:val="21"/>
          <w:color w:val="auto"/>
        </w:rPr>
        <w:t>$ 17.97  $ 3,367,254.54 0.0001381</w:t>
      </w:r>
      <w:r>
        <w:rPr>
          <w:sz w:val="20"/>
          <w:szCs w:val="20"/>
          <w:color w:val="auto"/>
        </w:rPr>
        <w:tab/>
      </w:r>
      <w:r>
        <w:rPr>
          <w:rFonts w:ascii="Arial" w:cs="Arial" w:eastAsia="Arial" w:hAnsi="Arial"/>
          <w:sz w:val="20"/>
          <w:szCs w:val="20"/>
          <w:color w:val="auto"/>
        </w:rPr>
        <w:t>$ 465.02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2700" w:type="dxa"/>
        <w:tblCellMar>
          <w:top w:w="0" w:type="dxa"/>
          <w:left w:w="0" w:type="dxa"/>
          <w:bottom w:w="0" w:type="dxa"/>
          <w:right w:w="0" w:type="dxa"/>
        </w:tblCellMar>
      </w:tblPr>
      <w:tr>
        <w:trPr>
          <w:trHeight w:val="253"/>
        </w:trPr>
        <w:tc>
          <w:tcPr>
            <w:tcW w:w="900" w:type="dxa"/>
            <w:vAlign w:val="bottom"/>
          </w:tcPr>
          <w:p>
            <w:pPr>
              <w:jc w:val="right"/>
              <w:ind w:right="676"/>
              <w:spacing w:after="0"/>
              <w:rPr>
                <w:sz w:val="20"/>
                <w:szCs w:val="20"/>
                <w:color w:val="auto"/>
              </w:rPr>
            </w:pPr>
            <w:r>
              <w:rPr>
                <w:rFonts w:ascii="Arial" w:cs="Arial" w:eastAsia="Arial" w:hAnsi="Arial"/>
                <w:sz w:val="21"/>
                <w:szCs w:val="21"/>
                <w:color w:val="auto"/>
                <w:w w:val="85"/>
              </w:rPr>
              <w:t>$</w:t>
            </w:r>
          </w:p>
        </w:tc>
        <w:tc>
          <w:tcPr>
            <w:tcW w:w="1740" w:type="dxa"/>
            <w:vAlign w:val="bottom"/>
          </w:tcPr>
          <w:p>
            <w:pPr>
              <w:jc w:val="right"/>
              <w:spacing w:after="0"/>
              <w:rPr>
                <w:sz w:val="20"/>
                <w:szCs w:val="20"/>
                <w:color w:val="auto"/>
              </w:rPr>
            </w:pPr>
            <w:r>
              <w:rPr>
                <w:rFonts w:ascii="Arial" w:cs="Arial" w:eastAsia="Arial" w:hAnsi="Arial"/>
                <w:sz w:val="21"/>
                <w:szCs w:val="21"/>
                <w:color w:val="auto"/>
              </w:rPr>
              <w:t>$ 3,198.98</w:t>
            </w:r>
          </w:p>
        </w:tc>
      </w:tr>
    </w:tbl>
    <w:p>
      <w:pPr>
        <w:ind w:left="1480"/>
        <w:spacing w:after="0"/>
        <w:rPr>
          <w:sz w:val="20"/>
          <w:szCs w:val="20"/>
          <w:color w:val="auto"/>
        </w:rPr>
      </w:pPr>
      <w:r>
        <w:rPr>
          <w:rFonts w:ascii="Arial" w:cs="Arial" w:eastAsia="Arial" w:hAnsi="Arial"/>
          <w:sz w:val="21"/>
          <w:szCs w:val="21"/>
          <w:color w:val="auto"/>
        </w:rPr>
        <w:t>23,164,205.10</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21"/>
          <w:szCs w:val="21"/>
          <w:color w:val="auto"/>
        </w:rPr>
        <w:t>$ 0.00</w:t>
      </w:r>
    </w:p>
    <w:p>
      <w:pPr>
        <w:spacing w:after="0" w:line="43" w:lineRule="exact"/>
        <w:rPr>
          <w:sz w:val="20"/>
          <w:szCs w:val="20"/>
          <w:color w:val="auto"/>
        </w:rPr>
      </w:pPr>
    </w:p>
    <w:p>
      <w:pPr>
        <w:jc w:val="right"/>
        <w:ind w:right="20"/>
        <w:spacing w:after="0"/>
        <w:rPr>
          <w:sz w:val="20"/>
          <w:szCs w:val="20"/>
          <w:color w:val="auto"/>
        </w:rPr>
      </w:pPr>
      <w:r>
        <w:rPr>
          <w:rFonts w:ascii="Arial" w:cs="Arial" w:eastAsia="Arial" w:hAnsi="Arial"/>
          <w:sz w:val="21"/>
          <w:szCs w:val="21"/>
          <w:color w:val="auto"/>
        </w:rPr>
        <w:t>$ 3,198.98</w:t>
      </w:r>
    </w:p>
    <w:p>
      <w:pPr>
        <w:spacing w:after="0" w:line="200" w:lineRule="exact"/>
        <w:rPr>
          <w:sz w:val="20"/>
          <w:szCs w:val="20"/>
          <w:color w:val="auto"/>
        </w:rPr>
      </w:pPr>
    </w:p>
    <w:p>
      <w:pPr>
        <w:sectPr>
          <w:pgSz w:w="11900" w:h="16838" w:orient="portrait"/>
          <w:cols w:equalWidth="0" w:num="2">
            <w:col w:w="4640" w:space="40"/>
            <w:col w:w="5360"/>
          </w:cols>
          <w:pgMar w:left="920" w:top="141" w:right="939" w:bottom="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Offering Note</w:t>
      </w:r>
    </w:p>
    <w:p>
      <w:pPr>
        <w:spacing w:after="0" w:line="134" w:lineRule="exact"/>
        <w:rPr>
          <w:sz w:val="20"/>
          <w:szCs w:val="20"/>
          <w:color w:val="auto"/>
        </w:rPr>
      </w:pPr>
    </w:p>
    <w:p>
      <w:pPr>
        <w:ind w:left="220" w:right="80" w:hanging="214"/>
        <w:spacing w:after="0" w:line="230" w:lineRule="auto"/>
        <w:tabs>
          <w:tab w:leader="none" w:pos="220" w:val="left"/>
        </w:tabs>
        <w:numPr>
          <w:ilvl w:val="0"/>
          <w:numId w:val="10"/>
        </w:numPr>
        <w:rPr>
          <w:rFonts w:ascii="Arial" w:cs="Arial" w:eastAsia="Arial" w:hAnsi="Arial"/>
          <w:sz w:val="26"/>
          <w:szCs w:val="26"/>
          <w:color w:val="auto"/>
          <w:vertAlign w:val="superscript"/>
        </w:rPr>
      </w:pPr>
      <w:r>
        <w:rPr>
          <w:rFonts w:ascii="Arial" w:cs="Arial" w:eastAsia="Arial" w:hAnsi="Arial"/>
          <w:sz w:val="21"/>
          <w:szCs w:val="21"/>
          <w:color w:val="auto"/>
        </w:rPr>
        <w:t>(1) Pursuant to Rule 416(a) under the Securities Act of 1933, as amended (the "Securities Act"), this Registration Statement shall also cover any additional shares of common stock of Tectonic Therapeutic, Inc. (the "Registrant"), par value $0.0001 per share ("Common Stock"), that become issuable under the Registrant's 2024 Equity Incentive Plan (the "2024 Plan") and 2024 Employee Stock Purchase Plan (the "2024 ESPP") by reason of any stock dividend, stock split, recapitalization or other similar transaction. (2) Represents additional shares of Common Stock that were automatically added to the shares reserved for future grant under the 2024 Plan on January 1, 2026 pursuant to an "evergreen" provision contained in the 2024 Plan, which provides that an additional number of shares will automatically be added annually to the shares authorized for issuance under the 2024 Plan on January 1 of each calendar year, from January 1, 2025 through (and including) January 1, 2034, in an amount equal to (a) five percent (5%) of the total number of shares of Common Stock issued and outstanding on December 31st of the preceding calendar year; or (b) a lesser number of shares of Common Stock determined by the Registrant's board of directors (the "Board") prior to the date of increase. (4) This estimate is made pursuant to Rule 457(h)(1) and Rule 457(c) of the Securities Act solely for purposes of calculating the registration fee. The price per share and aggregate offering price are based upon the average of the high and low prices of the Common Stock on February 20, 2026, as reported on The Nasdaq Stock Market, which date is within five business days prior to the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398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90" w:lineRule="exact"/>
        <w:rPr>
          <w:sz w:val="20"/>
          <w:szCs w:val="20"/>
          <w:color w:val="auto"/>
        </w:rPr>
      </w:pPr>
    </w:p>
    <w:p>
      <w:pPr>
        <w:ind w:left="220" w:right="320" w:hanging="214"/>
        <w:spacing w:after="0" w:line="237" w:lineRule="auto"/>
        <w:tabs>
          <w:tab w:leader="none" w:pos="220" w:val="left"/>
        </w:tabs>
        <w:numPr>
          <w:ilvl w:val="0"/>
          <w:numId w:val="11"/>
        </w:numPr>
        <w:rPr>
          <w:rFonts w:ascii="Arial" w:cs="Arial" w:eastAsia="Arial" w:hAnsi="Arial"/>
          <w:sz w:val="25"/>
          <w:szCs w:val="25"/>
          <w:color w:val="auto"/>
          <w:vertAlign w:val="superscript"/>
        </w:rPr>
      </w:pPr>
      <w:r>
        <w:rPr>
          <w:rFonts w:ascii="Arial" w:cs="Arial" w:eastAsia="Arial" w:hAnsi="Arial"/>
          <w:sz w:val="20"/>
          <w:szCs w:val="20"/>
          <w:color w:val="auto"/>
        </w:rPr>
        <w:t>(1) Pursuant to Rule 416(a) under the Securities Act of 1933, as amended (the "Securities Act"), this Registration Statement shall also cover any additional shares of common stock of Tectonic Therapeutic, Inc. (the "Registrant"), par value $0.0001 per share ("Common Stock"), that become issuable under the</w:t>
      </w:r>
    </w:p>
    <w:p>
      <w:pPr>
        <w:sectPr>
          <w:pgSz w:w="11900" w:h="16838" w:orient="portrait"/>
          <w:cols w:equalWidth="0" w:num="1">
            <w:col w:w="10040"/>
          </w:cols>
          <w:pgMar w:left="920" w:top="141" w:right="939" w:bottom="0" w:gutter="0" w:footer="0" w:header="0"/>
          <w:type w:val="continuous"/>
        </w:sectPr>
      </w:pPr>
    </w:p>
    <w:bookmarkStart w:id="10" w:name="page11"/>
    <w:bookmarkEnd w:id="10"/>
    <w:p>
      <w:pPr>
        <w:ind w:left="820" w:right="740"/>
        <w:spacing w:after="0" w:line="234" w:lineRule="auto"/>
        <w:rPr>
          <w:sz w:val="20"/>
          <w:szCs w:val="20"/>
          <w:color w:val="auto"/>
        </w:rPr>
      </w:pPr>
      <w:r>
        <w:rPr>
          <w:rFonts w:ascii="Arial" w:cs="Arial" w:eastAsia="Arial" w:hAnsi="Arial"/>
          <w:sz w:val="21"/>
          <w:szCs w:val="21"/>
          <w:color w:val="auto"/>
        </w:rPr>
        <w:t>Registrant's 2024 Equity Incentive Plan (the "2024 Plan") and 2024 Employee Stock Purchase Plan (the "2024 ESPP") by reason of any stock dividend, stock split, recapitalization or other similar transaction. (3) Represents additional shares of Common Stock that were automatically added to the shares reserved for future grant under the 2024 ESPP on January 1, 2026 pursuant to an "evergreen" provision contained in the 2024 ESPP, which provides that an additional number of shares will automatically be added annually to the shares authorized for issuance under the 2024 ESPP on January 1 of each calendar year, from January 1, 2025 through (and including) January 1, 2034, in an amount equal to the lesser of: (a) one percent (1%) of the total number of shares of Common Stock issued and outstanding on December 31st of the preceding calendar year; (b) a number of shares equal to 442,029 shares of Common Stock; or (c) such lesser number of shares of Common Stock as determined by the Board. (5) This estimate is made pursuant to Rule 457(h)(1) and Rule 457(c) of the Securities Act solely for purposes of calculating the registration fee. The price per share and aggregate offering price are based upon the average of the high and low prices of the Common Stock on February 20, 2026, as reported on The Nasdaq Stock Market, which date is within five business days prior to the filing of this Registration Statement, multiplied by 85%, which is the percentage of the trading price per share applicable to purchasers under the 2024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80010</wp:posOffset>
            </wp:positionV>
            <wp:extent cx="6398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4380" w:type="dxa"/>
            <w:vAlign w:val="bottom"/>
            <w:tcBorders>
              <w:bottom w:val="single" w:sz="8" w:color="auto"/>
            </w:tcBorders>
            <w:gridSpan w:val="12"/>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vMerge w:val="restart"/>
            <w:shd w:val="clear" w:color="auto" w:fill="9ADAF6"/>
          </w:tcPr>
          <w:p>
            <w:pPr>
              <w:ind w:left="20"/>
              <w:spacing w:after="0"/>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vMerge w:val="restart"/>
            <w:shd w:val="clear" w:color="auto" w:fill="9ADAF6"/>
          </w:tcPr>
          <w:p>
            <w:pPr>
              <w:jc w:val="right"/>
              <w:ind w:right="136"/>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0" w:type="dxa"/>
            <w:vAlign w:val="bottom"/>
            <w:tcBorders>
              <w:left w:val="single" w:sz="8" w:color="auto"/>
            </w:tcBorders>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18"/>
                <w:szCs w:val="18"/>
                <w:color w:val="auto"/>
              </w:rPr>
            </w:pPr>
          </w:p>
        </w:tc>
        <w:tc>
          <w:tcPr>
            <w:tcW w:w="82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18"/>
                <w:szCs w:val="18"/>
                <w:color w:val="auto"/>
              </w:rPr>
            </w:pPr>
          </w:p>
        </w:tc>
        <w:tc>
          <w:tcPr>
            <w:tcW w:w="5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18"/>
                <w:szCs w:val="18"/>
                <w:color w:val="auto"/>
              </w:rPr>
            </w:pPr>
          </w:p>
        </w:tc>
        <w:tc>
          <w:tcPr>
            <w:tcW w:w="7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with</w:t>
            </w: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or Filer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Filing</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Date</w:t>
            </w:r>
          </w:p>
        </w:tc>
        <w:tc>
          <w:tcPr>
            <w:tcW w:w="40" w:type="dxa"/>
            <w:vAlign w:val="bottom"/>
          </w:tcPr>
          <w:p>
            <w:pPr>
              <w:spacing w:after="0"/>
              <w:rPr>
                <w:sz w:val="20"/>
                <w:szCs w:val="20"/>
                <w:color w:val="auto"/>
              </w:rPr>
            </w:pPr>
          </w:p>
        </w:tc>
        <w:tc>
          <w:tcPr>
            <w:tcW w:w="840" w:type="dxa"/>
            <w:vAlign w:val="bottom"/>
            <w:shd w:val="clear" w:color="auto" w:fill="9ADAF6"/>
          </w:tcPr>
          <w:p>
            <w:pPr>
              <w:ind w:left="120"/>
              <w:spacing w:after="0" w:line="233"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0"/>
                <w:szCs w:val="2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4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vMerge w:val="continue"/>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vMerge w:val="continue"/>
            <w:shd w:val="clear" w:color="auto" w:fill="9ADAF6"/>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4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Arial" w:cs="Arial" w:eastAsia="Arial" w:hAnsi="Arial"/>
                <w:sz w:val="21"/>
                <w:szCs w:val="21"/>
                <w:b w:val="1"/>
                <w:bCs w:val="1"/>
                <w:color w:val="auto"/>
              </w:rPr>
              <w:t>Rule 457(p)</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40"/>
      </w:cols>
      <w:pgMar w:left="32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abstractNum>
  <w:abstractNum w:abstractNumId="1">
    <w:nsid w:val="2EB141F2"/>
    <w:multiLevelType w:val="hybridMultilevel"/>
    <w:lvl w:ilvl="0">
      <w:lvlJc w:val="left"/>
      <w:lvlText w:val="(%1)"/>
      <w:numFmt w:val="lowerLetter"/>
      <w:start w:val="2"/>
    </w:lvl>
  </w:abstractNum>
  <w:abstractNum w:abstractNumId="2">
    <w:nsid w:val="41B71EFB"/>
    <w:multiLevelType w:val="hybridMultilevel"/>
    <w:lvl w:ilvl="0">
      <w:lvlJc w:val="left"/>
      <w:lvlText w:val=" "/>
      <w:numFmt w:val="bullet"/>
      <w:start w:val="1"/>
    </w:lvl>
  </w:abstractNum>
  <w:abstractNum w:abstractNumId="3">
    <w:nsid w:val="79E2A9E3"/>
    <w:multiLevelType w:val="hybridMultilevel"/>
    <w:lvl w:ilvl="0">
      <w:lvlJc w:val="left"/>
      <w:lvlText w:val=" "/>
      <w:numFmt w:val="bullet"/>
      <w:start w:val="1"/>
    </w:lvl>
  </w:abstractNum>
  <w:abstractNum w:abstractNumId="4">
    <w:nsid w:val="7545E146"/>
    <w:multiLevelType w:val="hybridMultilevel"/>
    <w:lvl w:ilvl="0">
      <w:lvlJc w:val="left"/>
      <w:lvlText w:val=" "/>
      <w:numFmt w:val="bullet"/>
      <w:start w:val="1"/>
    </w:lvl>
  </w:abstractNum>
  <w:abstractNum w:abstractNumId="5">
    <w:nsid w:val="515F007C"/>
    <w:multiLevelType w:val="hybridMultilevel"/>
    <w:lvl w:ilvl="0">
      <w:lvlJc w:val="left"/>
      <w:lvlText w:val="%1"/>
      <w:numFmt w:val="decimal"/>
      <w:start w:val="107"/>
    </w:lvl>
  </w:abstractNum>
  <w:abstractNum w:abstractNumId="6">
    <w:nsid w:val="5BD062C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
    <w:nsid w:val="12200854"/>
    <w:multiLevelType w:val="hybridMultilevel"/>
    <w:lvl w:ilvl="0">
      <w:lvlJc w:val="left"/>
      <w:lvlText w:val="(%1)"/>
      <w:numFmt w:val="decimal"/>
      <w:start w:val="2"/>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bullet"/>
      <w:start w:val="1"/>
    </w:lvl>
  </w:abstractNum>
  <w:abstractNum w:abstractNumId="10">
    <w:nsid w:val="1F16E9E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jpeg"/><Relationship Id="rId34" Type="http://schemas.openxmlformats.org/officeDocument/2006/relationships/image" Target="media/image18.png"/><Relationship Id="rId35" Type="http://schemas.openxmlformats.org/officeDocument/2006/relationships/image" Target="media/image19.jpe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19" Type="http://schemas.openxmlformats.org/officeDocument/2006/relationships/hyperlink" Target="http://www.sec.gov/ix?doc=/Archives/edgar/data/0001681087/000119312526076793/tecx-20251231.htm" TargetMode="External"/><Relationship Id="rId20" Type="http://schemas.openxmlformats.org/officeDocument/2006/relationships/hyperlink" Target="http://www.sec.gov/ix?doc=/Archives/edgar/data/0001681087/000119312526066964/d50095d8k.htm" TargetMode="External"/><Relationship Id="rId21" Type="http://schemas.openxmlformats.org/officeDocument/2006/relationships/hyperlink" Target="http://www.sec.gov/Archives/edgar/data/1681087/000119312518195637/d562006d8a12b.htm" TargetMode="External"/><Relationship Id="rId22" Type="http://schemas.openxmlformats.org/officeDocument/2006/relationships/hyperlink" Target="http://www.sec.gov/Archives/edgar/data/1681087/000095017025042648/tecx-ex4_1.htm" TargetMode="External"/><Relationship Id="rId23" Type="http://schemas.openxmlformats.org/officeDocument/2006/relationships/hyperlink" Target="http://www.sec.gov/Archives/edgar/data/1681087/000119312524200609/d878693dex31.htm" TargetMode="External"/><Relationship Id="rId24" Type="http://schemas.openxmlformats.org/officeDocument/2006/relationships/hyperlink" Target="http://www.sec.gov/Archives/edgar/data/1681087/000119312518202460/d153924dex32.htm" TargetMode="External"/><Relationship Id="rId27" Type="http://schemas.openxmlformats.org/officeDocument/2006/relationships/hyperlink" Target="http://www.sec.gov/Archives/edgar/data/1681087/000119312524164480/d852858dex106.htm" TargetMode="External"/><Relationship Id="rId28" Type="http://schemas.openxmlformats.org/officeDocument/2006/relationships/hyperlink" Target="http://www.sec.gov/Archives/edgar/data/1681087/000119312524164480/d852858dex107.htm" TargetMode="External"/><Relationship Id="rId29" Type="http://schemas.openxmlformats.org/officeDocument/2006/relationships/hyperlink" Target="http://www.sec.gov/Archives/edgar/data/1681087/000119312524164480/d852858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2026-02-27T17:49:49Z</dcterms:created>
  <dcterms:modified xsi:type="dcterms:W3CDTF">2026-02-27T17:49:49Z</dcterms:modified>
</cp:coreProperties>
</file>