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center"/>
        <w:rPr/>
      </w:pPr>
      <w:bookmarkStart w:id="0" w:name="avro-20230930.htm"/>
      <w:bookmarkStart w:id="1" w:name="ksavro20230930"/>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636"/>
        <w:gridCol w:w="9238"/>
      </w:tblGrid>
      <w:tr>
        <w:trPr/>
        <w:tc>
          <w:tcPr>
            <w:tcW w:w="3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9238" w:type="dxa"/>
            <w:tcBorders/>
            <w:tcMar>
              <w:top w:w="0" w:type="dxa"/>
              <w:left w:w="0" w:type="dxa"/>
              <w:bottom w:w="0" w:type="dxa"/>
              <w:right w:w="0" w:type="dxa"/>
            </w:tcMar>
            <w:vAlign w:val="center"/>
          </w:tcPr>
          <w:p>
            <w:pPr>
              <w:pStyle w:val="TableContents"/>
              <w:pBdr/>
              <w:bidi w:val="0"/>
              <w:spacing w:before="0" w:after="283"/>
              <w:ind w:left="0" w:right="0" w:hanging="490"/>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001-38537</w:t>
      </w:r>
      <w:r>
        <w:rPr>
          <w:rFonts w:ascii="Times New Roman" w:hAnsi="Times New Roman"/>
          <w:color w:val="000000"/>
          <w:sz w:val="20"/>
        </w:rPr>
        <w:t xml:space="preserve"> </w:t>
      </w:r>
    </w:p>
    <w:p>
      <w:pPr>
        <w:pStyle w:val="TextBody"/>
        <w:bidi w:val="0"/>
        <w:spacing w:before="80" w:after="283"/>
        <w:jc w:val="center"/>
        <w:rPr/>
      </w:pPr>
      <w:r>
        <w:rPr/>
        <w:t>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AVROBIO,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100 Technology Square</w:t>
            </w:r>
          </w:p>
          <w:p>
            <w:pPr>
              <w:pStyle w:val="TableContents"/>
              <w:bidi w:val="0"/>
              <w:jc w:val="center"/>
              <w:rPr>
                <w:rFonts w:ascii="Times New Roman" w:hAnsi="Times New Roman"/>
                <w:b/>
                <w:color w:val="000000"/>
                <w:sz w:val="20"/>
              </w:rPr>
            </w:pPr>
            <w:r>
              <w:rPr>
                <w:rFonts w:ascii="Times New Roman" w:hAnsi="Times New Roman"/>
                <w:b/>
                <w:color w:val="000000"/>
                <w:sz w:val="20"/>
              </w:rPr>
              <w:t>Sixth Floor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(617) 914-8420</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7615" w:type="dxa"/>
        <w:jc w:val="left"/>
        <w:tblInd w:w="0" w:type="dxa"/>
        <w:tblLayout w:type="fixed"/>
        <w:tblCellMar>
          <w:top w:w="28" w:type="dxa"/>
          <w:left w:w="28" w:type="dxa"/>
          <w:bottom w:w="28" w:type="dxa"/>
          <w:right w:w="28" w:type="dxa"/>
        </w:tblCellMar>
      </w:tblPr>
      <w:tblGrid>
        <w:gridCol w:w="3871"/>
        <w:gridCol w:w="146"/>
        <w:gridCol w:w="826"/>
        <w:gridCol w:w="146"/>
        <w:gridCol w:w="26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871"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6" w:type="dxa"/>
            <w:tcBorders/>
            <w:vAlign w:val="center"/>
          </w:tcPr>
          <w:p>
            <w:pPr>
              <w:pStyle w:val="TableContents"/>
              <w:bidi w:val="0"/>
              <w:spacing w:before="40" w:after="283"/>
              <w:jc w:val="center"/>
              <w:rPr/>
            </w:pPr>
            <w:r>
              <w:rPr/>
              <w:t> </w:t>
            </w:r>
          </w:p>
        </w:tc>
        <w:tc>
          <w:tcPr>
            <w:tcW w:w="8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AVRO</w:t>
            </w:r>
          </w:p>
        </w:tc>
        <w:tc>
          <w:tcPr>
            <w:tcW w:w="146" w:type="dxa"/>
            <w:tcBorders/>
            <w:vAlign w:val="center"/>
          </w:tcPr>
          <w:p>
            <w:pPr>
              <w:pStyle w:val="TableContents"/>
              <w:bidi w:val="0"/>
              <w:spacing w:before="40" w:after="283"/>
              <w:jc w:val="center"/>
              <w:rPr/>
            </w:pPr>
            <w:r>
              <w:rPr/>
              <w:t> </w:t>
            </w:r>
          </w:p>
        </w:tc>
        <w:tc>
          <w:tcPr>
            <w:tcW w:w="26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As of November 2, 2023, the registrant had 44,573,911</w:t>
      </w:r>
      <w:r>
        <w:rPr>
          <w:rFonts w:ascii="Times New Roman" w:hAnsi="Times New Roman"/>
          <w:color w:val="000000"/>
          <w:sz w:val="20"/>
        </w:rPr>
        <w:t xml:space="preserve"> </w:t>
      </w:r>
      <w:r>
        <w:rPr>
          <w:rFonts w:ascii="Times New Roman" w:hAnsi="Times New Roman"/>
          <w:b w:val="false"/>
          <w:color w:val="000000"/>
          <w:sz w:val="20"/>
        </w:rPr>
        <w:t>shares of common stock, $0.0001 par value per share,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1126"/>
        <w:gridCol w:w="7366"/>
        <w:gridCol w:w="751"/>
      </w:tblGrid>
      <w:tr>
        <w:trPr/>
        <w:tc>
          <w:tcPr>
            <w:tcW w:w="112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7366" w:type="dxa"/>
            <w:tcBorders/>
            <w:vAlign w:val="center"/>
          </w:tcPr>
          <w:p>
            <w:pPr>
              <w:pStyle w:val="TableContents"/>
              <w:pBdr/>
              <w:bidi w:val="0"/>
              <w:spacing w:before="0" w:after="283"/>
              <w:ind w:left="0" w:right="0" w:hanging="240"/>
              <w:jc w:val="left"/>
              <w:rPr/>
            </w:pPr>
            <w:hyperlink w:anchor="part_ifinancial_information">
              <w:r>
                <w:rPr>
                  <w:rStyle w:val="InternetLink"/>
                  <w:rFonts w:ascii="Times New Roman" w:hAnsi="Times New Roman"/>
                  <w:b/>
                  <w:color w:val="0000FF"/>
                  <w:sz w:val="20"/>
                  <w:u w:val="single"/>
                </w:rPr>
                <w:t>FINANCIAL INFORMATION</w:t>
              </w:r>
            </w:hyperlink>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b w:val="false"/>
                <w:color w:val="000000"/>
                <w:sz w:val="20"/>
              </w:rPr>
            </w:pPr>
            <w:r>
              <w:rPr>
                <w:rFonts w:ascii="Times New Roman" w:hAnsi="Times New Roman"/>
                <w:b w:val="false"/>
                <w:color w:val="000000"/>
                <w:sz w:val="20"/>
              </w:rPr>
              <w:t>1</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vAlign w:val="center"/>
          </w:tcPr>
          <w:p>
            <w:pPr>
              <w:pStyle w:val="TableContents"/>
              <w:pBdr/>
              <w:bidi w:val="0"/>
              <w:spacing w:before="0" w:after="283"/>
              <w:ind w:left="0" w:right="0" w:hanging="240"/>
              <w:jc w:val="left"/>
              <w:rPr/>
            </w:pPr>
            <w:hyperlink w:anchor="item_1_financial_statements">
              <w:r>
                <w:rPr>
                  <w:rStyle w:val="InternetLink"/>
                  <w:rFonts w:ascii="Times New Roman" w:hAnsi="Times New Roman"/>
                  <w:b w:val="false"/>
                  <w:color w:val="0000FF"/>
                  <w:sz w:val="20"/>
                  <w:u w:val="single"/>
                </w:rPr>
                <w:t>Condensed Consolidated Financial Statements (Unaudited)</w:t>
              </w:r>
            </w:hyperlink>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condensed_consolidated_balance_sheets">
              <w:r>
                <w:rPr>
                  <w:rStyle w:val="InternetLink"/>
                  <w:rFonts w:ascii="Times New Roman" w:hAnsi="Times New Roman"/>
                  <w:b w:val="false"/>
                  <w:color w:val="0000FF"/>
                  <w:sz w:val="20"/>
                  <w:u w:val="single"/>
                </w:rPr>
                <w:t>Balance Sheets</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hyperlink w:anchor="condensed_consolidated_statements_operat">
              <w:r>
                <w:rPr>
                  <w:rStyle w:val="InternetLink"/>
                  <w:rFonts w:ascii="Times New Roman" w:hAnsi="Times New Roman"/>
                  <w:b w:val="false"/>
                  <w:color w:val="0000FF"/>
                  <w:sz w:val="20"/>
                  <w:u w:val="single"/>
                </w:rPr>
                <w:t>Statements of Operations and Comprehensive Income (Loss)</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2</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condensed_consolidated_statements_redeem">
              <w:r>
                <w:rPr>
                  <w:rStyle w:val="InternetLink"/>
                  <w:rFonts w:ascii="Times New Roman" w:hAnsi="Times New Roman"/>
                  <w:b w:val="false"/>
                  <w:color w:val="0000FF"/>
                  <w:sz w:val="20"/>
                  <w:u w:val="single"/>
                </w:rPr>
                <w:t>Statements o</w:t>
              </w:r>
            </w:hyperlink>
            <w:hyperlink w:anchor="condensed_consolidated_statements_redeem">
              <w:r>
                <w:rPr>
                  <w:rStyle w:val="InternetLink"/>
                  <w:rFonts w:ascii="Times New Roman" w:hAnsi="Times New Roman"/>
                  <w:b w:val="false"/>
                  <w:color w:val="0000FF"/>
                  <w:sz w:val="24"/>
                  <w:u w:val="single"/>
                </w:rPr>
                <w:t>f</w:t>
              </w:r>
            </w:hyperlink>
            <w:hyperlink w:anchor="condensed_consolidated_statements_redeem">
              <w:r>
                <w:rPr>
                  <w:rStyle w:val="InternetLink"/>
                  <w:rFonts w:ascii="Times New Roman" w:hAnsi="Times New Roman"/>
                  <w:color w:val="0000FF"/>
                  <w:sz w:val="24"/>
                  <w:u w:val="single"/>
                </w:rPr>
                <w:t xml:space="preserve"> </w:t>
              </w:r>
            </w:hyperlink>
            <w:hyperlink w:anchor="condensed_consolidated_statements_redeem">
              <w:r>
                <w:rPr>
                  <w:rStyle w:val="InternetLink"/>
                  <w:rFonts w:ascii="Times New Roman" w:hAnsi="Times New Roman"/>
                  <w:b w:val="false"/>
                  <w:color w:val="0000FF"/>
                  <w:sz w:val="20"/>
                  <w:u w:val="single"/>
                </w:rPr>
                <w:t>Stockholders’ Equity</w:t>
              </w:r>
            </w:hyperlink>
            <w:hyperlink w:anchor="condensed_consolidated_statements_redeem">
              <w:r>
                <w:rPr>
                  <w:rStyle w:val="InternetLink"/>
                  <w:rFonts w:ascii="Times New Roman" w:hAnsi="Times New Roman"/>
                  <w:color w:val="0000FF"/>
                  <w:sz w:val="24"/>
                </w:rPr>
                <w:t xml:space="preserve"> </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3</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condensed_consolidated_statements_cash_f">
              <w:r>
                <w:rPr>
                  <w:rStyle w:val="InternetLink"/>
                  <w:rFonts w:ascii="Times New Roman" w:hAnsi="Times New Roman"/>
                  <w:b w:val="false"/>
                  <w:color w:val="0000FF"/>
                  <w:sz w:val="20"/>
                  <w:u w:val="single"/>
                </w:rPr>
                <w:t>Statements of Cash Flows</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5</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hyperlink w:anchor="notes_to_unaudited_condensed_consolidate">
              <w:r>
                <w:rPr>
                  <w:rStyle w:val="InternetLink"/>
                  <w:rFonts w:ascii="Times New Roman" w:hAnsi="Times New Roman"/>
                  <w:b w:val="false"/>
                  <w:color w:val="0000FF"/>
                  <w:sz w:val="20"/>
                  <w:u w:val="single"/>
                </w:rPr>
                <w:t>Notes to Consolidated Financial Statements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6</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vAlign w:val="center"/>
          </w:tcPr>
          <w:p>
            <w:pPr>
              <w:pStyle w:val="TableContents"/>
              <w:pBdr/>
              <w:bidi w:val="0"/>
              <w:spacing w:before="0" w:after="283"/>
              <w:ind w:left="0" w:right="0" w:hanging="240"/>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21</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vAlign w:val="center"/>
          </w:tcPr>
          <w:p>
            <w:pPr>
              <w:pStyle w:val="TableContents"/>
              <w:pBdr/>
              <w:bidi w:val="0"/>
              <w:spacing w:before="0" w:after="283"/>
              <w:ind w:left="0" w:right="0" w:hanging="240"/>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29</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vAlign w:val="center"/>
          </w:tcPr>
          <w:p>
            <w:pPr>
              <w:pStyle w:val="TableContents"/>
              <w:pBdr/>
              <w:bidi w:val="0"/>
              <w:spacing w:before="0" w:after="283"/>
              <w:ind w:left="0" w:right="0" w:hanging="240"/>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30</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366" w:type="dxa"/>
            <w:tcBorders/>
            <w:vAlign w:val="center"/>
          </w:tcPr>
          <w:p>
            <w:pPr>
              <w:pStyle w:val="TableContents"/>
              <w:pBdr/>
              <w:bidi w:val="0"/>
              <w:spacing w:before="0" w:after="283"/>
              <w:ind w:left="0" w:right="0" w:hanging="240"/>
              <w:jc w:val="left"/>
              <w:rPr/>
            </w:pPr>
            <w:hyperlink w:anchor="part_iior_information">
              <w:r>
                <w:rPr>
                  <w:rStyle w:val="InternetLink"/>
                  <w:rFonts w:ascii="Times New Roman" w:hAnsi="Times New Roman"/>
                  <w:b/>
                  <w:color w:val="0000FF"/>
                  <w:sz w:val="20"/>
                  <w:u w:val="single"/>
                </w:rPr>
                <w:t>OTHER INFORMATION</w:t>
              </w:r>
            </w:hyperlink>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b w:val="false"/>
                <w:color w:val="000000"/>
                <w:sz w:val="20"/>
              </w:rPr>
            </w:pPr>
            <w:r>
              <w:rPr>
                <w:rFonts w:ascii="Times New Roman" w:hAnsi="Times New Roman"/>
                <w:b w:val="false"/>
                <w:color w:val="000000"/>
                <w:sz w:val="20"/>
              </w:rPr>
              <w:t>31</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vAlign w:val="center"/>
          </w:tcPr>
          <w:p>
            <w:pPr>
              <w:pStyle w:val="TableContents"/>
              <w:pBdr/>
              <w:bidi w:val="0"/>
              <w:spacing w:before="0" w:after="283"/>
              <w:ind w:left="0" w:right="0" w:hanging="240"/>
              <w:jc w:val="left"/>
              <w:rPr/>
            </w:pPr>
            <w:hyperlink w:anchor="item_1_legal_proceedings">
              <w:r>
                <w:rPr>
                  <w:rStyle w:val="InternetLink"/>
                  <w:rFonts w:ascii="Times New Roman" w:hAnsi="Times New Roman"/>
                  <w:b w:val="false"/>
                  <w:color w:val="0000FF"/>
                  <w:sz w:val="20"/>
                  <w:u w:val="single"/>
                </w:rPr>
                <w:t>Legal Proceedings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31</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vAlign w:val="center"/>
          </w:tcPr>
          <w:p>
            <w:pPr>
              <w:pStyle w:val="TableContents"/>
              <w:pBdr/>
              <w:bidi w:val="0"/>
              <w:spacing w:before="0" w:after="283"/>
              <w:ind w:left="0" w:right="0" w:hanging="240"/>
              <w:jc w:val="left"/>
              <w:rPr/>
            </w:pPr>
            <w:hyperlink w:anchor="item_1a_risk_factors1">
              <w:r>
                <w:rPr>
                  <w:rStyle w:val="InternetLink"/>
                  <w:rFonts w:ascii="Times New Roman" w:hAnsi="Times New Roman"/>
                  <w:b w:val="false"/>
                  <w:color w:val="0000FF"/>
                  <w:sz w:val="20"/>
                  <w:u w:val="single"/>
                </w:rPr>
                <w:t>Risk Factors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31</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vAlign w:val="center"/>
          </w:tcPr>
          <w:p>
            <w:pPr>
              <w:pStyle w:val="TableContents"/>
              <w:pBdr/>
              <w:bidi w:val="0"/>
              <w:spacing w:before="0" w:after="283"/>
              <w:ind w:left="0" w:right="0" w:hanging="240"/>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76</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vAlign w:val="center"/>
          </w:tcPr>
          <w:p>
            <w:pPr>
              <w:pStyle w:val="TableContents"/>
              <w:pBdr/>
              <w:bidi w:val="0"/>
              <w:spacing w:before="0" w:after="283"/>
              <w:ind w:left="0" w:right="0" w:hanging="240"/>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76</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vAlign w:val="center"/>
          </w:tcPr>
          <w:p>
            <w:pPr>
              <w:pStyle w:val="TableContents"/>
              <w:pBdr/>
              <w:bidi w:val="0"/>
              <w:spacing w:before="0" w:after="283"/>
              <w:ind w:left="0" w:right="0" w:hanging="240"/>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76</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vAlign w:val="center"/>
          </w:tcPr>
          <w:p>
            <w:pPr>
              <w:pStyle w:val="TableContents"/>
              <w:pBdr/>
              <w:bidi w:val="0"/>
              <w:spacing w:before="0" w:after="283"/>
              <w:ind w:left="0" w:right="0" w:hanging="240"/>
              <w:jc w:val="left"/>
              <w:rPr/>
            </w:pPr>
            <w:hyperlink w:anchor="item_5_or_information">
              <w:r>
                <w:rPr>
                  <w:rStyle w:val="InternetLink"/>
                  <w:rFonts w:ascii="Times New Roman" w:hAnsi="Times New Roman"/>
                  <w:b w:val="false"/>
                  <w:color w:val="0000FF"/>
                  <w:sz w:val="20"/>
                  <w:u w:val="single"/>
                </w:rPr>
                <w:t>Other Information</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76</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vAlign w:val="center"/>
          </w:tcPr>
          <w:p>
            <w:pPr>
              <w:pStyle w:val="TableContents"/>
              <w:pBdr/>
              <w:bidi w:val="0"/>
              <w:spacing w:before="0" w:after="283"/>
              <w:ind w:left="0" w:right="0" w:hanging="240"/>
              <w:jc w:val="left"/>
              <w:rPr/>
            </w:pPr>
            <w:hyperlink w:anchor="item_6_exhibits">
              <w:r>
                <w:rPr>
                  <w:rStyle w:val="InternetLink"/>
                  <w:rFonts w:ascii="Times New Roman" w:hAnsi="Times New Roman"/>
                  <w:b w:val="false"/>
                  <w:color w:val="0000FF"/>
                  <w:sz w:val="20"/>
                  <w:u w:val="single"/>
                </w:rPr>
                <w:t>Exhibits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77</w:t>
            </w:r>
          </w:p>
        </w:tc>
      </w:tr>
      <w:tr>
        <w:trPr/>
        <w:tc>
          <w:tcPr>
            <w:tcW w:w="1126" w:type="dxa"/>
            <w:tcBorders/>
            <w:vAlign w:val="center"/>
          </w:tcPr>
          <w:p>
            <w:pPr>
              <w:pStyle w:val="TableContents"/>
              <w:pBdr/>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hyperlink w:anchor="signatures">
              <w:r>
                <w:rPr>
                  <w:rStyle w:val="InternetLink"/>
                  <w:rFonts w:ascii="Times New Roman" w:hAnsi="Times New Roman"/>
                  <w:b w:val="false"/>
                  <w:color w:val="0000FF"/>
                  <w:sz w:val="20"/>
                  <w:u w:val="single"/>
                </w:rPr>
                <w:t>Signatures</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78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business is subject to numerous risks and uncertainties that you should be aware of in evaluating our business. These risks include, but are not limited to, the following:</w:t>
      </w:r>
    </w:p>
    <w:p>
      <w:pPr>
        <w:pStyle w:val="TextBody"/>
        <w:bidi w:val="0"/>
        <w:jc w:val="both"/>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may not be successful in identifying and implementing any potential strategic alternatives, in a timely manner or at all, and any strategic transactions that we may consummate in the future could have negative consequences.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Even if we successfully consummate any strategic transaction, or series of transactions, from our strategic assessment, including, but not limited to, an acquisition, merger, a business combination or divestiture, we may fail to realize all or any of the anticipated benefits of any such transaction, such benefits may take longer to realize than expected, we may encounter integration difficulties or we may be exposed to other operational and financial risks.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If a strategic transaction is not consummated, our board of directors may decide to pursue a dissolution and liquidation. In such an event, the amount of cash available for distribution to our stockholders will depend significantly on the timing of such liquidation as well as the amount of cash that may need to be reserved for commitments and contingent liabilities.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value to stockholders in the event of a strategic transaction or dissolution may depend on the extent to which we will be able to successfully satisfy our existing contractual obligations to third parties and regulatory commitments on favorable terms, which may include the outcome of our negotiations to reduce or terminate such commitments.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have incurred net losses since inception. We expect to incur net losses for the foreseeable future and may never achieve or maintain profitability.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If we decide to resume development of our product candidates, we will need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Business interruptions resulting from the coronavirus disease, or COVID-19 pandemic or similar public health crises have caused and may in the future cause a disruption of and adversely impact our business.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Our hematopoietic stem cell, or HSC, lentiviral-based gene therapy product candidates are based on a novel technology, which makes it difficult to predict the time and cost of product candidate development and of subsequently obtaining regulatory approval, should we resume development of our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Our product candidates and the process for administering our product candidates may cause undesirable side effects or have other properties that, should we resume development of our product candidates, could delay or prevent their regulatory approval, limit their commercial potential or result in significant negative consequences following any potential marketing approval.</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Success in preclinical studies or early clinical trials may not be indicative of results obtained in later trials, should we resume development of our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may find it difficult to enroll patients in our clinical trials, which could delay or prevent us from proceeding with clinical trials of our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may encounter substantial delays in resuming our clinical trials or we may fail to demonstrate safety and efficacy to the satisfaction of applicable regulatory authorities.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even if we complete the necessary preclinical and clinical studies, we cannot predict whether or when we would be able to obtain regulatory approval to commercialize a product candidate, and any approval could be for a narrower indication than anticipated.</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b w:val="false"/>
          <w:color w:val="000000"/>
          <w:sz w:val="20"/>
        </w:rPr>
        <w:t>Our commercially-scalable plato</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platform has been used in only two of our clinical trials and clinical development has been halted.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face significant competition in our industry and, should we resume development of our product candidates,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 should we resume development of our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Gene therapies are novel, complex and difficult to manufacture. Should we resume development of our product candidates, we could experience production problems that result in delays in our development or commercialization programs or otherwise adversely affect our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expect to rely on third parties to conduct some or all aspects of our vector production, product manufacturing, protocol development, research and preclinical and clinical testing, and these third parties may not perform satisfactorily.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have historically relied, and, should we resume development of our product candidates,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third-party claims of intellectual property infringement may prevent or delay our development and commercialization efforts.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Our rights to develop and commercialize our product candidates, should we resume development of our product candidates, are subject, in part, to the terms and conditions of licenses granted to us by others.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Our failure to meet Nasdaq Global Select Market’s, or Nasdaq, continued listing requirements could result in a delisting of our common stock.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or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24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This Quarterly Report on Form 10-Q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“aims,” “anticipates,” “believes,” “continue,” “could,” “designed to,” “estimates,” “expects,” “forecasts,” “goal” “intends,” “may,” “plans,” “possible,” “potential,” “predicts,” “projects,” “seeks,” “strives,” “should,” “will,” and similar expressions or the negative of these terms.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substantial uncertainties regarding our exploration of strategic alternatives to maximize stockholder value, including whether we are able to identify and implement any potential strategic alternatives, in a timely manner or at all, whether we realize all or any of the anticipated benefits of any such transaction and whether any such transactions would generate value for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the COVID-19 pandemic or any other public health crisis on our clinical trial programs, should we resume development of our product candidates, clinical supply and business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should we resume development of our product candidates, 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should we resume development of our product candidates, the existence or absence of side effects or other properties relating to our product candidates which could delay or prevent their regulatory approval, limit their commercial potential, or result in significant negative consequences following any potential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durability of effects from our product candidates, should we resume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scope or likelihood of regulatory filings and approvals, should we resume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the anticipated regulatory pathway for our product candidates and planned interactions with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should we resume development of our product candidates, our ability to develop and advance product candidates into, and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should we resume development of our product candidates, our expectations regarding the size of the patient populations for our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implementation of our business model and our strategic plans for our business, product candidates, should we resume development of our product candidates, technology and plato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should we resume development of our product candidates, our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should we resume development of our product candidates, the pricing and reimbursement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the scalability and commercial viability of our manufacturing methods and processes, including our move to a closed, automated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the rate and degree of market acceptance and clinical utility of our product candidates, in particular, and gene therapy,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establish or maintain collaborations or strategic relationships or obtain additional funding;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competitive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of protection we and/or our licensors are able to establish and maintain for intellectual property rights covering our product candidates, should we resume development of our product candidates, as well as any statements as to whether we do or do not infringe, misappropriate or otherwise violate any third-party intellectual property rights;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retain the continued service of our key professionals and, should we resume development of our product candidates, to identify, hire and retain additional qualified professionals;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should we resume development of our product candidates. developments and projections relating to our competitors and our industry, including other lentiviral or HSC gene therapy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expectations related to the use of our cash reserves;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avoid any findings of material weaknesses or significant deficiencies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satisfy the continued listing requirements of the Nasdaq, including a minimum bid price, and to maintain our common stock listing on Nasdaq or any stock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laws and regulations, including without limitation recently enacted tax reform legislation;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expectations regarding the time during which we are an emerging growth company under the Jumpstart Our Business Startups Act of 2012, or JOBS Act;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 risks and uncertainties, including those listed under the caption “Risk Factors.”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Note Regarding Trademarks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All brand names or trademarks appearing in this Quarterly Report are the property of their respective holders. Unless the context requires otherwise, references in this Quarterly Report to the “Company,” “we,” “us,” and “our” refer to AVROBIO, Inc.</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77"/>
        <w:gridCol w:w="146"/>
        <w:gridCol w:w="218"/>
        <w:gridCol w:w="870"/>
        <w:gridCol w:w="166"/>
        <w:gridCol w:w="146"/>
        <w:gridCol w:w="214"/>
        <w:gridCol w:w="855"/>
        <w:gridCol w:w="613"/>
      </w:tblGrid>
      <w:tr>
        <w:trPr/>
        <w:tc>
          <w:tcPr>
            <w:tcW w:w="6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7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92,563</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7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7,112</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Held for sale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99,958</w:t>
            </w:r>
          </w:p>
        </w:tc>
        <w:tc>
          <w:tcPr>
            <w:tcW w:w="613" w:type="dxa"/>
            <w:tcBorders/>
            <w:shd w:fill="CFF0FC" w:val="clear"/>
            <w:vAlign w:val="center"/>
          </w:tcPr>
          <w:p>
            <w:pPr>
              <w:pStyle w:val="TableContents"/>
              <w:bidi w:val="0"/>
              <w:spacing w:before="0" w:after="283"/>
              <w:jc w:val="left"/>
              <w:rPr/>
            </w:pPr>
            <w:r>
              <w:rPr/>
              <w:t> </w:t>
            </w:r>
          </w:p>
        </w:tc>
      </w:tr>
      <w:tr>
        <w:trPr/>
        <w:tc>
          <w:tcPr>
            <w:tcW w:w="69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1,057</w:t>
            </w:r>
          </w:p>
        </w:tc>
        <w:tc>
          <w:tcPr>
            <w:tcW w:w="613" w:type="dxa"/>
            <w:tcBorders/>
            <w:shd w:fill="FFFFFF" w:val="clear"/>
            <w:vAlign w:val="center"/>
          </w:tcPr>
          <w:p>
            <w:pPr>
              <w:pStyle w:val="TableContents"/>
              <w:bidi w:val="0"/>
              <w:spacing w:before="0" w:after="283"/>
              <w:jc w:val="left"/>
              <w:rPr/>
            </w:pPr>
            <w:r>
              <w:rPr/>
              <w:t> </w:t>
            </w:r>
          </w:p>
        </w:tc>
      </w:tr>
      <w:tr>
        <w:trPr/>
        <w:tc>
          <w:tcPr>
            <w:tcW w:w="69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2,894</w:t>
            </w:r>
          </w:p>
        </w:tc>
        <w:tc>
          <w:tcPr>
            <w:tcW w:w="613" w:type="dxa"/>
            <w:tcBorders/>
            <w:shd w:fill="CFF0FC" w:val="clear"/>
            <w:vAlign w:val="center"/>
          </w:tcPr>
          <w:p>
            <w:pPr>
              <w:pStyle w:val="TableContents"/>
              <w:bidi w:val="0"/>
              <w:spacing w:before="0" w:after="283"/>
              <w:jc w:val="left"/>
              <w:rPr/>
            </w:pPr>
            <w:r>
              <w:rPr/>
              <w:t> </w:t>
            </w:r>
          </w:p>
        </w:tc>
      </w:tr>
      <w:tr>
        <w:trPr/>
        <w:tc>
          <w:tcPr>
            <w:tcW w:w="69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 net of current portion</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jc w:val="left"/>
              <w:rPr/>
            </w:pPr>
            <w:r>
              <w:rPr/>
              <w:t> </w:t>
            </w:r>
          </w:p>
        </w:tc>
      </w:tr>
      <w:tr>
        <w:trPr/>
        <w:tc>
          <w:tcPr>
            <w:tcW w:w="69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103,949</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7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7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13,115</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7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Note payable, net of discount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15,276</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28,579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7)</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97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$0.0001</w:t>
            </w:r>
            <w:r>
              <w:rPr>
                <w:rFonts w:ascii="Times New Roman" w:hAnsi="Times New Roman"/>
                <w:color w:val="000000"/>
                <w:sz w:val="20"/>
              </w:rPr>
              <w:t> </w:t>
            </w:r>
            <w:r>
              <w:rPr>
                <w:rFonts w:ascii="Times New Roman" w:hAnsi="Times New Roman"/>
                <w:b w:val="false"/>
                <w:color w:val="000000"/>
                <w:sz w:val="20"/>
              </w:rPr>
              <w:t>par value; 150,000</w:t>
            </w:r>
            <w:r>
              <w:rPr>
                <w:rFonts w:ascii="Times New Roman" w:hAnsi="Times New Roman"/>
                <w:color w:val="000000"/>
                <w:sz w:val="20"/>
              </w:rPr>
              <w:t> </w:t>
            </w:r>
            <w:r>
              <w:rPr>
                <w:rFonts w:ascii="Times New Roman" w:hAnsi="Times New Roman"/>
                <w:b w:val="false"/>
                <w:color w:val="000000"/>
                <w:sz w:val="20"/>
              </w:rPr>
              <w:t>shares authorized; 44,558</w:t>
            </w:r>
            <w:r>
              <w:rPr>
                <w:rFonts w:ascii="Times New Roman" w:hAnsi="Times New Roman"/>
                <w:color w:val="000000"/>
                <w:sz w:val="20"/>
              </w:rPr>
              <w:t> </w:t>
            </w:r>
            <w:r>
              <w:rPr>
                <w:rFonts w:ascii="Times New Roman" w:hAnsi="Times New Roman"/>
                <w:b w:val="false"/>
                <w:color w:val="000000"/>
                <w:sz w:val="20"/>
              </w:rPr>
              <w:t>and 43,916</w:t>
            </w:r>
            <w:r>
              <w:rPr>
                <w:rFonts w:ascii="Times New Roman" w:hAnsi="Times New Roman"/>
                <w:color w:val="000000"/>
                <w:sz w:val="20"/>
              </w:rPr>
              <w:t> </w:t>
            </w:r>
            <w:r>
              <w:rPr>
                <w:rFonts w:ascii="Times New Roman" w:hAnsi="Times New Roman"/>
                <w:b w:val="false"/>
                <w:color w:val="000000"/>
                <w:sz w:val="20"/>
              </w:rPr>
              <w:t>shares issued and outstanding as of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7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571,344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564,798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(489,432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7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75,370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103,949</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0"/>
        <w:gridCol w:w="146"/>
        <w:gridCol w:w="227"/>
        <w:gridCol w:w="795"/>
        <w:gridCol w:w="179"/>
        <w:gridCol w:w="157"/>
        <w:gridCol w:w="227"/>
        <w:gridCol w:w="795"/>
        <w:gridCol w:w="166"/>
        <w:gridCol w:w="146"/>
        <w:gridCol w:w="227"/>
        <w:gridCol w:w="728"/>
        <w:gridCol w:w="178"/>
        <w:gridCol w:w="157"/>
        <w:gridCol w:w="227"/>
        <w:gridCol w:w="793"/>
        <w:gridCol w:w="617"/>
      </w:tblGrid>
      <w:tr>
        <w:trPr/>
        <w:tc>
          <w:tcPr>
            <w:tcW w:w="4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4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5" w:type="dxa"/>
            <w:gridSpan w:val="2"/>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ind w:left="0" w:right="0" w:firstLine="200"/>
              <w:jc w:val="left"/>
              <w:rPr/>
            </w:pPr>
            <w:r>
              <w:rPr/>
              <w:t> </w:t>
            </w:r>
          </w:p>
        </w:tc>
      </w:tr>
      <w:tr>
        <w:trPr/>
        <w:tc>
          <w:tcPr>
            <w:tcW w:w="44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14,829</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43,310</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54,049</w:t>
            </w:r>
          </w:p>
        </w:tc>
        <w:tc>
          <w:tcPr>
            <w:tcW w:w="617" w:type="dxa"/>
            <w:tcBorders/>
            <w:shd w:fill="FFFFFF" w:val="clear"/>
            <w:vAlign w:val="center"/>
          </w:tcPr>
          <w:p>
            <w:pPr>
              <w:pStyle w:val="TableContents"/>
              <w:bidi w:val="0"/>
              <w:spacing w:before="0" w:after="283"/>
              <w:ind w:left="0" w:right="0" w:firstLine="200"/>
              <w:jc w:val="left"/>
              <w:rPr/>
            </w:pPr>
            <w:r>
              <w:rPr/>
              <w:t> </w:t>
            </w:r>
          </w:p>
        </w:tc>
      </w:tr>
      <w:tr>
        <w:trPr/>
        <w:tc>
          <w:tcPr>
            <w:tcW w:w="44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18,730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26,128</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21,091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62,040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80,177</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on asset sale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83,736</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color w:val="000000"/>
              </w:rPr>
            </w:pPr>
            <w:r>
              <w:rPr>
                <w:color w:val="000000"/>
              </w:rPr>
              <w:t>—</w:t>
            </w:r>
          </w:p>
        </w:tc>
        <w:tc>
          <w:tcPr>
            <w:tcW w:w="617" w:type="dxa"/>
            <w:tcBorders/>
            <w:shd w:fill="CFF0FC" w:val="clear"/>
            <w:vAlign w:val="center"/>
          </w:tcPr>
          <w:p>
            <w:pPr>
              <w:pStyle w:val="TableContents"/>
              <w:bidi w:val="0"/>
              <w:spacing w:before="0" w:after="283"/>
              <w:ind w:left="0" w:right="0" w:firstLine="200"/>
              <w:jc w:val="left"/>
              <w:rPr/>
            </w:pPr>
            <w:r>
              <w:rPr/>
              <w:t> </w:t>
            </w:r>
          </w:p>
        </w:tc>
      </w:tr>
      <w:tr>
        <w:trPr/>
        <w:tc>
          <w:tcPr>
            <w:tcW w:w="44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impairment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Income from operations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(22,933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19,854</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(80,177</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4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 income:</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5" w:type="dxa"/>
            <w:gridSpan w:val="2"/>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617" w:type="dxa"/>
            <w:tcBorders/>
            <w:shd w:fill="FFFFFF" w:val="clear"/>
            <w:vAlign w:val="center"/>
          </w:tcPr>
          <w:p>
            <w:pPr>
              <w:pStyle w:val="TableContents"/>
              <w:bidi w:val="0"/>
              <w:spacing w:before="0" w:after="283"/>
              <w:ind w:left="0" w:right="0" w:firstLine="200"/>
              <w:jc w:val="right"/>
              <w:rPr/>
            </w:pPr>
            <w:r>
              <w:rPr/>
              <w:t> </w:t>
            </w:r>
          </w:p>
        </w:tc>
      </w:tr>
      <w:tr>
        <w:trPr/>
        <w:tc>
          <w:tcPr>
            <w:tcW w:w="44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(expense), net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1,407</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1,160</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w:t>
            </w:r>
          </w:p>
        </w:tc>
        <w:tc>
          <w:tcPr>
            <w:tcW w:w="61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4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44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4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and comprehensive income (loss) attributable to common stockholders—basic and diluted</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(21,577</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20,942</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(80,856</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per share:</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5"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200"/>
              <w:jc w:val="right"/>
              <w:rPr/>
            </w:pPr>
            <w:r>
              <w:rPr/>
              <w:t> </w:t>
            </w:r>
          </w:p>
        </w:tc>
      </w:tr>
      <w:tr>
        <w:trPr/>
        <w:tc>
          <w:tcPr>
            <w:tcW w:w="44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per share applicable to common stockholders—basic</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(0.48</w:t>
            </w:r>
          </w:p>
        </w:tc>
        <w:tc>
          <w:tcPr>
            <w:tcW w:w="1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0.47</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61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4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per share applicable to common stockholders—diluted</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(0.48</w:t>
            </w:r>
          </w:p>
        </w:tc>
        <w:tc>
          <w:tcPr>
            <w:tcW w:w="1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0.47</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6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4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used in computing earnings per share:</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5" w:type="dxa"/>
            <w:gridSpan w:val="2"/>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617" w:type="dxa"/>
            <w:tcBorders/>
            <w:shd w:fill="FFFFFF" w:val="clear"/>
            <w:vAlign w:val="center"/>
          </w:tcPr>
          <w:p>
            <w:pPr>
              <w:pStyle w:val="TableContents"/>
              <w:bidi w:val="0"/>
              <w:spacing w:before="0" w:after="283"/>
              <w:ind w:left="0" w:right="0" w:firstLine="200"/>
              <w:jc w:val="right"/>
              <w:rPr/>
            </w:pPr>
            <w:r>
              <w:rPr/>
              <w:t> </w:t>
            </w:r>
          </w:p>
        </w:tc>
      </w:tr>
      <w:tr>
        <w:trPr/>
        <w:tc>
          <w:tcPr>
            <w:tcW w:w="44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common shares outstanding—basic</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44,528</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44,235</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43,722</w:t>
            </w:r>
          </w:p>
        </w:tc>
        <w:tc>
          <w:tcPr>
            <w:tcW w:w="617" w:type="dxa"/>
            <w:tcBorders/>
            <w:shd w:fill="CFF0FC" w:val="clear"/>
            <w:vAlign w:val="center"/>
          </w:tcPr>
          <w:p>
            <w:pPr>
              <w:pStyle w:val="TableContents"/>
              <w:bidi w:val="0"/>
              <w:spacing w:before="0" w:after="283"/>
              <w:ind w:left="0" w:right="0" w:firstLine="200"/>
              <w:jc w:val="left"/>
              <w:rPr/>
            </w:pPr>
            <w:r>
              <w:rPr/>
              <w:t> </w:t>
            </w:r>
          </w:p>
        </w:tc>
      </w:tr>
      <w:tr>
        <w:trPr/>
        <w:tc>
          <w:tcPr>
            <w:tcW w:w="44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common shares outstanding—diluted</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44,528</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44,426</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43,722</w:t>
            </w:r>
          </w:p>
        </w:tc>
        <w:tc>
          <w:tcPr>
            <w:tcW w:w="617"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densed_consolidated_statements_redeem"/>
      <w:bookmarkEnd w:id="6"/>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82"/>
        <w:gridCol w:w="146"/>
        <w:gridCol w:w="146"/>
        <w:gridCol w:w="676"/>
        <w:gridCol w:w="146"/>
        <w:gridCol w:w="146"/>
        <w:gridCol w:w="295"/>
        <w:gridCol w:w="486"/>
        <w:gridCol w:w="146"/>
        <w:gridCol w:w="146"/>
        <w:gridCol w:w="244"/>
        <w:gridCol w:w="910"/>
        <w:gridCol w:w="146"/>
        <w:gridCol w:w="146"/>
        <w:gridCol w:w="243"/>
        <w:gridCol w:w="973"/>
        <w:gridCol w:w="166"/>
        <w:gridCol w:w="146"/>
        <w:gridCol w:w="259"/>
        <w:gridCol w:w="964"/>
        <w:gridCol w:w="393"/>
      </w:tblGrid>
      <w:tr>
        <w:trPr/>
        <w:tc>
          <w:tcPr>
            <w:tcW w:w="3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3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 2022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559,768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(441,429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118,343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2,656</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of common stock under the 2018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(22,969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98,090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282"/>
        <w:gridCol w:w="146"/>
        <w:gridCol w:w="146"/>
        <w:gridCol w:w="676"/>
        <w:gridCol w:w="146"/>
        <w:gridCol w:w="146"/>
        <w:gridCol w:w="295"/>
        <w:gridCol w:w="486"/>
        <w:gridCol w:w="146"/>
        <w:gridCol w:w="146"/>
        <w:gridCol w:w="244"/>
        <w:gridCol w:w="910"/>
        <w:gridCol w:w="146"/>
        <w:gridCol w:w="146"/>
        <w:gridCol w:w="243"/>
        <w:gridCol w:w="973"/>
        <w:gridCol w:w="166"/>
        <w:gridCol w:w="146"/>
        <w:gridCol w:w="259"/>
        <w:gridCol w:w="964"/>
        <w:gridCol w:w="393"/>
      </w:tblGrid>
      <w:tr>
        <w:trPr/>
        <w:tc>
          <w:tcPr>
            <w:tcW w:w="3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3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 2022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553,014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(383,542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169,476</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of common stock under the 2018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(80,856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98,090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282"/>
        <w:gridCol w:w="146"/>
        <w:gridCol w:w="146"/>
        <w:gridCol w:w="676"/>
        <w:gridCol w:w="146"/>
        <w:gridCol w:w="146"/>
        <w:gridCol w:w="295"/>
        <w:gridCol w:w="486"/>
        <w:gridCol w:w="146"/>
        <w:gridCol w:w="146"/>
        <w:gridCol w:w="244"/>
        <w:gridCol w:w="910"/>
        <w:gridCol w:w="146"/>
        <w:gridCol w:w="146"/>
        <w:gridCol w:w="243"/>
        <w:gridCol w:w="973"/>
        <w:gridCol w:w="166"/>
        <w:gridCol w:w="146"/>
        <w:gridCol w:w="259"/>
        <w:gridCol w:w="964"/>
        <w:gridCol w:w="393"/>
      </w:tblGrid>
      <w:tr>
        <w:trPr/>
        <w:tc>
          <w:tcPr>
            <w:tcW w:w="3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(446,913</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122,037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of common stock under the 2018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(21,577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8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102,858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82"/>
        <w:gridCol w:w="146"/>
        <w:gridCol w:w="146"/>
        <w:gridCol w:w="676"/>
        <w:gridCol w:w="146"/>
        <w:gridCol w:w="146"/>
        <w:gridCol w:w="295"/>
        <w:gridCol w:w="486"/>
        <w:gridCol w:w="146"/>
        <w:gridCol w:w="146"/>
        <w:gridCol w:w="244"/>
        <w:gridCol w:w="910"/>
        <w:gridCol w:w="146"/>
        <w:gridCol w:w="146"/>
        <w:gridCol w:w="243"/>
        <w:gridCol w:w="973"/>
        <w:gridCol w:w="166"/>
        <w:gridCol w:w="146"/>
        <w:gridCol w:w="259"/>
        <w:gridCol w:w="964"/>
        <w:gridCol w:w="393"/>
      </w:tblGrid>
      <w:tr>
        <w:trPr/>
        <w:tc>
          <w:tcPr>
            <w:tcW w:w="3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564,798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(489,432</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75,370</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of common stock under the 2018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102,858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1"/>
        <w:gridCol w:w="146"/>
        <w:gridCol w:w="228"/>
        <w:gridCol w:w="846"/>
        <w:gridCol w:w="179"/>
        <w:gridCol w:w="158"/>
        <w:gridCol w:w="228"/>
        <w:gridCol w:w="846"/>
        <w:gridCol w:w="613"/>
      </w:tblGrid>
      <w:tr>
        <w:trPr/>
        <w:tc>
          <w:tcPr>
            <w:tcW w:w="6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20,942</w:t>
            </w:r>
          </w:p>
        </w:tc>
        <w:tc>
          <w:tcPr>
            <w:tcW w:w="17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(80,856</w:t>
            </w:r>
          </w:p>
        </w:tc>
        <w:tc>
          <w:tcPr>
            <w:tcW w:w="6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9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on asset sale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(83,736</w:t>
            </w:r>
          </w:p>
        </w:tc>
        <w:tc>
          <w:tcPr>
            <w:tcW w:w="1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6,284</w:t>
            </w:r>
          </w:p>
        </w:tc>
        <w:tc>
          <w:tcPr>
            <w:tcW w:w="179"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 expense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w:t>
            </w:r>
          </w:p>
        </w:tc>
        <w:tc>
          <w:tcPr>
            <w:tcW w:w="17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1,105</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asset impairment charges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179"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interest expense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w:t>
            </w:r>
          </w:p>
        </w:tc>
        <w:tc>
          <w:tcPr>
            <w:tcW w:w="17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79"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rent expense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7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1,597</w:t>
            </w:r>
          </w:p>
        </w:tc>
        <w:tc>
          <w:tcPr>
            <w:tcW w:w="179"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jc w:val="left"/>
              <w:rPr/>
            </w:pPr>
            <w:r>
              <w:rPr/>
              <w:t> </w:t>
            </w:r>
          </w:p>
        </w:tc>
      </w:tr>
      <w:tr>
        <w:trPr/>
        <w:tc>
          <w:tcPr>
            <w:tcW w:w="69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400"/>
              <w:jc w:val="right"/>
              <w:rPr/>
            </w:pPr>
            <w:r>
              <w:rPr/>
              <w:t> </w:t>
            </w:r>
          </w:p>
        </w:tc>
      </w:tr>
      <w:tr>
        <w:trPr/>
        <w:tc>
          <w:tcPr>
            <w:tcW w:w="69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4,252</w:t>
            </w:r>
          </w:p>
        </w:tc>
        <w:tc>
          <w:tcPr>
            <w:tcW w:w="179"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w:t>
            </w:r>
          </w:p>
        </w:tc>
        <w:tc>
          <w:tcPr>
            <w:tcW w:w="613"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7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9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w:t>
            </w:r>
          </w:p>
        </w:tc>
        <w:tc>
          <w:tcPr>
            <w:tcW w:w="179"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(1,672</w:t>
            </w:r>
          </w:p>
        </w:tc>
        <w:tc>
          <w:tcPr>
            <w:tcW w:w="613"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Current and 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(1,827</w:t>
            </w:r>
          </w:p>
        </w:tc>
        <w:tc>
          <w:tcPr>
            <w:tcW w:w="1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9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(6,730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(55,159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(73,535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asset sale, 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83,736</w:t>
            </w:r>
          </w:p>
        </w:tc>
        <w:tc>
          <w:tcPr>
            <w:tcW w:w="17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jc w:val="lef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6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the sale of property, plant, and equipment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84,926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 of note payable, including end of term charge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(16,350</w:t>
            </w:r>
          </w:p>
        </w:tc>
        <w:tc>
          <w:tcPr>
            <w:tcW w:w="1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jc w:val="left"/>
              <w:rPr/>
            </w:pPr>
            <w:r>
              <w:rPr/>
              <w:t> </w:t>
            </w:r>
          </w:p>
        </w:tc>
      </w:tr>
      <w:tr>
        <w:trPr/>
        <w:tc>
          <w:tcPr>
            <w:tcW w:w="69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7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jc w:val="lef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ESPP shares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(16,088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13,679</w:t>
            </w:r>
          </w:p>
        </w:tc>
        <w:tc>
          <w:tcPr>
            <w:tcW w:w="179"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(73,599</w:t>
            </w:r>
          </w:p>
        </w:tc>
        <w:tc>
          <w:tcPr>
            <w:tcW w:w="6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92,846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190,059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106,525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116,460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property and equipment included in accounts payable and</w:t>
              <w:br/>
              <w:t>accrued expenses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79"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jc w:val="left"/>
              <w:rPr/>
            </w:pPr>
            <w:r>
              <w:rPr/>
              <w:t> </w:t>
            </w:r>
          </w:p>
        </w:tc>
      </w:tr>
      <w:tr>
        <w:trPr/>
        <w:tc>
          <w:tcPr>
            <w:tcW w:w="69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paid</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w:t>
            </w:r>
          </w:p>
        </w:tc>
        <w:tc>
          <w:tcPr>
            <w:tcW w:w="17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1,002</w:t>
            </w:r>
          </w:p>
        </w:tc>
        <w:tc>
          <w:tcPr>
            <w:tcW w:w="613" w:type="dxa"/>
            <w:tcBorders/>
            <w:shd w:fill="FFFFFF" w:val="clear"/>
            <w:vAlign w:val="center"/>
          </w:tcPr>
          <w:p>
            <w:pPr>
              <w:pStyle w:val="TableContents"/>
              <w:bidi w:val="0"/>
              <w:spacing w:before="0" w:after="283"/>
              <w:jc w:val="lef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reported within the condensed consolidated balance sheets: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105,842</w:t>
            </w:r>
          </w:p>
        </w:tc>
        <w:tc>
          <w:tcPr>
            <w:tcW w:w="17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115,968</w:t>
            </w:r>
          </w:p>
        </w:tc>
        <w:tc>
          <w:tcPr>
            <w:tcW w:w="613" w:type="dxa"/>
            <w:tcBorders/>
            <w:shd w:fill="FFFFFF" w:val="clear"/>
            <w:vAlign w:val="center"/>
          </w:tcPr>
          <w:p>
            <w:pPr>
              <w:pStyle w:val="TableContents"/>
              <w:bidi w:val="0"/>
              <w:spacing w:before="0" w:after="283"/>
              <w:jc w:val="lef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106,525</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116,460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8" w:name="notes_to_unaudited_condensed_consolidate"/>
      <w:bookmarkEnd w:id="8"/>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the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AVROBIO, Inc. (the “Company” or “AVROBIO”) is a gene therapy company which has been focused on developing potentially curative ex vivo lentiviral gene therapies to treat rare diseases following a single dose treatment regimen.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See Note 13 for further discussion.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AVR-RD-04) and all other assets of the Company specifically related to this program. As of September 30, 2023, the Company had an accumulated deficit of $468,490. The Company expects that its cash and cash equivalents of $105,842</w:t>
      </w:r>
      <w:r>
        <w:rPr>
          <w:rFonts w:ascii="Times New Roman" w:hAnsi="Times New Roman"/>
          <w:color w:val="000000"/>
          <w:sz w:val="20"/>
        </w:rPr>
        <w:t xml:space="preserve"> </w:t>
      </w:r>
      <w:r>
        <w:rPr>
          <w:rFonts w:ascii="Times New Roman" w:hAnsi="Times New Roman"/>
          <w:b w:val="false"/>
          <w:color w:val="000000"/>
          <w:sz w:val="20"/>
        </w:rPr>
        <w:t>as of September 30, 2023 will be sufficient to fund current planned operations and capital expenditure requirements for at least the next twelve months from the filing date of this Quarterly Report on Form 10-Q with the Securities and Exchange Commission (“SEC”). However, the future viability of the Company is dependent on its ability to raise additional capital to finance its operations. The Company’s inability to raise capital as and when needed, should the Company resume development of its product candidates, could have a negative impact on its financial condition and ability to pursue its business strategies. There can be no assurance that the current operating plan will be achieved or that additional funding will be available on terms acceptable to the Company,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May 19, 2023, the Company entered into an Asset Purchase Agreement (the “Asset Purchase Agreement”) with Novartis Pharma AG and Novartis Pharmaceuticals Corporation (collectively, “Novartis”), providing for the sale of the Company’s cystinosis gene therapy program (designated AVR-RD-04) and all other assets of the Company specifically related to this program. The aggregate consideration to the Company consisted of a cash payment of $87,500</w:t>
      </w:r>
      <w:r>
        <w:rPr>
          <w:rFonts w:ascii="Times New Roman" w:hAnsi="Times New Roman"/>
          <w:color w:val="000000"/>
          <w:sz w:val="20"/>
        </w:rPr>
        <w:t xml:space="preserve"> </w:t>
      </w:r>
      <w:r>
        <w:rPr>
          <w:rFonts w:ascii="Times New Roman" w:hAnsi="Times New Roman"/>
          <w:b w:val="false"/>
          <w:color w:val="000000"/>
          <w:sz w:val="20"/>
        </w:rPr>
        <w:t>upon closing of the transaction. The Company completed the Asset Sale on June 9, 2023 and recognized $83,736</w:t>
      </w:r>
      <w:r>
        <w:rPr>
          <w:rFonts w:ascii="Times New Roman" w:hAnsi="Times New Roman"/>
          <w:color w:val="000000"/>
          <w:sz w:val="20"/>
        </w:rPr>
        <w:t xml:space="preserve"> </w:t>
      </w:r>
      <w:r>
        <w:rPr>
          <w:rFonts w:ascii="Times New Roman" w:hAnsi="Times New Roman"/>
          <w:b w:val="false"/>
          <w:color w:val="000000"/>
          <w:sz w:val="20"/>
        </w:rPr>
        <w:t>as a gain on asset sale, net of $3,764</w:t>
      </w:r>
      <w:r>
        <w:rPr>
          <w:rFonts w:ascii="Times New Roman" w:hAnsi="Times New Roman"/>
          <w:color w:val="000000"/>
          <w:sz w:val="20"/>
        </w:rPr>
        <w:t xml:space="preserve"> </w:t>
      </w:r>
      <w:r>
        <w:rPr>
          <w:rFonts w:ascii="Times New Roman" w:hAnsi="Times New Roman"/>
          <w:b w:val="false"/>
          <w:color w:val="000000"/>
          <w:sz w:val="20"/>
        </w:rPr>
        <w:t>transaction costs, in the condensed consolidated statement of operations and comprehensive income (loss) for the nine months ended September 30, 2023. See Note 3 for further discussion.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w:t>
      </w:r>
      <w:r>
        <w:rPr>
          <w:rFonts w:ascii="Times New Roman" w:hAnsi="Times New Roman"/>
          <w:color w:val="000000"/>
          <w:sz w:val="20"/>
        </w:rPr>
        <w:t xml:space="preserve"> </w:t>
      </w:r>
      <w:r>
        <w:rPr>
          <w:rFonts w:ascii="Times New Roman" w:hAnsi="Times New Roman"/>
          <w:b w:val="false"/>
          <w:color w:val="000000"/>
          <w:sz w:val="20"/>
        </w:rPr>
        <w:t>employees in a workforce reduction implemented effective as of October 31, 2023 (the “October 2023 Workforce Reduction”). Affected employees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July 2023 Workforce Reduction and October 2023 Workforce Reduction were offered separation benefits, including severance payments. See Note 13 for further discussion.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unaudited condensed consolidated financial statements have been prepared on the same basis as the audited annual consolidated financial statements as of and for the year ended December 31, 2022, and, in the opinion of management, reflect all adjustments, consisting of normal recurring adjustments, necessary for the fair presentation of the Company’s financial position as of September 30, 2023, and the results of its operations for the three and nine months ended September 30, 2023 and 2022, its statements of stockholders’ equity for the three and nine months ended September 30, 2023 and 2022 and its statement of cash flows for the nine months ended September 30,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results for the three and nine months ended September 30, 2023 are not necessarily indicative of the results to be expected for the year ending December 31, 2022, any other interim periods, or any future year or period. These interim financial statements should be read in conjunction with the audited financial statements as of and for the year ended December 31, 2022, and the notes thereto, which are included in the Company’s Annual Report on Form 10-K for the year ended December 31, 2022, filed with the SEC on March 23, 2023.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unaudited condensed consolidated financial statements reflect the application of certain significant accounting policies as described below and elsewhere in these notes to the unaudited condensed consolidated financial statements. As of September 30, 2023, there have been no changes to the Company’s significant accounting policies as described in the Company’s Annual Report on Form 10-K for the fiscal year ended December 31, 2022.</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w:t>
      </w:r>
      <w:r>
        <w:rPr>
          <w:rFonts w:ascii="Times New Roman" w:hAnsi="Times New Roman"/>
          <w:color w:val="000000"/>
          <w:sz w:val="20"/>
        </w:rPr>
        <w:t xml:space="preserve"> </w:t>
      </w:r>
      <w:r>
        <w:rPr>
          <w:rFonts w:ascii="Times New Roman" w:hAnsi="Times New Roman"/>
          <w:b w:val="false"/>
          <w:color w:val="000000"/>
          <w:sz w:val="20"/>
        </w:rPr>
        <w:t>operating segment. All material long-lived assets of the Company reside in the United States.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Significant estimates relied upon in preparing the unaudited condensed consolidated financial statements include the determination of the fair value of share-based awards issued and the estimation of accrued 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Prior to the adoption of Accounting Standards Update (“ASU”) No. 2018-07, </w:t>
      </w:r>
      <w:r>
        <w:rPr>
          <w:rFonts w:ascii="Times New Roman" w:hAnsi="Times New Roman"/>
          <w:b w:val="false"/>
          <w:i/>
          <w:color w:val="000000"/>
          <w:sz w:val="20"/>
        </w:rPr>
        <w:t>Compensation-Stock Compensation (Topic 718): Improvements to Nonemployee Share-Based Payment Accounting</w:t>
      </w:r>
      <w:r>
        <w:rPr>
          <w:rFonts w:ascii="Times New Roman" w:hAnsi="Times New Roman"/>
          <w:b w:val="false"/>
          <w:color w:val="000000"/>
          <w:sz w:val="20"/>
        </w:rPr>
        <w:t>, the measurement date for non-employee awards was generally the date the services are completed, 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classifies stock-based compensation expense in its consolidated statements of operations and comprehensive income (loss) in the same manner in which the award recipient’s cash compensation costs are classified.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Subsequent Event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 June 2016, the FASB issued ASU No. 2016-13, </w:t>
      </w:r>
      <w:r>
        <w:rPr>
          <w:rFonts w:ascii="Times New Roman" w:hAnsi="Times New Roman"/>
          <w:b w:val="false"/>
          <w:i/>
          <w:color w:val="000000"/>
          <w:sz w:val="20"/>
        </w:rPr>
        <w:t>Financial Instruments—Credit Losses (Topic 326): Measurement of Credit Losses on Financial Instruments</w:t>
      </w:r>
      <w:r>
        <w:rPr>
          <w:rFonts w:ascii="Times New Roman" w:hAnsi="Times New Roman"/>
          <w:b w:val="false"/>
          <w:color w:val="000000"/>
          <w:sz w:val="20"/>
        </w:rPr>
        <w:t>, or ASU 2016-13. ASU 2016-13 requires that credit losses be reported as an allowance using an expected losses model, representing the entity's current estimate of credit losses expected to be incurred.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w:t>
      </w:r>
      <w:r>
        <w:rPr>
          <w:rFonts w:ascii="Times New Roman" w:hAnsi="Times New Roman"/>
          <w:color w:val="000000"/>
          <w:sz w:val="20"/>
        </w:rPr>
        <w:t xml:space="preserve"> </w:t>
      </w:r>
      <w:r>
        <w:rPr>
          <w:rFonts w:ascii="Times New Roman" w:hAnsi="Times New Roman"/>
          <w:b w:val="false"/>
          <w:color w:val="000000"/>
          <w:sz w:val="20"/>
        </w:rPr>
        <w:t>November 2019, the FASB issued ASU 2019-11, “</w:t>
      </w:r>
      <w:r>
        <w:rPr>
          <w:rFonts w:ascii="Times New Roman" w:hAnsi="Times New Roman"/>
          <w:b w:val="false"/>
          <w:i/>
          <w:color w:val="000000"/>
          <w:sz w:val="20"/>
        </w:rPr>
        <w:t>Codification Improvements to Topic 326, Financial Instruments – Credit Losses</w:t>
      </w:r>
      <w:r>
        <w:rPr>
          <w:rFonts w:ascii="Times New Roman" w:hAnsi="Times New Roman"/>
          <w:b w:val="false"/>
          <w:color w:val="000000"/>
          <w:sz w:val="20"/>
        </w:rPr>
        <w:t>,” or ASU 2019-11. ASU 2019-11 is an accounting pronouncement that amends ASU 2016-13, “</w:t>
      </w:r>
      <w:r>
        <w:rPr>
          <w:rFonts w:ascii="Times New Roman" w:hAnsi="Times New Roman"/>
          <w:b w:val="false"/>
          <w:i/>
          <w:color w:val="000000"/>
          <w:sz w:val="20"/>
        </w:rPr>
        <w:t>Financial Instruments – Credit Losses (Topic 326): Measurement of Credit Losses on Financial Instruments</w:t>
      </w:r>
      <w:r>
        <w:rPr>
          <w:rFonts w:ascii="Times New Roman" w:hAnsi="Times New Roman"/>
          <w:b w:val="false"/>
          <w:color w:val="000000"/>
          <w:sz w:val="20"/>
        </w:rPr>
        <w:t>.”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3. License and Purchase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Agreement with The University of Manchester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 w:hAnsi="Times New Roman"/>
          <w:b w:val="false"/>
          <w:i/>
          <w:color w:val="000000"/>
          <w:sz w:val="20"/>
        </w:rPr>
        <w:t>ex vivo</w:t>
      </w:r>
      <w:r>
        <w:rPr>
          <w:rFonts w:ascii="Times New Roman" w:hAnsi="Times New Roman"/>
          <w:color w:val="000000"/>
          <w:sz w:val="20"/>
        </w:rPr>
        <w:t xml:space="preserve"> </w:t>
      </w:r>
      <w:r>
        <w:rPr>
          <w:rFonts w:ascii="Times New Roman" w:hAnsi="Times New Roman"/>
          <w:b w:val="false"/>
          <w:color w:val="000000"/>
          <w:sz w:val="20"/>
        </w:rPr>
        <w:t>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part of the agreement, the Company was obligated to make milestone payments of up to an aggregate of $80,000</w:t>
      </w:r>
      <w:r>
        <w:rPr>
          <w:rFonts w:ascii="Times New Roman" w:hAnsi="Times New Roman"/>
          <w:color w:val="000000"/>
          <w:sz w:val="20"/>
        </w:rPr>
        <w:t xml:space="preserve"> </w:t>
      </w:r>
      <w:r>
        <w:rPr>
          <w:rFonts w:ascii="Times New Roman" w:hAnsi="Times New Roman"/>
          <w:b w:val="false"/>
          <w:color w:val="000000"/>
          <w:sz w:val="20"/>
        </w:rPr>
        <w:t>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During the third quarter of 2022, a $2,000</w:t>
      </w:r>
      <w:r>
        <w:rPr>
          <w:rFonts w:ascii="Times New Roman" w:hAnsi="Times New Roman"/>
          <w:color w:val="000000"/>
          <w:sz w:val="20"/>
        </w:rPr>
        <w:t xml:space="preserve"> </w:t>
      </w:r>
      <w:r>
        <w:rPr>
          <w:rFonts w:ascii="Times New Roman" w:hAnsi="Times New Roman"/>
          <w:b w:val="false"/>
          <w:color w:val="000000"/>
          <w:sz w:val="20"/>
        </w:rPr>
        <w:t>milestone payment under the MPSII License Agreement became due following the date of regulatory approval of the CTA for the investigator-sponsored Phase 1/2 clinical trial sponsored by UoM.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Concurrently with the MPSII License Agreement, the Company entered into a collaborative research funding agreement with UoM (“CRFA”). Under the CRFA, the Company had agreed to fund the budgeted costs of an investigator-sponsored Phase 1/2 clinical trial to be sponsored by UoM in connection with the development activities under the MPSII License Agreement, which were expected to equal approximately £9,900</w:t>
      </w:r>
      <w:r>
        <w:rPr>
          <w:rFonts w:ascii="Times New Roman" w:hAnsi="Times New Roman"/>
          <w:color w:val="000000"/>
          <w:sz w:val="20"/>
        </w:rPr>
        <w:t xml:space="preserve"> </w:t>
      </w:r>
      <w:r>
        <w:rPr>
          <w:rFonts w:ascii="Times New Roman" w:hAnsi="Times New Roman"/>
          <w:b w:val="false"/>
          <w:color w:val="000000"/>
          <w:sz w:val="20"/>
        </w:rPr>
        <w:t>in the aggregate.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months ended September 30, 2023, the Company did not incur costs related to the CRFA, excluding the payment made in connection with the termination. For the three months ended September 30, 2022, the Company incurred $590</w:t>
      </w:r>
      <w:r>
        <w:rPr>
          <w:rFonts w:ascii="Times New Roman" w:hAnsi="Times New Roman"/>
          <w:color w:val="000000"/>
          <w:sz w:val="20"/>
        </w:rPr>
        <w:t xml:space="preserve"> </w:t>
      </w:r>
      <w:r>
        <w:rPr>
          <w:rFonts w:ascii="Times New Roman" w:hAnsi="Times New Roman"/>
          <w:b w:val="false"/>
          <w:color w:val="000000"/>
          <w:sz w:val="20"/>
        </w:rPr>
        <w:t>related to the CRFA. For the nine months ended September 30, 2023 and 2022, the Company incurred $1,610</w:t>
      </w:r>
      <w:r>
        <w:rPr>
          <w:rFonts w:ascii="Times New Roman" w:hAnsi="Times New Roman"/>
          <w:color w:val="000000"/>
          <w:sz w:val="20"/>
        </w:rPr>
        <w:t xml:space="preserve"> </w:t>
      </w:r>
      <w:r>
        <w:rPr>
          <w:rFonts w:ascii="Times New Roman" w:hAnsi="Times New Roman"/>
          <w:b w:val="false"/>
          <w:color w:val="000000"/>
          <w:sz w:val="20"/>
        </w:rPr>
        <w:t>and $1,970</w:t>
      </w:r>
      <w:r>
        <w:rPr>
          <w:rFonts w:ascii="Times New Roman" w:hAnsi="Times New Roman"/>
          <w:color w:val="000000"/>
          <w:sz w:val="20"/>
        </w:rPr>
        <w:t xml:space="preserve"> </w:t>
      </w:r>
      <w:r>
        <w:rPr>
          <w:rFonts w:ascii="Times New Roman" w:hAnsi="Times New Roman"/>
          <w:b w:val="false"/>
          <w:color w:val="000000"/>
          <w:sz w:val="20"/>
        </w:rPr>
        <w:t>related to the CRFA, respectively, excluding the payment made in connection with the termination.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Agreements with University Health Network (“UHN”)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Fabry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w:t>
      </w:r>
      <w:r>
        <w:rPr>
          <w:rFonts w:ascii="Times New Roman" w:hAnsi="Times New Roman"/>
          <w:color w:val="000000"/>
          <w:sz w:val="20"/>
        </w:rPr>
        <w:t xml:space="preserve"> </w:t>
      </w:r>
      <w:r>
        <w:rPr>
          <w:rFonts w:ascii="Times New Roman" w:hAnsi="Times New Roman"/>
          <w:b w:val="false"/>
          <w:color w:val="000000"/>
          <w:sz w:val="20"/>
        </w:rPr>
        <w:t>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October 3, 2023 the Company provided a notice of termination to UHN with respect to the Fabry License Agreement, specifying an effective date of termination of January 4, 2024.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months ended September 30, 2023, the Company recorded research and development expense related to this agreement with UHN of $25. For the three months ended September 30, 2022</w:t>
      </w:r>
      <w:r>
        <w:rPr>
          <w:rFonts w:ascii="Times New Roman" w:hAnsi="Times New Roman"/>
          <w:color w:val="000000"/>
          <w:sz w:val="20"/>
        </w:rPr>
        <w:t xml:space="preserve"> </w:t>
      </w:r>
      <w:r>
        <w:rPr>
          <w:rFonts w:ascii="Times New Roman" w:hAnsi="Times New Roman"/>
          <w:b w:val="false"/>
          <w:color w:val="000000"/>
          <w:sz w:val="20"/>
        </w:rPr>
        <w:t>the Company did not incur any research and development expense related to this agreement with UHN for reimbursable funded study trial costs. For the nine months ended September 30, 2023 and 2022, the Company recorded research and development expense related to this agreement with UHN of $59</w:t>
      </w:r>
      <w:r>
        <w:rPr>
          <w:rFonts w:ascii="Times New Roman" w:hAnsi="Times New Roman"/>
          <w:color w:val="000000"/>
          <w:sz w:val="20"/>
        </w:rPr>
        <w:t xml:space="preserve"> </w:t>
      </w:r>
      <w:r>
        <w:rPr>
          <w:rFonts w:ascii="Times New Roman" w:hAnsi="Times New Roman"/>
          <w:b w:val="false"/>
          <w:color w:val="000000"/>
          <w:sz w:val="20"/>
        </w:rPr>
        <w:t>and $106, respectively, which consists of reimbursable funded study trial costs. No</w:t>
      </w:r>
      <w:r>
        <w:rPr>
          <w:rFonts w:ascii="Times New Roman" w:hAnsi="Times New Roman"/>
          <w:color w:val="000000"/>
          <w:sz w:val="20"/>
        </w:rPr>
        <w:t xml:space="preserve"> </w:t>
      </w:r>
      <w:r>
        <w:rPr>
          <w:rFonts w:ascii="Times New Roman" w:hAnsi="Times New Roman"/>
          <w:b w:val="false"/>
          <w:color w:val="000000"/>
          <w:sz w:val="20"/>
        </w:rPr>
        <w:t>milestone or maintenance fees were incurred related to this agreement in the three and nine months ended September 30, 2023 and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Interleukin 12 License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w:t>
      </w:r>
      <w:r>
        <w:rPr>
          <w:rFonts w:ascii="Times New Roman" w:hAnsi="Times New Roman"/>
          <w:color w:val="000000"/>
          <w:sz w:val="20"/>
        </w:rPr>
        <w:t xml:space="preserve"> </w:t>
      </w:r>
      <w:r>
        <w:rPr>
          <w:rFonts w:ascii="Times New Roman" w:hAnsi="Times New Roman"/>
          <w:b w:val="false"/>
          <w:color w:val="000000"/>
          <w:sz w:val="20"/>
        </w:rPr>
        <w:t>shares of the Company’s common stock and agreed to pay UHN up to $2,000</w:t>
      </w:r>
      <w:r>
        <w:rPr>
          <w:rFonts w:ascii="Times New Roman" w:hAnsi="Times New Roman"/>
          <w:color w:val="000000"/>
          <w:sz w:val="20"/>
        </w:rPr>
        <w:t xml:space="preserve"> </w:t>
      </w:r>
      <w:r>
        <w:rPr>
          <w:rFonts w:ascii="Times New Roman" w:hAnsi="Times New Roman"/>
          <w:b w:val="false"/>
          <w:color w:val="000000"/>
          <w:sz w:val="20"/>
        </w:rPr>
        <w:t>upon the closing of an IPO if certain criteria are met. The fair value of the shares issued to UHN of $480</w:t>
      </w:r>
      <w:r>
        <w:rPr>
          <w:rFonts w:ascii="Times New Roman" w:hAnsi="Times New Roman"/>
          <w:color w:val="000000"/>
          <w:sz w:val="20"/>
        </w:rPr>
        <w:t xml:space="preserve"> </w:t>
      </w:r>
      <w:r>
        <w:rPr>
          <w:rFonts w:ascii="Times New Roman" w:hAnsi="Times New Roman"/>
          <w:b w:val="false"/>
          <w:color w:val="000000"/>
          <w:sz w:val="20"/>
        </w:rPr>
        <w:t>and the upfront fee was expensed upon the execution of the agreement. Upon the closing of the IPO in 2018, as the criteria were met, the Company paid UHN $2,000. The Company was also required to pay UHN future annual license maintenance fees of CAD $50</w:t>
      </w:r>
      <w:r>
        <w:rPr>
          <w:rFonts w:ascii="Times New Roman" w:hAnsi="Times New Roman"/>
          <w:color w:val="000000"/>
          <w:sz w:val="20"/>
        </w:rPr>
        <w:t xml:space="preserve"> </w:t>
      </w:r>
      <w:r>
        <w:rPr>
          <w:rFonts w:ascii="Times New Roman" w:hAnsi="Times New Roman"/>
          <w:b w:val="false"/>
          <w:color w:val="000000"/>
          <w:sz w:val="20"/>
        </w:rPr>
        <w:t>on each anniversary of the effective date of the license agreement prior to expiration or termination and potential future milestone payments of up to CAD $19,275</w:t>
      </w:r>
      <w:r>
        <w:rPr>
          <w:rFonts w:ascii="Times New Roman" w:hAnsi="Times New Roman"/>
          <w:color w:val="000000"/>
          <w:sz w:val="20"/>
        </w:rPr>
        <w:t xml:space="preserve"> </w:t>
      </w:r>
      <w:r>
        <w:rPr>
          <w:rFonts w:ascii="Times New Roman" w:hAnsi="Times New Roman"/>
          <w:b w:val="false"/>
          <w:color w:val="000000"/>
          <w:sz w:val="20"/>
        </w:rPr>
        <w:t>upon the achievement of specified clinical and regulatory milestones. The Company also agreed to pay UHN royalties of a low single-digit percentage of net sales of licensed products sold by the Company. If the Company granted any sublicense rights under the license agreement, the Company agreed to pay UHN a low double-digit royalty percentage of any sublicense income received by the Company. The agreement also required the Company to meet certain diligence requirements based upon specified milestones.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Effective as of August 24, 2023, the Company and UHN agreed to terminate the Interleukin 12 License Agreement. Following the termination of the agreement, the Company does not have any remaining financial obligations to UHN pursuant to the Interleukin 12 License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months ended September 30, 2023</w:t>
      </w:r>
      <w:r>
        <w:rPr>
          <w:rFonts w:ascii="Times New Roman" w:hAnsi="Times New Roman"/>
          <w:color w:val="000000"/>
          <w:sz w:val="20"/>
        </w:rPr>
        <w:t xml:space="preserve"> </w:t>
      </w:r>
      <w:r>
        <w:rPr>
          <w:rFonts w:ascii="Times New Roman" w:hAnsi="Times New Roman"/>
          <w:b w:val="false"/>
          <w:color w:val="000000"/>
          <w:sz w:val="20"/>
        </w:rPr>
        <w:t>the Company did not incur any costs related to this agreement with UHN. For the three months ended September 30, 2022, the Company recorded research and development expense related to this agreement with UHN of $39. For the nine months ended September 30, 2023 and 2022, the Company recorded research and development expense related to this agreement with UHN of $37</w:t>
      </w:r>
      <w:r>
        <w:rPr>
          <w:rFonts w:ascii="Times New Roman" w:hAnsi="Times New Roman"/>
          <w:color w:val="000000"/>
          <w:sz w:val="20"/>
        </w:rPr>
        <w:t xml:space="preserve"> </w:t>
      </w:r>
      <w:r>
        <w:rPr>
          <w:rFonts w:ascii="Times New Roman" w:hAnsi="Times New Roman"/>
          <w:b w:val="false"/>
          <w:color w:val="000000"/>
          <w:sz w:val="20"/>
        </w:rPr>
        <w:t>and $39, respectively. No</w:t>
      </w:r>
      <w:r>
        <w:rPr>
          <w:rFonts w:ascii="Times New Roman" w:hAnsi="Times New Roman"/>
          <w:color w:val="000000"/>
          <w:sz w:val="20"/>
        </w:rPr>
        <w:t xml:space="preserve"> </w:t>
      </w:r>
      <w:r>
        <w:rPr>
          <w:rFonts w:ascii="Times New Roman" w:hAnsi="Times New Roman"/>
          <w:b w:val="false"/>
          <w:color w:val="000000"/>
          <w:sz w:val="20"/>
        </w:rPr>
        <w:t>milestone fees were incurred related to this agreement in the three and nine months ended September 30,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Agreement with BioMarin Pharmaceutical Inc. (“BioMarin”)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w:t>
      </w:r>
      <w:r>
        <w:rPr>
          <w:rFonts w:ascii="Times New Roman" w:hAnsi="Times New Roman"/>
          <w:color w:val="000000"/>
          <w:sz w:val="20"/>
        </w:rPr>
        <w:t xml:space="preserve"> </w:t>
      </w:r>
      <w:r>
        <w:rPr>
          <w:rFonts w:ascii="Times New Roman" w:hAnsi="Times New Roman"/>
          <w:b w:val="false"/>
          <w:color w:val="000000"/>
          <w:sz w:val="20"/>
        </w:rPr>
        <w:t>in cash and issued 233,765</w:t>
      </w:r>
      <w:r>
        <w:rPr>
          <w:rFonts w:ascii="Times New Roman" w:hAnsi="Times New Roman"/>
          <w:color w:val="000000"/>
          <w:sz w:val="20"/>
        </w:rPr>
        <w:t xml:space="preserve"> </w:t>
      </w:r>
      <w:r>
        <w:rPr>
          <w:rFonts w:ascii="Times New Roman" w:hAnsi="Times New Roman"/>
          <w:b w:val="false"/>
          <w:color w:val="000000"/>
          <w:sz w:val="20"/>
        </w:rPr>
        <w:t>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w:t>
      </w:r>
      <w:r>
        <w:rPr>
          <w:rFonts w:ascii="Times New Roman" w:hAnsi="Times New Roman"/>
          <w:color w:val="000000"/>
          <w:sz w:val="20"/>
        </w:rPr>
        <w:t xml:space="preserve"> </w:t>
      </w:r>
      <w:r>
        <w:rPr>
          <w:rFonts w:ascii="Times New Roman" w:hAnsi="Times New Roman"/>
          <w:b w:val="false"/>
          <w:color w:val="000000"/>
          <w:sz w:val="20"/>
        </w:rPr>
        <w:t>upon the achievement of certain specified milestones and agreed to pay BioMarin royalties of a low single-digit percentage of net sales of licensed products sold by the Company or its affiliates covered by patent rights in a relevant country.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recognized no</w:t>
      </w:r>
      <w:r>
        <w:rPr>
          <w:rFonts w:ascii="Times New Roman" w:hAnsi="Times New Roman"/>
          <w:color w:val="000000"/>
          <w:sz w:val="20"/>
        </w:rPr>
        <w:t xml:space="preserve"> </w:t>
      </w:r>
      <w:r>
        <w:rPr>
          <w:rFonts w:ascii="Times New Roman" w:hAnsi="Times New Roman"/>
          <w:b w:val="false"/>
          <w:color w:val="000000"/>
          <w:sz w:val="20"/>
        </w:rPr>
        <w:t>expenses related to the license for the three and nine months ended September 30, 2023 and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Agreement with Papillon Therapeutics, Inc. (previously GenStem Therapeutics, Inc.)</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w:t>
      </w:r>
      <w:r>
        <w:rPr>
          <w:rFonts w:ascii="Times New Roman" w:hAnsi="Times New Roman"/>
          <w:color w:val="000000"/>
          <w:sz w:val="20"/>
        </w:rPr>
        <w:t xml:space="preserve"> </w:t>
      </w:r>
      <w:r>
        <w:rPr>
          <w:rFonts w:ascii="Times New Roman" w:hAnsi="Times New Roman"/>
          <w:b w:val="false"/>
          <w:color w:val="000000"/>
          <w:sz w:val="20"/>
        </w:rPr>
        <w:t>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noticed that the license agreement with GenStem had been assigned to Papillon Therapeutics, Inc. (“Papillon”). On June 9, 2023, in connection with the close of the Asset Purchase Agreement, discussed and defined above, the Company transferred this agreement to Novartis.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recognized no</w:t>
      </w:r>
      <w:r>
        <w:rPr>
          <w:rFonts w:ascii="Times New Roman" w:hAnsi="Times New Roman"/>
          <w:color w:val="000000"/>
          <w:sz w:val="20"/>
        </w:rPr>
        <w:t xml:space="preserve"> </w:t>
      </w:r>
      <w:r>
        <w:rPr>
          <w:rFonts w:ascii="Times New Roman" w:hAnsi="Times New Roman"/>
          <w:b w:val="false"/>
          <w:color w:val="000000"/>
          <w:sz w:val="20"/>
        </w:rPr>
        <w:t>expenses related to this agreement for the three and nine months ended September 30,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Agreement with Lund University Rights Holders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recognized no</w:t>
      </w:r>
      <w:r>
        <w:rPr>
          <w:rFonts w:ascii="Times New Roman" w:hAnsi="Times New Roman"/>
          <w:color w:val="000000"/>
          <w:sz w:val="20"/>
        </w:rPr>
        <w:t xml:space="preserve"> </w:t>
      </w:r>
      <w:r>
        <w:rPr>
          <w:rFonts w:ascii="Times New Roman" w:hAnsi="Times New Roman"/>
          <w:b w:val="false"/>
          <w:color w:val="000000"/>
          <w:sz w:val="20"/>
        </w:rPr>
        <w:t>expenses related to this agreement for the three and nine months ended September 30,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of Cystinosis Program</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May 19, 2023, the Company entered into the Asset Purchase Agreement with Novartis, providing for the sale of the Company’s cystinosis gene therapy program (designated AVR-RD-04) 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 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w:t>
      </w:r>
      <w:r>
        <w:rPr>
          <w:rFonts w:ascii="Times New Roman" w:hAnsi="Times New Roman"/>
          <w:color w:val="000000"/>
          <w:sz w:val="20"/>
        </w:rPr>
        <w:t xml:space="preserve"> </w:t>
      </w:r>
      <w:r>
        <w:rPr>
          <w:rFonts w:ascii="Times New Roman" w:hAnsi="Times New Roman"/>
          <w:b w:val="false"/>
          <w:color w:val="000000"/>
          <w:sz w:val="20"/>
        </w:rPr>
        <w:t>upon closing of the transaction.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Asset Purchase Agreement contains certain customary representations, warranties and covenants. The Asset Purchase Agreement also contains customary indemnification provisions pursuant to which the parties agree to indemnify each other for certain matters, including, among other things, breaches of certain representations, warranties and covenants in connection with the Asset Sale, subject to specified caps and limitations. The Company has also agreed to a covenant that would prohibit the Company from engaging in specified activities that would compete with the cystinosis business, for a period of 5 years, subject to certain limitations and exceptions. The Company completed the Asset Sale on June 9, 2023. For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the Company recognized $83,736</w:t>
      </w:r>
      <w:r>
        <w:rPr>
          <w:rFonts w:ascii="Times New Roman" w:hAnsi="Times New Roman"/>
          <w:color w:val="000000"/>
          <w:sz w:val="20"/>
        </w:rPr>
        <w:t xml:space="preserve"> </w:t>
      </w:r>
      <w:r>
        <w:rPr>
          <w:rFonts w:ascii="Times New Roman" w:hAnsi="Times New Roman"/>
          <w:b w:val="false"/>
          <w:color w:val="000000"/>
          <w:sz w:val="20"/>
        </w:rPr>
        <w:t>as a gain on asset sale, net of $3,764</w:t>
      </w:r>
      <w:r>
        <w:rPr>
          <w:rFonts w:ascii="Times New Roman" w:hAnsi="Times New Roman"/>
          <w:color w:val="000000"/>
          <w:sz w:val="20"/>
        </w:rPr>
        <w:t xml:space="preserve"> </w:t>
      </w:r>
      <w:r>
        <w:rPr>
          <w:rFonts w:ascii="Times New Roman" w:hAnsi="Times New Roman"/>
          <w:b w:val="false"/>
          <w:color w:val="000000"/>
          <w:sz w:val="20"/>
        </w:rPr>
        <w:t>transaction costs, related to legal, accounting, and financial advisory services and transferred prepaid assets.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4. Fair Value Measurement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presents information about the Company’s financial assets measured at fair value on a recurring basis and indicates the level of the fair value hierarchy utilized to determine such fair values as of September 30, 2023 and December 31, 2022:</w:t>
      </w:r>
      <w:r>
        <w:rPr>
          <w:rFonts w:ascii="Times New Roman" w:hAnsi="Times New Roman"/>
          <w:color w:val="000000"/>
          <w:sz w:val="20"/>
        </w:rPr>
        <w:t xml:space="preserve"> </w:t>
      </w:r>
    </w:p>
    <w:tbl>
      <w:tblPr>
        <w:tblW w:w="8308" w:type="dxa"/>
        <w:jc w:val="left"/>
        <w:tblInd w:w="0" w:type="dxa"/>
        <w:tblLayout w:type="fixed"/>
        <w:tblCellMar>
          <w:top w:w="28" w:type="dxa"/>
          <w:left w:w="28" w:type="dxa"/>
          <w:bottom w:w="28" w:type="dxa"/>
          <w:right w:w="28" w:type="dxa"/>
        </w:tblCellMar>
      </w:tblPr>
      <w:tblGrid>
        <w:gridCol w:w="3651"/>
        <w:gridCol w:w="146"/>
        <w:gridCol w:w="211"/>
        <w:gridCol w:w="781"/>
        <w:gridCol w:w="146"/>
        <w:gridCol w:w="146"/>
        <w:gridCol w:w="239"/>
        <w:gridCol w:w="391"/>
        <w:gridCol w:w="146"/>
        <w:gridCol w:w="146"/>
        <w:gridCol w:w="239"/>
        <w:gridCol w:w="391"/>
        <w:gridCol w:w="146"/>
        <w:gridCol w:w="146"/>
        <w:gridCol w:w="211"/>
        <w:gridCol w:w="7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Cash equivalents </w:t>
            </w:r>
            <w:r>
              <w:rPr>
                <w:rFonts w:ascii="Times New Roman" w:hAnsi="Times New Roman"/>
                <w:color w:val="000000"/>
                <w:sz w:val="20"/>
              </w:rPr>
              <w:t>— </w:t>
            </w: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16" w:type="dxa"/>
        <w:jc w:val="left"/>
        <w:tblInd w:w="0" w:type="dxa"/>
        <w:tblLayout w:type="fixed"/>
        <w:tblCellMar>
          <w:top w:w="28" w:type="dxa"/>
          <w:left w:w="28" w:type="dxa"/>
          <w:bottom w:w="28" w:type="dxa"/>
          <w:right w:w="28" w:type="dxa"/>
        </w:tblCellMar>
      </w:tblPr>
      <w:tblGrid>
        <w:gridCol w:w="3651"/>
        <w:gridCol w:w="146"/>
        <w:gridCol w:w="212"/>
        <w:gridCol w:w="681"/>
        <w:gridCol w:w="147"/>
        <w:gridCol w:w="147"/>
        <w:gridCol w:w="238"/>
        <w:gridCol w:w="392"/>
        <w:gridCol w:w="147"/>
        <w:gridCol w:w="147"/>
        <w:gridCol w:w="238"/>
        <w:gridCol w:w="392"/>
        <w:gridCol w:w="147"/>
        <w:gridCol w:w="147"/>
        <w:gridCol w:w="212"/>
        <w:gridCol w:w="6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93"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893"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equivalents — money market funds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91,095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91,095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fair value of cash equivalents was determined through quoted prices by third-party pricing services.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2023, there were no</w:t>
      </w:r>
      <w:r>
        <w:rPr>
          <w:rFonts w:ascii="Times New Roman" w:hAnsi="Times New Roman"/>
          <w:color w:val="000000"/>
          <w:sz w:val="20"/>
        </w:rPr>
        <w:t xml:space="preserve"> </w:t>
      </w:r>
      <w:r>
        <w:rPr>
          <w:rFonts w:ascii="Times New Roman" w:hAnsi="Times New Roman"/>
          <w:b w:val="false"/>
          <w:color w:val="000000"/>
          <w:sz w:val="20"/>
        </w:rPr>
        <w:t>transfers between levels.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Supplemental Balance Sheet Information</w:t>
      </w:r>
    </w:p>
    <w:p>
      <w:pPr>
        <w:pStyle w:val="TextBody"/>
        <w:bidi w:val="0"/>
        <w:spacing w:before="12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Prepaid expenses and other current assets consisted of the following:</w:t>
      </w:r>
      <w:r>
        <w:rPr>
          <w:rFonts w:ascii="Times New Roman" w:hAnsi="Times New Roman"/>
          <w:color w:val="000000"/>
          <w:sz w:val="20"/>
        </w:rPr>
        <w:t xml:space="preserve"> </w:t>
      </w:r>
    </w:p>
    <w:tbl>
      <w:tblPr>
        <w:tblW w:w="6540" w:type="dxa"/>
        <w:jc w:val="left"/>
        <w:tblInd w:w="0" w:type="dxa"/>
        <w:tblLayout w:type="fixed"/>
        <w:tblCellMar>
          <w:top w:w="28" w:type="dxa"/>
          <w:left w:w="28" w:type="dxa"/>
          <w:bottom w:w="28" w:type="dxa"/>
          <w:right w:w="28" w:type="dxa"/>
        </w:tblCellMar>
      </w:tblPr>
      <w:tblGrid>
        <w:gridCol w:w="3676"/>
        <w:gridCol w:w="146"/>
        <w:gridCol w:w="307"/>
        <w:gridCol w:w="833"/>
        <w:gridCol w:w="146"/>
        <w:gridCol w:w="146"/>
        <w:gridCol w:w="294"/>
        <w:gridCol w:w="8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research and development expenses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4,509</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compensation benefits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Tax incentive refund</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and equipment, net consisted of the following:</w:t>
      </w:r>
      <w:r>
        <w:rPr>
          <w:rFonts w:ascii="Times New Roman" w:hAnsi="Times New Roman"/>
          <w:color w:val="000000"/>
          <w:sz w:val="20"/>
        </w:rPr>
        <w:t xml:space="preserve"> </w:t>
      </w:r>
    </w:p>
    <w:tbl>
      <w:tblPr>
        <w:tblW w:w="7140" w:type="dxa"/>
        <w:jc w:val="left"/>
        <w:tblInd w:w="0" w:type="dxa"/>
        <w:tblLayout w:type="fixed"/>
        <w:tblCellMar>
          <w:top w:w="28" w:type="dxa"/>
          <w:left w:w="28" w:type="dxa"/>
          <w:bottom w:w="28" w:type="dxa"/>
          <w:right w:w="28" w:type="dxa"/>
        </w:tblCellMar>
      </w:tblPr>
      <w:tblGrid>
        <w:gridCol w:w="4156"/>
        <w:gridCol w:w="146"/>
        <w:gridCol w:w="285"/>
        <w:gridCol w:w="855"/>
        <w:gridCol w:w="166"/>
        <w:gridCol w:w="146"/>
        <w:gridCol w:w="274"/>
        <w:gridCol w:w="821"/>
        <w:gridCol w:w="2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Laboratory and office equipment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5,967</w:t>
            </w:r>
          </w:p>
        </w:tc>
        <w:tc>
          <w:tcPr>
            <w:tcW w:w="2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2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6,698</w:t>
            </w:r>
          </w:p>
        </w:tc>
        <w:tc>
          <w:tcPr>
            <w:tcW w:w="2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(3,804</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Reclassified to held for sale</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5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Reclassified to held for sale</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Loss on impairment</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Sales</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Held for Sale</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b w:val="false"/>
          <w:color w:val="000000"/>
          <w:sz w:val="20"/>
        </w:rPr>
        <w:t>As of September 30, 2023, the Company had $185</w:t>
      </w:r>
      <w:r>
        <w:rPr>
          <w:rFonts w:ascii="Times New Roman" w:hAnsi="Times New Roman"/>
          <w:color w:val="000000"/>
          <w:sz w:val="20"/>
        </w:rPr>
        <w:t xml:space="preserve"> </w:t>
      </w:r>
      <w:r>
        <w:rPr>
          <w:rFonts w:ascii="Times New Roman" w:hAnsi="Times New Roman"/>
          <w:b w:val="false"/>
          <w:color w:val="000000"/>
          <w:sz w:val="20"/>
        </w:rPr>
        <w:t>of property and equipment classified as held for sale, and the Company's intention is to complete the sale of these assets within the fourth quarter of 2023. During the three and nine months ended September 30, 2023, $2,285</w:t>
      </w:r>
      <w:r>
        <w:rPr>
          <w:rFonts w:ascii="Times New Roman" w:hAnsi="Times New Roman"/>
          <w:color w:val="000000"/>
          <w:sz w:val="20"/>
        </w:rPr>
        <w:t xml:space="preserve"> </w:t>
      </w:r>
      <w:r>
        <w:rPr>
          <w:rFonts w:ascii="Times New Roman" w:hAnsi="Times New Roman"/>
          <w:b w:val="false"/>
          <w:color w:val="000000"/>
          <w:sz w:val="20"/>
        </w:rPr>
        <w:t>of assets were reclassified as held for sale and $1,198</w:t>
      </w:r>
      <w:r>
        <w:rPr>
          <w:rFonts w:ascii="Times New Roman" w:hAnsi="Times New Roman"/>
          <w:color w:val="000000"/>
          <w:sz w:val="20"/>
        </w:rPr>
        <w:t xml:space="preserve"> </w:t>
      </w:r>
      <w:r>
        <w:rPr>
          <w:rFonts w:ascii="Times New Roman" w:hAnsi="Times New Roman"/>
          <w:b w:val="false"/>
          <w:color w:val="000000"/>
          <w:sz w:val="20"/>
        </w:rPr>
        <w:t>were sold. For the three and nine months ended September 30, 2023, the Company recognized $902</w:t>
      </w:r>
      <w:r>
        <w:rPr>
          <w:rFonts w:ascii="Times New Roman" w:hAnsi="Times New Roman"/>
          <w:color w:val="000000"/>
          <w:sz w:val="20"/>
        </w:rPr>
        <w:t xml:space="preserve"> </w:t>
      </w:r>
      <w:r>
        <w:rPr>
          <w:rFonts w:ascii="Times New Roman" w:hAnsi="Times New Roman"/>
          <w:b w:val="false"/>
          <w:color w:val="000000"/>
          <w:sz w:val="20"/>
        </w:rPr>
        <w:t>as a loss on impairment on assets.</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depreciation or amortization expense was recognized for the three months ended September 30, 2023. Depreciation and amortization expense was $617</w:t>
      </w:r>
      <w:r>
        <w:rPr>
          <w:rFonts w:ascii="Times New Roman" w:hAnsi="Times New Roman"/>
          <w:color w:val="000000"/>
          <w:sz w:val="20"/>
        </w:rPr>
        <w:t xml:space="preserve"> </w:t>
      </w:r>
      <w:r>
        <w:rPr>
          <w:rFonts w:ascii="Times New Roman" w:hAnsi="Times New Roman"/>
          <w:b w:val="false"/>
          <w:color w:val="000000"/>
          <w:sz w:val="20"/>
        </w:rPr>
        <w:t>for the nine months ended September 30, 2023. Depreciation and amortization expense was $336</w:t>
      </w:r>
      <w:r>
        <w:rPr>
          <w:rFonts w:ascii="Times New Roman" w:hAnsi="Times New Roman"/>
          <w:color w:val="000000"/>
          <w:sz w:val="20"/>
        </w:rPr>
        <w:t xml:space="preserve"> </w:t>
      </w:r>
      <w:r>
        <w:rPr>
          <w:rFonts w:ascii="Times New Roman" w:hAnsi="Times New Roman"/>
          <w:b w:val="false"/>
          <w:color w:val="000000"/>
          <w:sz w:val="20"/>
        </w:rPr>
        <w:t>and $1,105, respectively, for the three and nine months ended September 30,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As of September 30, 2023 and December 31, 2022, the Company had restricted cash as presented in the table below, which consists of cash used to secure letters of credit for the benefit of the landlord in connection with the Company’s lease agreements. The cash will be restricted until the termination or modification of the lease arrangement.</w:t>
      </w:r>
    </w:p>
    <w:tbl>
      <w:tblPr>
        <w:tblW w:w="6840" w:type="dxa"/>
        <w:jc w:val="left"/>
        <w:tblInd w:w="0" w:type="dxa"/>
        <w:tblLayout w:type="fixed"/>
        <w:tblCellMar>
          <w:top w:w="28" w:type="dxa"/>
          <w:left w:w="28" w:type="dxa"/>
          <w:bottom w:w="28" w:type="dxa"/>
          <w:right w:w="28" w:type="dxa"/>
        </w:tblCellMar>
      </w:tblPr>
      <w:tblGrid>
        <w:gridCol w:w="3166"/>
        <w:gridCol w:w="146"/>
        <w:gridCol w:w="514"/>
        <w:gridCol w:w="1031"/>
        <w:gridCol w:w="146"/>
        <w:gridCol w:w="146"/>
        <w:gridCol w:w="499"/>
        <w:gridCol w:w="100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center"/>
              <w:rPr/>
            </w:pPr>
            <w:r>
              <w:rPr/>
              <w:t> </w:t>
            </w:r>
          </w:p>
        </w:tc>
        <w:tc>
          <w:tcPr>
            <w:tcW w:w="5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 net of current portion</w:t>
            </w:r>
          </w:p>
        </w:tc>
        <w:tc>
          <w:tcPr>
            <w:tcW w:w="146" w:type="dxa"/>
            <w:tcBorders/>
            <w:shd w:fill="CFF0FC" w:val="clear"/>
            <w:vAlign w:val="center"/>
          </w:tcPr>
          <w:p>
            <w:pPr>
              <w:pStyle w:val="TableContents"/>
              <w:bidi w:val="0"/>
              <w:spacing w:before="0" w:after="283"/>
              <w:jc w:val="center"/>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Accrued expenses and other current liabilities consisted of the following:</w:t>
      </w:r>
      <w:r>
        <w:rPr>
          <w:rFonts w:ascii="Times New Roman" w:hAnsi="Times New Roman"/>
          <w:color w:val="000000"/>
          <w:sz w:val="20"/>
        </w:rPr>
        <w:t xml:space="preserve"> </w:t>
      </w:r>
    </w:p>
    <w:tbl>
      <w:tblPr>
        <w:tblW w:w="6690" w:type="dxa"/>
        <w:jc w:val="left"/>
        <w:tblInd w:w="0" w:type="dxa"/>
        <w:tblLayout w:type="fixed"/>
        <w:tblCellMar>
          <w:top w:w="28" w:type="dxa"/>
          <w:left w:w="28" w:type="dxa"/>
          <w:bottom w:w="28" w:type="dxa"/>
          <w:right w:w="28" w:type="dxa"/>
        </w:tblCellMar>
      </w:tblPr>
      <w:tblGrid>
        <w:gridCol w:w="3826"/>
        <w:gridCol w:w="146"/>
        <w:gridCol w:w="307"/>
        <w:gridCol w:w="833"/>
        <w:gridCol w:w="146"/>
        <w:gridCol w:w="146"/>
        <w:gridCol w:w="260"/>
        <w:gridCol w:w="835"/>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6,122</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Compensation and benefit costs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4,175</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Consulting and professional fees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On August 31, 2018, the Company entered into a sublease agreement for office and lab space located in Cambridge Massachusetts, United States, which was set to expire in October 2020. On June 9, 2020, the Company amended the terms of the sublease, which was set to expire in April 2022. Effective January 1, 2022, the Company amended the terms of the sublease, to extend the term through April 2023. In July 2022, the Company moved its corporate headquarters to its subleased space in this location.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September 30, 2023 and December 31, 2022. In July 2023, the Company ceased use of the lab space. This resulted in an impairment of the right of use asset of $940, recognized in the third quarter of 2023.</w:t>
      </w:r>
      <w:r>
        <w:rPr>
          <w:rFonts w:ascii="Times New Roman" w:hAnsi="Times New Roman"/>
          <w:color w:val="000000"/>
          <w:sz w:val="20"/>
        </w:rPr>
        <w:t xml:space="preserve"> </w:t>
      </w:r>
    </w:p>
    <w:p>
      <w:pPr>
        <w:pStyle w:val="TextBody"/>
        <w:bidi w:val="0"/>
        <w:spacing w:before="120" w:after="240"/>
        <w:jc w:val="left"/>
        <w:rPr>
          <w:rFonts w:ascii="Times New Roman" w:hAnsi="Times New Roman"/>
          <w:b w:val="false"/>
          <w:color w:val="000000"/>
          <w:sz w:val="20"/>
        </w:rPr>
      </w:pPr>
      <w:r>
        <w:rPr>
          <w:rFonts w:ascii="Times New Roman" w:hAnsi="Times New Roman"/>
          <w:b w:val="false"/>
          <w:color w:val="000000"/>
          <w:sz w:val="20"/>
        </w:rPr>
        <w:t>On June 1, 2020, the Company entered into a lease agreement for office space located in Toronto, Ontario, Canada, which is set to expire in June 2025. The annual lease payments are fixed for years 1 and 2, and then subject to a 6.67% increase for years 3 through 5. In accordance with the lease agreement, the Company is required to maintain a security deposit of CAD$27, which was recorded in other long-term assets as of September 30, 2023 and December 31, 2022. In October 2022, the Company entered into a sublease agreement to sublease this space. The term of the sublease agreement commenced on October 1, 2022 and expires on June 29, 2025.</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the effect of lease costs in the Company’s consolidated statement of operations and comprehensive income (loss):</w:t>
      </w:r>
    </w:p>
    <w:tbl>
      <w:tblPr>
        <w:tblW w:w="5319" w:type="dxa"/>
        <w:jc w:val="left"/>
        <w:tblInd w:w="0" w:type="dxa"/>
        <w:tblLayout w:type="fixed"/>
        <w:tblCellMar>
          <w:top w:w="28" w:type="dxa"/>
          <w:left w:w="28" w:type="dxa"/>
          <w:bottom w:w="28" w:type="dxa"/>
          <w:right w:w="28" w:type="dxa"/>
        </w:tblCellMar>
      </w:tblPr>
      <w:tblGrid>
        <w:gridCol w:w="1931"/>
        <w:gridCol w:w="146"/>
        <w:gridCol w:w="894"/>
        <w:gridCol w:w="1791"/>
        <w:gridCol w:w="166"/>
        <w:gridCol w:w="391"/>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ind w:left="0" w:right="0" w:firstLine="100"/>
              <w:jc w:val="center"/>
              <w:rPr/>
            </w:pPr>
            <w:r>
              <w:rPr/>
              <w:t> </w:t>
            </w:r>
          </w:p>
        </w:tc>
      </w:tr>
      <w:tr>
        <w:trPr/>
        <w:tc>
          <w:tcPr>
            <w:tcW w:w="19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w:t>
            </w:r>
          </w:p>
        </w:tc>
        <w:tc>
          <w:tcPr>
            <w:tcW w:w="16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9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Sublease income</w:t>
            </w:r>
          </w:p>
        </w:tc>
        <w:tc>
          <w:tcPr>
            <w:tcW w:w="146" w:type="dxa"/>
            <w:tcBorders/>
            <w:shd w:fill="FFFFFF" w:val="cle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b w:val="false"/>
          <w:color w:val="000000"/>
          <w:sz w:val="20"/>
        </w:rPr>
        <w:t>During the three months ended September 30, 2023 and 2022, the Company made cash payments for operating leases of $706</w:t>
      </w:r>
      <w:r>
        <w:rPr>
          <w:rFonts w:ascii="Times New Roman" w:hAnsi="Times New Roman"/>
          <w:color w:val="000000"/>
          <w:sz w:val="20"/>
        </w:rPr>
        <w:t xml:space="preserve"> </w:t>
      </w:r>
      <w:r>
        <w:rPr>
          <w:rFonts w:ascii="Times New Roman" w:hAnsi="Times New Roman"/>
          <w:b w:val="false"/>
          <w:color w:val="000000"/>
          <w:sz w:val="20"/>
        </w:rPr>
        <w:t>and $831, respectively. During the nine months ended September 30, 2023 and 2022, the Company made cash payments for operating leases of $2,088</w:t>
      </w:r>
      <w:r>
        <w:rPr>
          <w:rFonts w:ascii="Times New Roman" w:hAnsi="Times New Roman"/>
          <w:color w:val="000000"/>
          <w:sz w:val="20"/>
        </w:rPr>
        <w:t xml:space="preserve"> </w:t>
      </w:r>
      <w:r>
        <w:rPr>
          <w:rFonts w:ascii="Times New Roman" w:hAnsi="Times New Roman"/>
          <w:b w:val="false"/>
          <w:color w:val="000000"/>
          <w:sz w:val="20"/>
        </w:rPr>
        <w:t>and $2,493, respectively.</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As of September 30, 2023, future minimum payments of operating lease liabilities are as follows (in thousands):</w:t>
      </w:r>
    </w:p>
    <w:tbl>
      <w:tblPr>
        <w:tblW w:w="4563" w:type="dxa"/>
        <w:jc w:val="left"/>
        <w:tblInd w:w="0" w:type="dxa"/>
        <w:tblLayout w:type="fixed"/>
        <w:tblCellMar>
          <w:top w:w="28" w:type="dxa"/>
          <w:left w:w="28" w:type="dxa"/>
          <w:bottom w:w="28" w:type="dxa"/>
          <w:right w:w="28" w:type="dxa"/>
        </w:tblCellMar>
      </w:tblPr>
      <w:tblGrid>
        <w:gridCol w:w="2886"/>
        <w:gridCol w:w="146"/>
        <w:gridCol w:w="307"/>
        <w:gridCol w:w="833"/>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1,808</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interest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Plus: FX gain/loss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Present value of lease liabilities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b w:val="false"/>
          <w:color w:val="000000"/>
          <w:sz w:val="20"/>
        </w:rPr>
        <w:t>As of September 30, 2023, the weighted average remaining lease term was 0.8 years and the weighted average incremental borrowing rate used to determine the operating lease liability was 15.59%. As of September 30, 2022, the weighted average remaining lease term was 1.0</w:t>
      </w:r>
      <w:r>
        <w:rPr>
          <w:rFonts w:ascii="Times New Roman" w:hAnsi="Times New Roman"/>
          <w:color w:val="000000"/>
          <w:sz w:val="20"/>
        </w:rPr>
        <w:t xml:space="preserve"> </w:t>
      </w:r>
      <w:r>
        <w:rPr>
          <w:rFonts w:ascii="Times New Roman" w:hAnsi="Times New Roman"/>
          <w:b w:val="false"/>
          <w:color w:val="000000"/>
          <w:sz w:val="20"/>
        </w:rPr>
        <w:t>year and the weighted average incremental borrowing rate used to determine the operating lease liability was 10.51%.</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from time to time, may be party to litigation arising in the ordinary course of business. The Company was not subject to any material legal proceedings during the nine months ended September 30, 2023 and 2022 and to the best of the Company’s knowledge, no material legal proceedings are currently pending or threatened.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Company is also party to various agreements, principally relating to licensed technology, that require future payments relating to milestones not met at September 30, 2023 and December 31, 2022, or royalties on future sales. No milestone or royalty payments under these agreements are expected to be payable in the immediate future, except as disclosed in Note 3 </w:t>
      </w:r>
      <w:r>
        <w:rPr>
          <w:rFonts w:ascii="Times New Roman" w:hAnsi="Times New Roman"/>
          <w:color w:val="000000"/>
          <w:sz w:val="20"/>
        </w:rPr>
        <w:t>“</w:t>
      </w:r>
      <w:r>
        <w:rPr>
          <w:rFonts w:ascii="Times New Roman" w:hAnsi="Times New Roman"/>
          <w:b w:val="false"/>
          <w:i/>
          <w:color w:val="000000"/>
          <w:sz w:val="20"/>
        </w:rPr>
        <w:t>License Agreements.”</w:t>
      </w:r>
      <w:r>
        <w:rPr>
          <w:rFonts w:ascii="Times New Roman" w:hAnsi="Times New Roman"/>
          <w:color w:val="000000"/>
          <w:sz w:val="20"/>
        </w:rPr>
        <w:t xml:space="preserve"> </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September 30, 2023.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8. Note Payable</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On November 2, 2021 (the “Closing Date”), the Company entered into a Loan and Security Agreement (the “Loan Agreement”) with Silicon Valley Bank (“SVB”) pursuant to which a term loan in an aggregate principal amount of up to $50,000</w:t>
      </w:r>
      <w:r>
        <w:rPr>
          <w:rFonts w:ascii="Times New Roman" w:hAnsi="Times New Roman"/>
          <w:color w:val="000000"/>
          <w:sz w:val="20"/>
        </w:rPr>
        <w:t xml:space="preserve"> </w:t>
      </w:r>
      <w:r>
        <w:rPr>
          <w:rFonts w:ascii="Times New Roman" w:hAnsi="Times New Roman"/>
          <w:b w:val="false"/>
          <w:color w:val="000000"/>
          <w:sz w:val="20"/>
        </w:rPr>
        <w:t>(the “Term Loan Facility”) was available to the Company in three</w:t>
      </w:r>
      <w:r>
        <w:rPr>
          <w:rFonts w:ascii="Times New Roman" w:hAnsi="Times New Roman"/>
          <w:color w:val="000000"/>
          <w:sz w:val="20"/>
        </w:rPr>
        <w:t xml:space="preserve"> </w:t>
      </w:r>
      <w:r>
        <w:rPr>
          <w:rFonts w:ascii="Times New Roman" w:hAnsi="Times New Roman"/>
          <w:b w:val="false"/>
          <w:color w:val="000000"/>
          <w:sz w:val="20"/>
        </w:rPr>
        <w:t>tranches, subject to certain terms and conditions. The first tranche of $15,000</w:t>
      </w:r>
      <w:r>
        <w:rPr>
          <w:rFonts w:ascii="Times New Roman" w:hAnsi="Times New Roman"/>
          <w:color w:val="000000"/>
          <w:sz w:val="20"/>
        </w:rPr>
        <w:t xml:space="preserve"> </w:t>
      </w:r>
      <w:r>
        <w:rPr>
          <w:rFonts w:ascii="Times New Roman" w:hAnsi="Times New Roman"/>
          <w:b w:val="false"/>
          <w:color w:val="000000"/>
          <w:sz w:val="20"/>
        </w:rPr>
        <w:t>was advanced to the Company on the Closing Date. Subject to the terms and conditions of the Loan Agreement, the first tranche allowed the Company to borrow an additional $15,000</w:t>
      </w:r>
      <w:r>
        <w:rPr>
          <w:rFonts w:ascii="Times New Roman" w:hAnsi="Times New Roman"/>
          <w:color w:val="000000"/>
          <w:sz w:val="20"/>
        </w:rPr>
        <w:t xml:space="preserve"> </w:t>
      </w:r>
      <w:r>
        <w:rPr>
          <w:rFonts w:ascii="Times New Roman" w:hAnsi="Times New Roman"/>
          <w:b w:val="false"/>
          <w:color w:val="000000"/>
          <w:sz w:val="20"/>
        </w:rPr>
        <w:t>through October 31, 2023. Upon satisfaction of certain milestones, the second and third tranches were available under the Term Loan Facility which allowed the Company to borrow an additional amount up to $10,000</w:t>
      </w:r>
      <w:r>
        <w:rPr>
          <w:rFonts w:ascii="Times New Roman" w:hAnsi="Times New Roman"/>
          <w:color w:val="000000"/>
          <w:sz w:val="20"/>
        </w:rPr>
        <w:t xml:space="preserve"> </w:t>
      </w:r>
      <w:r>
        <w:rPr>
          <w:rFonts w:ascii="Times New Roman" w:hAnsi="Times New Roman"/>
          <w:b w:val="false"/>
          <w:color w:val="000000"/>
          <w:sz w:val="20"/>
        </w:rPr>
        <w:t>in each tranche through October 31, 2023. Additionally, the Company could seek to borrow up to an additional $15,000</w:t>
      </w:r>
      <w:r>
        <w:rPr>
          <w:rFonts w:ascii="Times New Roman" w:hAnsi="Times New Roman"/>
          <w:color w:val="000000"/>
          <w:sz w:val="20"/>
        </w:rPr>
        <w:t xml:space="preserve"> </w:t>
      </w:r>
      <w:r>
        <w:rPr>
          <w:rFonts w:ascii="Times New Roman" w:hAnsi="Times New Roman"/>
          <w:b w:val="false"/>
          <w:color w:val="000000"/>
          <w:sz w:val="20"/>
        </w:rPr>
        <w:t>at the sole discretion of the lender through the term of the Loan Agreement. The Loan Agreement provided for an October 1, 2026</w:t>
      </w:r>
      <w:r>
        <w:rPr>
          <w:rFonts w:ascii="Times New Roman" w:hAnsi="Times New Roman"/>
          <w:color w:val="000000"/>
          <w:sz w:val="20"/>
        </w:rPr>
        <w:t xml:space="preserve"> </w:t>
      </w:r>
      <w:r>
        <w:rPr>
          <w:rFonts w:ascii="Times New Roman" w:hAnsi="Times New Roman"/>
          <w:b w:val="false"/>
          <w:color w:val="000000"/>
          <w:sz w:val="20"/>
        </w:rPr>
        <w:t>maturity date (the “Maturity Date”). The Company was required to pay an end of term fee (“End of Term Charge”) equal to 9.00% of the aggregate principal amount of the Term Loan advances upon repayment.</w:t>
      </w:r>
      <w:r>
        <w:rPr>
          <w:rFonts w:ascii="Times New Roman" w:hAnsi="Times New Roman"/>
          <w:color w:val="000000"/>
          <w:sz w:val="20"/>
        </w:rPr>
        <w:t xml:space="preserve"> </w:t>
      </w:r>
    </w:p>
    <w:p>
      <w:pPr>
        <w:pStyle w:val="TextBody"/>
        <w:bidi w:val="0"/>
        <w:spacing w:before="120" w:after="240"/>
        <w:jc w:val="left"/>
        <w:rPr>
          <w:rFonts w:ascii="Times New Roman" w:hAnsi="Times New Roman"/>
          <w:b w:val="false"/>
          <w:color w:val="000000"/>
          <w:sz w:val="20"/>
        </w:rPr>
      </w:pPr>
      <w:r>
        <w:rPr>
          <w:rFonts w:ascii="Times New Roman" w:hAnsi="Times New Roman"/>
          <w:b w:val="false"/>
          <w:color w:val="000000"/>
          <w:sz w:val="20"/>
        </w:rPr>
        <w:t>Advances under the Term Loan Facility bore interest at a rate equal to the greater of either (i) the Prime Rate (as reported in The Wall Street Journal) plus 4.85%, and (ii) 8.10%. The Company was obligated to make interest only payments through November 1, 2024. Following the interest only period, the Company was to repay the principal balance and interest of the advances in equal monthly installments through October 1, 2026.</w:t>
      </w:r>
    </w:p>
    <w:p>
      <w:pPr>
        <w:pStyle w:val="TextBody"/>
        <w:bidi w:val="0"/>
        <w:spacing w:before="120" w:after="240"/>
        <w:jc w:val="left"/>
        <w:rPr>
          <w:rFonts w:ascii="Times New Roman" w:hAnsi="Times New Roman"/>
          <w:b w:val="false"/>
          <w:color w:val="000000"/>
          <w:sz w:val="20"/>
        </w:rPr>
      </w:pPr>
      <w:r>
        <w:rPr>
          <w:rFonts w:ascii="Times New Roman" w:hAnsi="Times New Roman"/>
          <w:b w:val="false"/>
          <w:color w:val="000000"/>
          <w:sz w:val="20"/>
        </w:rPr>
        <w:t>The Company could prepay advances under the Loan Agreement, in whole or in part, at any time subject to a prepayment charge (the “Prepayment Premium”) equal to: (a) 1.50% of amounts so prepaid, if such prepayment occurred during the first year following the Closing Date; (b) 1.00% of the amount so prepaid, if such prepayment occurred during the second year following the Closing Date; and (c) 0.00% of the amount so prepaid, if such prepayment occurred after the second year following the Closing Date.</w:t>
      </w:r>
    </w:p>
    <w:p>
      <w:pPr>
        <w:pStyle w:val="TextBody"/>
        <w:bidi w:val="0"/>
        <w:spacing w:before="120" w:after="240"/>
        <w:jc w:val="left"/>
        <w:rPr>
          <w:rFonts w:ascii="Times New Roman" w:hAnsi="Times New Roman"/>
          <w:b w:val="false"/>
          <w:color w:val="000000"/>
          <w:sz w:val="20"/>
        </w:rPr>
      </w:pPr>
      <w:r>
        <w:rPr>
          <w:rFonts w:ascii="Times New Roman" w:hAnsi="Times New Roman"/>
          <w:b w:val="false"/>
          <w:color w:val="000000"/>
          <w:sz w:val="20"/>
        </w:rPr>
        <w:t>Upon prepayment or repayment of all or any of the term loans under the Term Loan Facility, the Company was required to pay (in addition to any Prepayment Premium) an end of term charge of 9.0% of the aggregate funded amount under the Term Loan Facility.</w:t>
      </w:r>
    </w:p>
    <w:p>
      <w:pPr>
        <w:pStyle w:val="TextBody"/>
        <w:bidi w:val="0"/>
        <w:spacing w:before="120" w:after="240"/>
        <w:jc w:val="left"/>
        <w:rPr>
          <w:rFonts w:ascii="Times New Roman" w:hAnsi="Times New Roman"/>
          <w:b w:val="false"/>
          <w:color w:val="000000"/>
          <w:sz w:val="20"/>
        </w:rPr>
      </w:pPr>
      <w:r>
        <w:rPr>
          <w:rFonts w:ascii="Times New Roman" w:hAnsi="Times New Roman"/>
          <w:b w:val="false"/>
          <w:color w:val="000000"/>
          <w:sz w:val="20"/>
        </w:rPr>
        <w:t>The Term Loan Facility was secured by substantially all of the Company’s assets, other than the Company’s intellectual property. The Company agreed to not pledge or secure its intellectual property to others.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The End of Term Charge is recorded as a debt discount with an initial carrying balance of $1,350. During the year ended December 31, 2021 the Company recognized $103</w:t>
      </w:r>
      <w:r>
        <w:rPr>
          <w:rFonts w:ascii="Times New Roman" w:hAnsi="Times New Roman"/>
          <w:color w:val="000000"/>
          <w:sz w:val="20"/>
        </w:rPr>
        <w:t xml:space="preserve"> </w:t>
      </w:r>
      <w:r>
        <w:rPr>
          <w:rFonts w:ascii="Times New Roman" w:hAnsi="Times New Roman"/>
          <w:b w:val="false"/>
          <w:color w:val="000000"/>
          <w:sz w:val="20"/>
        </w:rPr>
        <w:t>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was approximately 16.29%.</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On June 9, 2023, upon the closing of the Asset Sale, all outstanding amounts due and owed, including principal, interest, and other charges, under the Term Loan Facility,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During the three months ended September 30, 2023</w:t>
      </w:r>
      <w:r>
        <w:rPr>
          <w:rFonts w:ascii="Times New Roman" w:hAnsi="Times New Roman"/>
          <w:color w:val="000000"/>
          <w:sz w:val="20"/>
        </w:rPr>
        <w:t xml:space="preserve"> </w:t>
      </w:r>
      <w:r>
        <w:rPr>
          <w:rFonts w:ascii="Times New Roman" w:hAnsi="Times New Roman"/>
          <w:b w:val="false"/>
          <w:color w:val="000000"/>
          <w:sz w:val="20"/>
        </w:rPr>
        <w:t>the Company did not recognize any interest expense related to the Loan Agreement, and during the three months ended September 30, 2022</w:t>
      </w:r>
      <w:r>
        <w:rPr>
          <w:rFonts w:ascii="Times New Roman" w:hAnsi="Times New Roman"/>
          <w:color w:val="000000"/>
          <w:sz w:val="20"/>
        </w:rPr>
        <w:t xml:space="preserve"> </w:t>
      </w:r>
      <w:r>
        <w:rPr>
          <w:rFonts w:ascii="Times New Roman" w:hAnsi="Times New Roman"/>
          <w:b w:val="false"/>
          <w:color w:val="000000"/>
          <w:sz w:val="20"/>
        </w:rPr>
        <w:t>the Company recognized $482</w:t>
      </w:r>
      <w:r>
        <w:rPr>
          <w:rFonts w:ascii="Times New Roman" w:hAnsi="Times New Roman"/>
          <w:color w:val="000000"/>
          <w:sz w:val="20"/>
        </w:rPr>
        <w:t xml:space="preserve"> </w:t>
      </w:r>
      <w:r>
        <w:rPr>
          <w:rFonts w:ascii="Times New Roman" w:hAnsi="Times New Roman"/>
          <w:b w:val="false"/>
          <w:color w:val="000000"/>
          <w:sz w:val="20"/>
        </w:rPr>
        <w:t>of interest expense related to the Loan Agreement which is reflected in other (expense) income, net on the consolidated statements of operations and comprehensive income (loss), respectively. During the nine months ended September 30, 2023 and 2022, the Company recognized $1,917</w:t>
      </w:r>
      <w:r>
        <w:rPr>
          <w:rFonts w:ascii="Times New Roman" w:hAnsi="Times New Roman"/>
          <w:color w:val="000000"/>
          <w:sz w:val="20"/>
        </w:rPr>
        <w:t xml:space="preserve"> </w:t>
      </w:r>
      <w:r>
        <w:rPr>
          <w:rFonts w:ascii="Times New Roman" w:hAnsi="Times New Roman"/>
          <w:b w:val="false"/>
          <w:color w:val="000000"/>
          <w:sz w:val="20"/>
        </w:rPr>
        <w:t>and $1,280</w:t>
      </w:r>
      <w:r>
        <w:rPr>
          <w:rFonts w:ascii="Times New Roman" w:hAnsi="Times New Roman"/>
          <w:color w:val="000000"/>
          <w:sz w:val="20"/>
        </w:rPr>
        <w:t xml:space="preserve"> </w:t>
      </w:r>
      <w:r>
        <w:rPr>
          <w:rFonts w:ascii="Times New Roman" w:hAnsi="Times New Roman"/>
          <w:b w:val="false"/>
          <w:color w:val="000000"/>
          <w:sz w:val="20"/>
        </w:rPr>
        <w:t>of interest expense related to the Loan Agreement which is reflected in other (expense) income, net on the consolidated statements of operations and comprehensive income (loss), respectively. Of the $1,917</w:t>
      </w:r>
      <w:r>
        <w:rPr>
          <w:rFonts w:ascii="Times New Roman" w:hAnsi="Times New Roman"/>
          <w:color w:val="000000"/>
          <w:sz w:val="20"/>
        </w:rPr>
        <w:t xml:space="preserve"> </w:t>
      </w:r>
      <w:r>
        <w:rPr>
          <w:rFonts w:ascii="Times New Roman" w:hAnsi="Times New Roman"/>
          <w:b w:val="false"/>
          <w:color w:val="000000"/>
          <w:sz w:val="20"/>
        </w:rPr>
        <w:t>recognized during the nine months ended September 30, 2023, $939</w:t>
      </w:r>
      <w:r>
        <w:rPr>
          <w:rFonts w:ascii="Times New Roman" w:hAnsi="Times New Roman"/>
          <w:color w:val="000000"/>
          <w:sz w:val="20"/>
        </w:rPr>
        <w:t xml:space="preserve"> </w:t>
      </w:r>
      <w:r>
        <w:rPr>
          <w:rFonts w:ascii="Times New Roman" w:hAnsi="Times New Roman"/>
          <w:b w:val="false"/>
          <w:color w:val="000000"/>
          <w:sz w:val="20"/>
        </w:rPr>
        <w:t>is related to the loss on the extinguishment of debt due to the write off of the debt discount balance.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Stockholders’ Equity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w:t>
      </w:r>
      <w:r>
        <w:rPr>
          <w:rFonts w:ascii="Times New Roman" w:hAnsi="Times New Roman"/>
          <w:b/>
          <w:i/>
          <w:color w:val="000000"/>
          <w:sz w:val="20"/>
        </w:rPr>
        <w:t>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authorized capital stock of the Company included 150,000,000</w:t>
      </w:r>
      <w:r>
        <w:rPr>
          <w:rFonts w:ascii="Times New Roman" w:hAnsi="Times New Roman"/>
          <w:color w:val="000000"/>
          <w:sz w:val="20"/>
        </w:rPr>
        <w:t xml:space="preserve"> </w:t>
      </w:r>
      <w:r>
        <w:rPr>
          <w:rFonts w:ascii="Times New Roman" w:hAnsi="Times New Roman"/>
          <w:b w:val="false"/>
          <w:color w:val="000000"/>
          <w:sz w:val="20"/>
        </w:rPr>
        <w:t>shares of common stock, $0.0001</w:t>
      </w:r>
      <w:r>
        <w:rPr>
          <w:rFonts w:ascii="Times New Roman" w:hAnsi="Times New Roman"/>
          <w:color w:val="000000"/>
          <w:sz w:val="20"/>
        </w:rPr>
        <w:t xml:space="preserve"> </w:t>
      </w:r>
      <w:r>
        <w:rPr>
          <w:rFonts w:ascii="Times New Roman" w:hAnsi="Times New Roman"/>
          <w:b w:val="false"/>
          <w:color w:val="000000"/>
          <w:sz w:val="20"/>
        </w:rPr>
        <w:t>par value and 10,000,000</w:t>
      </w:r>
      <w:r>
        <w:rPr>
          <w:rFonts w:ascii="Times New Roman" w:hAnsi="Times New Roman"/>
          <w:color w:val="000000"/>
          <w:sz w:val="20"/>
        </w:rPr>
        <w:t xml:space="preserve"> </w:t>
      </w:r>
      <w:r>
        <w:rPr>
          <w:rFonts w:ascii="Times New Roman" w:hAnsi="Times New Roman"/>
          <w:b w:val="false"/>
          <w:color w:val="000000"/>
          <w:sz w:val="20"/>
        </w:rPr>
        <w:t>shares of undesignated preferred stock. As of September 30, 2023 and December 31, 2022, no</w:t>
      </w:r>
      <w:r>
        <w:rPr>
          <w:rFonts w:ascii="Times New Roman" w:hAnsi="Times New Roman"/>
          <w:color w:val="000000"/>
          <w:sz w:val="20"/>
        </w:rPr>
        <w:t xml:space="preserve"> </w:t>
      </w:r>
      <w:r>
        <w:rPr>
          <w:rFonts w:ascii="Times New Roman" w:hAnsi="Times New Roman"/>
          <w:b w:val="false"/>
          <w:color w:val="000000"/>
          <w:sz w:val="20"/>
        </w:rPr>
        <w:t>undesignated preferred stock was outstanding.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no</w:t>
      </w:r>
      <w:r>
        <w:rPr>
          <w:rFonts w:ascii="Times New Roman" w:hAnsi="Times New Roman"/>
          <w:color w:val="000000"/>
          <w:sz w:val="20"/>
        </w:rPr>
        <w:t xml:space="preserve"> </w:t>
      </w:r>
      <w:r>
        <w:rPr>
          <w:rFonts w:ascii="Times New Roman" w:hAnsi="Times New Roman"/>
          <w:b w:val="false"/>
          <w:color w:val="000000"/>
          <w:sz w:val="20"/>
        </w:rPr>
        <w:t>cash dividends have been declared or paid.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Common Stock Reserved for Future Issuance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As of September 30, 2023 and December 31, 2022, the Company has reserved the following shares of common stock for future issuance:</w:t>
      </w:r>
      <w:r>
        <w:rPr>
          <w:rFonts w:ascii="Times New Roman" w:hAnsi="Times New Roman"/>
          <w:color w:val="000000"/>
          <w:sz w:val="20"/>
        </w:rPr>
        <w:t xml:space="preserve"> </w:t>
      </w:r>
    </w:p>
    <w:tbl>
      <w:tblPr>
        <w:tblW w:w="9189" w:type="dxa"/>
        <w:jc w:val="left"/>
        <w:tblInd w:w="0" w:type="dxa"/>
        <w:tblLayout w:type="fixed"/>
        <w:tblCellMar>
          <w:top w:w="28" w:type="dxa"/>
          <w:left w:w="28" w:type="dxa"/>
          <w:bottom w:w="28" w:type="dxa"/>
          <w:right w:w="28" w:type="dxa"/>
        </w:tblCellMar>
      </w:tblPr>
      <w:tblGrid>
        <w:gridCol w:w="6196"/>
        <w:gridCol w:w="146"/>
        <w:gridCol w:w="146"/>
        <w:gridCol w:w="1036"/>
        <w:gridCol w:w="146"/>
        <w:gridCol w:w="146"/>
        <w:gridCol w:w="146"/>
        <w:gridCol w:w="103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reserved for exercise of 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5,922,447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9,423,271</w:t>
            </w:r>
          </w:p>
        </w:tc>
        <w:tc>
          <w:tcPr>
            <w:tcW w:w="191" w:type="dxa"/>
            <w:tcBorders/>
            <w:shd w:fill="CFF0FC"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reserved for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940,392</w:t>
            </w:r>
          </w:p>
        </w:tc>
        <w:tc>
          <w:tcPr>
            <w:tcW w:w="191" w:type="dxa"/>
            <w:tcBorders/>
            <w:shd w:fill="FFFFFF" w:val="cle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reserved for issuance under the 2018 Stock Option and Grant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7,287,262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5,005,295</w:t>
            </w:r>
          </w:p>
        </w:tc>
        <w:tc>
          <w:tcPr>
            <w:tcW w:w="191" w:type="dxa"/>
            <w:tcBorders/>
            <w:shd w:fill="CFF0FC"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reserved for issuance under the 2018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1,467,026</w:t>
            </w:r>
          </w:p>
        </w:tc>
        <w:tc>
          <w:tcPr>
            <w:tcW w:w="191" w:type="dxa"/>
            <w:tcBorders/>
            <w:shd w:fill="FFFFFF" w:val="cle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reserved for issuance under the 2019 Inducement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1,137,800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786,656</w:t>
            </w:r>
          </w:p>
        </w:tc>
        <w:tc>
          <w:tcPr>
            <w:tcW w:w="191" w:type="dxa"/>
            <w:tcBorders/>
            <w:shd w:fill="CFF0FC"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reserved for issuance under the 2020 Inducement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1,637,000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shares of authorized common stock reserved for future issuance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18,605,093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19,259,640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assumptions that the Company used to determine the grant-date fair value of stock options granted to employees and members of the Board were as follows, presented on a weighted-average basis:</w:t>
      </w:r>
      <w:r>
        <w:rPr>
          <w:rFonts w:ascii="Times New Roman" w:hAnsi="Times New Roman"/>
          <w:color w:val="000000"/>
          <w:sz w:val="20"/>
        </w:rPr>
        <w:t xml:space="preserve"> </w:t>
      </w:r>
    </w:p>
    <w:tbl>
      <w:tblPr>
        <w:tblW w:w="5425" w:type="dxa"/>
        <w:jc w:val="left"/>
        <w:tblInd w:w="0" w:type="dxa"/>
        <w:tblLayout w:type="fixed"/>
        <w:tblCellMar>
          <w:top w:w="28" w:type="dxa"/>
          <w:left w:w="28" w:type="dxa"/>
          <w:bottom w:w="28" w:type="dxa"/>
          <w:right w:w="28" w:type="dxa"/>
        </w:tblCellMar>
      </w:tblPr>
      <w:tblGrid>
        <w:gridCol w:w="2371"/>
        <w:gridCol w:w="146"/>
        <w:gridCol w:w="204"/>
        <w:gridCol w:w="800"/>
        <w:gridCol w:w="380"/>
        <w:gridCol w:w="204"/>
        <w:gridCol w:w="204"/>
        <w:gridCol w:w="800"/>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option life (years)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380"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w:t>
            </w:r>
          </w:p>
        </w:tc>
        <w:tc>
          <w:tcPr>
            <w:tcW w:w="31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w:t>
            </w:r>
          </w:p>
        </w:tc>
        <w:tc>
          <w:tcPr>
            <w:tcW w:w="3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83.36</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80.22</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3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The following table summarizes the Company’s stock option activity for the nine months ended September 30, 2023:</w:t>
      </w:r>
      <w:r>
        <w:rPr>
          <w:rFonts w:ascii="Times New Roman" w:hAnsi="Times New Roman"/>
          <w:color w:val="000000"/>
          <w:sz w:val="20"/>
        </w:rPr>
        <w:t xml:space="preserve"> </w:t>
      </w:r>
    </w:p>
    <w:tbl>
      <w:tblPr>
        <w:tblW w:w="8299" w:type="dxa"/>
        <w:jc w:val="left"/>
        <w:tblInd w:w="0" w:type="dxa"/>
        <w:tblLayout w:type="fixed"/>
        <w:tblCellMar>
          <w:top w:w="28" w:type="dxa"/>
          <w:left w:w="28" w:type="dxa"/>
          <w:bottom w:w="28" w:type="dxa"/>
          <w:right w:w="28" w:type="dxa"/>
        </w:tblCellMar>
      </w:tblPr>
      <w:tblGrid>
        <w:gridCol w:w="3211"/>
        <w:gridCol w:w="146"/>
        <w:gridCol w:w="146"/>
        <w:gridCol w:w="991"/>
        <w:gridCol w:w="166"/>
        <w:gridCol w:w="146"/>
        <w:gridCol w:w="230"/>
        <w:gridCol w:w="626"/>
        <w:gridCol w:w="146"/>
        <w:gridCol w:w="146"/>
        <w:gridCol w:w="236"/>
        <w:gridCol w:w="755"/>
        <w:gridCol w:w="146"/>
        <w:gridCol w:w="146"/>
        <w:gridCol w:w="235"/>
        <w:gridCol w:w="636"/>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9,423,271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91" w:type="dxa"/>
            <w:tcBorders/>
            <w:shd w:fill="CFF0FC"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(223,273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(3,401,052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5,922,447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1,068</w:t>
            </w:r>
          </w:p>
        </w:tc>
        <w:tc>
          <w:tcPr>
            <w:tcW w:w="191" w:type="dxa"/>
            <w:tcBorders/>
            <w:shd w:fill="CFF0FC"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3,606,590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aggregate intrinsic value of options exercised during the nine months ended September 30, 2023</w:t>
      </w:r>
      <w:r>
        <w:rPr>
          <w:rFonts w:ascii="Times New Roman" w:hAnsi="Times New Roman"/>
          <w:color w:val="000000"/>
          <w:sz w:val="20"/>
        </w:rPr>
        <w:t xml:space="preserve"> </w:t>
      </w:r>
      <w:r>
        <w:rPr>
          <w:rFonts w:ascii="Times New Roman" w:hAnsi="Times New Roman"/>
          <w:b w:val="false"/>
          <w:color w:val="000000"/>
          <w:sz w:val="20"/>
        </w:rPr>
        <w:t>was $85. No</w:t>
      </w:r>
      <w:r>
        <w:rPr>
          <w:rFonts w:ascii="Times New Roman" w:hAnsi="Times New Roman"/>
          <w:color w:val="000000"/>
          <w:sz w:val="20"/>
        </w:rPr>
        <w:t xml:space="preserve"> </w:t>
      </w:r>
      <w:r>
        <w:rPr>
          <w:rFonts w:ascii="Times New Roman" w:hAnsi="Times New Roman"/>
          <w:b w:val="false"/>
          <w:color w:val="000000"/>
          <w:sz w:val="20"/>
        </w:rPr>
        <w:t>options were exercised during the nine months ended September 30,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weighted-average grant-date fair value of the Company’s stock options granted during the nine months ended September 30, 2023</w:t>
      </w:r>
      <w:r>
        <w:rPr>
          <w:rFonts w:ascii="Times New Roman" w:hAnsi="Times New Roman"/>
          <w:color w:val="000000"/>
          <w:sz w:val="20"/>
        </w:rPr>
        <w:t xml:space="preserve"> </w:t>
      </w:r>
      <w:r>
        <w:rPr>
          <w:rFonts w:ascii="Times New Roman" w:hAnsi="Times New Roman"/>
          <w:b w:val="false"/>
          <w:color w:val="000000"/>
          <w:sz w:val="20"/>
        </w:rPr>
        <w:t>and 2022 was $0.79</w:t>
      </w:r>
      <w:r>
        <w:rPr>
          <w:rFonts w:ascii="Times New Roman" w:hAnsi="Times New Roman"/>
          <w:color w:val="000000"/>
          <w:sz w:val="20"/>
        </w:rPr>
        <w:t xml:space="preserve"> </w:t>
      </w:r>
      <w:r>
        <w:rPr>
          <w:rFonts w:ascii="Times New Roman" w:hAnsi="Times New Roman"/>
          <w:b w:val="false"/>
          <w:color w:val="000000"/>
          <w:sz w:val="20"/>
        </w:rPr>
        <w:t>and $1.23,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summarizes the Company’s restricted common stock units for the nine months ended September 30, 2023:</w:t>
      </w:r>
      <w:r>
        <w:rPr>
          <w:rFonts w:ascii="Times New Roman" w:hAnsi="Times New Roman"/>
          <w:color w:val="000000"/>
          <w:sz w:val="20"/>
        </w:rPr>
        <w:t xml:space="preserve"> </w:t>
      </w:r>
    </w:p>
    <w:tbl>
      <w:tblPr>
        <w:tblW w:w="6423" w:type="dxa"/>
        <w:jc w:val="left"/>
        <w:tblInd w:w="0" w:type="dxa"/>
        <w:tblLayout w:type="fixed"/>
        <w:tblCellMar>
          <w:top w:w="28" w:type="dxa"/>
          <w:left w:w="28" w:type="dxa"/>
          <w:bottom w:w="28" w:type="dxa"/>
          <w:right w:w="28" w:type="dxa"/>
        </w:tblCellMar>
      </w:tblPr>
      <w:tblGrid>
        <w:gridCol w:w="3841"/>
        <w:gridCol w:w="146"/>
        <w:gridCol w:w="146"/>
        <w:gridCol w:w="931"/>
        <w:gridCol w:w="166"/>
        <w:gridCol w:w="146"/>
        <w:gridCol w:w="266"/>
        <w:gridCol w:w="590"/>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Issued and unvested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940,392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w:t>
            </w:r>
          </w:p>
        </w:tc>
        <w:tc>
          <w:tcPr>
            <w:tcW w:w="19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1,548,117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19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(283,835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w:t>
            </w:r>
          </w:p>
        </w:tc>
        <w:tc>
          <w:tcPr>
            <w:tcW w:w="19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 cancelled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w:t>
            </w:r>
          </w:p>
        </w:tc>
        <w:tc>
          <w:tcPr>
            <w:tcW w:w="19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Issued and unvested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The total fair value of restricted stock units vested during the nine months ended September 30, 2023 and 2022</w:t>
      </w:r>
      <w:r>
        <w:rPr>
          <w:rFonts w:ascii="Times New Roman" w:hAnsi="Times New Roman"/>
          <w:color w:val="000000"/>
          <w:sz w:val="20"/>
        </w:rPr>
        <w:t xml:space="preserve"> </w:t>
      </w:r>
      <w:r>
        <w:rPr>
          <w:rFonts w:ascii="Times New Roman" w:hAnsi="Times New Roman"/>
          <w:b w:val="false"/>
          <w:color w:val="000000"/>
          <w:sz w:val="20"/>
        </w:rPr>
        <w:t>was $1,367</w:t>
      </w:r>
      <w:r>
        <w:rPr>
          <w:rFonts w:ascii="Times New Roman" w:hAnsi="Times New Roman"/>
          <w:color w:val="000000"/>
          <w:sz w:val="20"/>
        </w:rPr>
        <w:t xml:space="preserve"> </w:t>
      </w:r>
      <w:r>
        <w:rPr>
          <w:rFonts w:ascii="Times New Roman" w:hAnsi="Times New Roman"/>
          <w:b w:val="false"/>
          <w:color w:val="000000"/>
          <w:sz w:val="20"/>
        </w:rPr>
        <w:t>and $7,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Stock-based compensation expense was allocated as follows:</w:t>
      </w:r>
      <w:r>
        <w:rPr>
          <w:rFonts w:ascii="Times New Roman" w:hAnsi="Times New Roman"/>
          <w:color w:val="000000"/>
          <w:sz w:val="20"/>
        </w:rPr>
        <w:t xml:space="preserve"> </w:t>
      </w:r>
    </w:p>
    <w:tbl>
      <w:tblPr>
        <w:tblW w:w="9212" w:type="dxa"/>
        <w:jc w:val="left"/>
        <w:tblInd w:w="0" w:type="dxa"/>
        <w:tblLayout w:type="fixed"/>
        <w:tblCellMar>
          <w:top w:w="28" w:type="dxa"/>
          <w:left w:w="28" w:type="dxa"/>
          <w:bottom w:w="28" w:type="dxa"/>
          <w:right w:w="28" w:type="dxa"/>
        </w:tblCellMar>
      </w:tblPr>
      <w:tblGrid>
        <w:gridCol w:w="3451"/>
        <w:gridCol w:w="305"/>
        <w:gridCol w:w="826"/>
        <w:gridCol w:w="211"/>
        <w:gridCol w:w="211"/>
        <w:gridCol w:w="305"/>
        <w:gridCol w:w="826"/>
        <w:gridCol w:w="146"/>
        <w:gridCol w:w="146"/>
        <w:gridCol w:w="295"/>
        <w:gridCol w:w="798"/>
        <w:gridCol w:w="204"/>
        <w:gridCol w:w="204"/>
        <w:gridCol w:w="295"/>
        <w:gridCol w:w="798"/>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1,705</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2,169</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6,284</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b w:val="false"/>
          <w:color w:val="000000"/>
          <w:sz w:val="20"/>
        </w:rPr>
        <w:t>As of September 30, 2023, total unrecognized compensation cost related to the unvested stock-based awards was $6,282, which is expected to be recognized over a weighted-average period of 2.10</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jc w:val="left"/>
        <w:rPr>
          <w:rFonts w:ascii="Times New Roman" w:hAnsi="Times New Roman"/>
          <w:b/>
          <w:color w:val="000000"/>
          <w:sz w:val="20"/>
        </w:rPr>
      </w:pPr>
      <w:r>
        <w:rPr>
          <w:rFonts w:ascii="Times New Roman" w:hAnsi="Times New Roman"/>
          <w:b/>
          <w:color w:val="000000"/>
          <w:sz w:val="20"/>
        </w:rPr>
        <w:t>11. Net Income (Loss) Per Share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sets forth the computation of the Company’s basic and diluted net income (loss) per share for the three and nine months ended September 30, 2023 and 2022 (in thousands, except share and per share amounts):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44"/>
        <w:gridCol w:w="146"/>
        <w:gridCol w:w="211"/>
        <w:gridCol w:w="1036"/>
        <w:gridCol w:w="166"/>
        <w:gridCol w:w="146"/>
        <w:gridCol w:w="211"/>
        <w:gridCol w:w="1036"/>
        <w:gridCol w:w="166"/>
        <w:gridCol w:w="146"/>
        <w:gridCol w:w="211"/>
        <w:gridCol w:w="1036"/>
        <w:gridCol w:w="146"/>
        <w:gridCol w:w="146"/>
        <w:gridCol w:w="211"/>
        <w:gridCol w:w="1036"/>
        <w:gridCol w:w="211"/>
      </w:tblGrid>
      <w:tr>
        <w:trPr/>
        <w:tc>
          <w:tcPr>
            <w:tcW w:w="3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attributable to common stockholders—basic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44,527,997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43,772,990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44,234,936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43,722,129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44,527,997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43,772,990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44,425,531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43,722,129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per share applicable to common stockholders—basic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per share applicable to common stockholders—diluted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Company excluded the following potential common shares from the computation of diluted net income (loss) per share attributable to common stockholders for the three and nine months ended September 30, 2023 and 2022 because including them would have had an anti-dilutive effect:</w:t>
      </w:r>
    </w:p>
    <w:tbl>
      <w:tblPr>
        <w:tblW w:w="8876" w:type="dxa"/>
        <w:jc w:val="left"/>
        <w:tblInd w:w="0" w:type="dxa"/>
        <w:tblLayout w:type="fixed"/>
        <w:tblCellMar>
          <w:top w:w="28" w:type="dxa"/>
          <w:left w:w="28" w:type="dxa"/>
          <w:bottom w:w="28" w:type="dxa"/>
          <w:right w:w="28" w:type="dxa"/>
        </w:tblCellMar>
      </w:tblPr>
      <w:tblGrid>
        <w:gridCol w:w="2971"/>
        <w:gridCol w:w="146"/>
        <w:gridCol w:w="160"/>
        <w:gridCol w:w="1022"/>
        <w:gridCol w:w="160"/>
        <w:gridCol w:w="160"/>
        <w:gridCol w:w="160"/>
        <w:gridCol w:w="1022"/>
        <w:gridCol w:w="146"/>
        <w:gridCol w:w="146"/>
        <w:gridCol w:w="154"/>
        <w:gridCol w:w="988"/>
        <w:gridCol w:w="154"/>
        <w:gridCol w:w="154"/>
        <w:gridCol w:w="154"/>
        <w:gridCol w:w="988"/>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4,827,316</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8,083,363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7,683,446</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8,083,363</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276,008</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870,536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1,414,256</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870,536</w:t>
            </w:r>
          </w:p>
        </w:tc>
        <w:tc>
          <w:tcPr>
            <w:tcW w:w="1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color w:val="000000"/>
              </w:rPr>
            </w:pPr>
            <w:r>
              <w:rPr>
                <w:color w:val="000000"/>
              </w:rPr>
              <w:t>—</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4,976</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12.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UHN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months ended September 30, 2023 and 2022, the Company recognized $25</w:t>
      </w:r>
      <w:r>
        <w:rPr>
          <w:rFonts w:ascii="Times New Roman" w:hAnsi="Times New Roman"/>
          <w:color w:val="000000"/>
          <w:sz w:val="20"/>
        </w:rPr>
        <w:t xml:space="preserve"> </w:t>
      </w:r>
      <w:r>
        <w:rPr>
          <w:rFonts w:ascii="Times New Roman" w:hAnsi="Times New Roman"/>
          <w:b w:val="false"/>
          <w:color w:val="000000"/>
          <w:sz w:val="20"/>
        </w:rPr>
        <w:t>and $82, respectively, of research and development expense related to the license agreements with UHN. For the nine months ended September 30, 2023 and 2022, the Company recognized $97</w:t>
      </w:r>
      <w:r>
        <w:rPr>
          <w:rFonts w:ascii="Times New Roman" w:hAnsi="Times New Roman"/>
          <w:color w:val="000000"/>
          <w:sz w:val="20"/>
        </w:rPr>
        <w:t xml:space="preserve"> </w:t>
      </w:r>
      <w:r>
        <w:rPr>
          <w:rFonts w:ascii="Times New Roman" w:hAnsi="Times New Roman"/>
          <w:b w:val="false"/>
          <w:color w:val="000000"/>
          <w:sz w:val="20"/>
        </w:rPr>
        <w:t>and $145, respectively, of research and development expense related to the license agreements with UHN. Refer to Note 3 “</w:t>
      </w:r>
      <w:r>
        <w:rPr>
          <w:rFonts w:ascii="Times New Roman" w:hAnsi="Times New Roman"/>
          <w:b w:val="false"/>
          <w:i/>
          <w:color w:val="000000"/>
          <w:sz w:val="20"/>
        </w:rPr>
        <w:t>License Agreements</w:t>
      </w:r>
      <w:r>
        <w:rPr>
          <w:rFonts w:ascii="Times New Roman" w:hAnsi="Times New Roman"/>
          <w:color w:val="000000"/>
          <w:sz w:val="20"/>
        </w:rPr>
        <w:t xml:space="preserve">” </w:t>
      </w:r>
      <w:r>
        <w:rPr>
          <w:rFonts w:ascii="Times New Roman" w:hAnsi="Times New Roman"/>
          <w:b w:val="false"/>
          <w:color w:val="000000"/>
          <w:sz w:val="20"/>
        </w:rPr>
        <w:t>for additional information regarding the UHN license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Others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first quarter of 2023, the sublease for space that was previously provided by an entity affiliated with a member of the Company’s Board was assigned to Novartis. Therefore, for the three months ended September 30, 2023</w:t>
      </w:r>
      <w:r>
        <w:rPr>
          <w:rFonts w:ascii="Times New Roman" w:hAnsi="Times New Roman"/>
          <w:color w:val="000000"/>
          <w:sz w:val="20"/>
        </w:rPr>
        <w:t xml:space="preserve"> </w:t>
      </w:r>
      <w:r>
        <w:rPr>
          <w:rFonts w:ascii="Times New Roman" w:hAnsi="Times New Roman"/>
          <w:b w:val="false"/>
          <w:color w:val="000000"/>
          <w:sz w:val="20"/>
        </w:rPr>
        <w:t>the Company did not record expense related to a sublease to rent office and lab space provided by an entity affiliated with a member of the Company’s Board. For the three months ended September 30, 2022</w:t>
      </w:r>
      <w:r>
        <w:rPr>
          <w:rFonts w:ascii="Times New Roman" w:hAnsi="Times New Roman"/>
          <w:color w:val="000000"/>
          <w:sz w:val="20"/>
        </w:rPr>
        <w:t xml:space="preserve"> </w:t>
      </w:r>
      <w:r>
        <w:rPr>
          <w:rFonts w:ascii="Times New Roman" w:hAnsi="Times New Roman"/>
          <w:b w:val="false"/>
          <w:color w:val="000000"/>
          <w:sz w:val="20"/>
        </w:rPr>
        <w:t>the Company recorded $795</w:t>
      </w:r>
      <w:r>
        <w:rPr>
          <w:rFonts w:ascii="Times New Roman" w:hAnsi="Times New Roman"/>
          <w:color w:val="000000"/>
          <w:sz w:val="20"/>
        </w:rPr>
        <w:t xml:space="preserve"> </w:t>
      </w:r>
      <w:r>
        <w:rPr>
          <w:rFonts w:ascii="Times New Roman" w:hAnsi="Times New Roman"/>
          <w:b w:val="false"/>
          <w:color w:val="000000"/>
          <w:sz w:val="20"/>
        </w:rPr>
        <w:t>related to the sublease to rent office and lab space previously provided by an entity affiliated with a member of the Company’s Board. For the nine months ended September 30, 2023 and 2022, the Company recorded expenses of $754</w:t>
      </w:r>
      <w:r>
        <w:rPr>
          <w:rFonts w:ascii="Times New Roman" w:hAnsi="Times New Roman"/>
          <w:color w:val="000000"/>
          <w:sz w:val="20"/>
        </w:rPr>
        <w:t xml:space="preserve"> </w:t>
      </w:r>
      <w:r>
        <w:rPr>
          <w:rFonts w:ascii="Times New Roman" w:hAnsi="Times New Roman"/>
          <w:b w:val="false"/>
          <w:color w:val="000000"/>
          <w:sz w:val="20"/>
        </w:rPr>
        <w:t>and $2,381, respectively, related to the sublease to rent office and lab space previously provided by an entity affiliated with a member of the Company’s Board.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Restructuring Activities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 Company recognized total restructuring expenses of $3,685</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2023. These one-time employee termination benefits are related to affected employees, who were offered separation benefits, including severance payments. Approximately $2,782</w:t>
      </w:r>
      <w:r>
        <w:rPr>
          <w:rFonts w:ascii="Times New Roman" w:hAnsi="Times New Roman"/>
          <w:color w:val="000000"/>
          <w:sz w:val="20"/>
        </w:rPr>
        <w:t xml:space="preserve"> </w:t>
      </w:r>
      <w:r>
        <w:rPr>
          <w:rFonts w:ascii="Times New Roman" w:hAnsi="Times New Roman"/>
          <w:b w:val="false"/>
          <w:color w:val="000000"/>
          <w:sz w:val="20"/>
        </w:rPr>
        <w:t>of these payments were made during the three months ended September 30, 2023, $903</w:t>
      </w:r>
      <w:r>
        <w:rPr>
          <w:rFonts w:ascii="Times New Roman" w:hAnsi="Times New Roman"/>
          <w:color w:val="000000"/>
          <w:sz w:val="20"/>
        </w:rPr>
        <w:t xml:space="preserve"> </w:t>
      </w:r>
      <w:r>
        <w:rPr>
          <w:rFonts w:ascii="Times New Roman" w:hAnsi="Times New Roman"/>
          <w:b w:val="false"/>
          <w:color w:val="000000"/>
          <w:sz w:val="20"/>
        </w:rPr>
        <w:t>of these expenses were related to non-cash stock-based compensation expense, and there are no</w:t>
      </w:r>
      <w:r>
        <w:rPr>
          <w:rFonts w:ascii="Times New Roman" w:hAnsi="Times New Roman"/>
          <w:color w:val="000000"/>
          <w:sz w:val="20"/>
        </w:rPr>
        <w:t xml:space="preserve"> </w:t>
      </w:r>
      <w:r>
        <w:rPr>
          <w:rFonts w:ascii="Times New Roman" w:hAnsi="Times New Roman"/>
          <w:b w:val="false"/>
          <w:color w:val="000000"/>
          <w:sz w:val="20"/>
        </w:rPr>
        <w:t>remaining accrued remaining payments at September 30, 2023.</w:t>
      </w:r>
    </w:p>
    <w:tbl>
      <w:tblPr>
        <w:tblW w:w="9182" w:type="dxa"/>
        <w:jc w:val="left"/>
        <w:tblInd w:w="0" w:type="dxa"/>
        <w:tblLayout w:type="fixed"/>
        <w:tblCellMar>
          <w:top w:w="28" w:type="dxa"/>
          <w:left w:w="28" w:type="dxa"/>
          <w:bottom w:w="28" w:type="dxa"/>
          <w:right w:w="28" w:type="dxa"/>
        </w:tblCellMar>
      </w:tblPr>
      <w:tblGrid>
        <w:gridCol w:w="7381"/>
        <w:gridCol w:w="398"/>
        <w:gridCol w:w="1192"/>
        <w:gridCol w:w="211"/>
      </w:tblGrid>
      <w:tr>
        <w:trPr/>
        <w:tc>
          <w:tcPr>
            <w:tcW w:w="73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381" w:type="dxa"/>
            <w:tcBorders/>
            <w:shd w:fill="FFFFFF" w:val="cle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Severance</w:t>
              <w:br/>
              <w:t>and Other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expenses</w:t>
            </w:r>
          </w:p>
        </w:tc>
        <w:tc>
          <w:tcPr>
            <w:tcW w:w="3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3,685</w:t>
            </w:r>
          </w:p>
        </w:tc>
        <w:tc>
          <w:tcPr>
            <w:tcW w:w="211" w:type="dxa"/>
            <w:tcBorders/>
            <w:shd w:fill="FFFFFF" w:val="clear"/>
            <w:vAlign w:val="center"/>
          </w:tcPr>
          <w:p>
            <w:pPr>
              <w:pStyle w:val="TableContents"/>
              <w:bidi w:val="0"/>
              <w:spacing w:before="0" w:after="283"/>
              <w:jc w:val="left"/>
              <w:rPr/>
            </w:pPr>
            <w:r>
              <w:rPr/>
              <w:t> </w:t>
            </w:r>
          </w:p>
        </w:tc>
      </w:tr>
      <w:tr>
        <w:trPr/>
        <w:tc>
          <w:tcPr>
            <w:tcW w:w="73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payments</w:t>
            </w:r>
          </w:p>
        </w:tc>
        <w:tc>
          <w:tcPr>
            <w:tcW w:w="398"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3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expenses</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3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Liability included in accrued expenses and other current liabilities at September 30, 2023</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The Company’s workforce was reduced by 11</w:t>
      </w:r>
      <w:r>
        <w:rPr>
          <w:rFonts w:ascii="Times New Roman" w:hAnsi="Times New Roman"/>
          <w:color w:val="000000"/>
          <w:sz w:val="20"/>
        </w:rPr>
        <w:t xml:space="preserve"> </w:t>
      </w:r>
      <w:r>
        <w:rPr>
          <w:rFonts w:ascii="Times New Roman" w:hAnsi="Times New Roman"/>
          <w:b w:val="false"/>
          <w:color w:val="000000"/>
          <w:sz w:val="20"/>
        </w:rPr>
        <w:t>employees in the October 2023 Workforce Reduction effective as of October 31, 2023. Affected employees in the October 2023 Workforce Reduction were offered separation benefits, including severance payments. The Company estimates that the severance and termination-related costs will total approximately $1.2</w:t>
      </w:r>
      <w:r>
        <w:rPr>
          <w:rFonts w:ascii="Times New Roman" w:hAnsi="Times New Roman"/>
          <w:color w:val="000000"/>
          <w:sz w:val="20"/>
        </w:rPr>
        <w:t xml:space="preserve"> </w:t>
      </w:r>
      <w:r>
        <w:rPr>
          <w:rFonts w:ascii="Times New Roman" w:hAnsi="Times New Roman"/>
          <w:b w:val="false"/>
          <w:color w:val="000000"/>
          <w:sz w:val="20"/>
        </w:rPr>
        <w:t>million in the aggregate and expects to primarily record these charges in the fourth quarter of 2023. The Company expects that payments of these costs will substantially be made through the end of the fourth quarter of 2023.</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2022 included in our Annual Report on Form 10-K for the year ended December 31, 2022. Some of the information contained in this discussion and analysis or set forth elsewhere in this Quarterly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2022, as supplemented by our subsequent filings with the SEC.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a gene therapy company with a purpose to free people from a lifetime of genetic disease. Our company has been focused on developing potentially curative HSC gene therapies to treat patients with rare diseases following a single dose treatment regimen. The gene therapies we had been developing employ HSCs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development focus has been on a group of rare genetic diseases referred to as lysosomal disorders, some of which today are primarily managed with enzyme replacement therapies, or ERTs.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July 12, 2023, following a comprehensive review of our business by our Board of Directors, we announced our intention to halt development of our programs and explore strategic alternatives focused on maximizing stockholder value, which may include, but are not limited to, an acquisition, a merger, business combination or divestiture.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Subsequently, in connection with ongoing cost reduction efforts related to our ongoing review of potential strategic alternatives, we have terminated all Company-sponsored treatment-related and Company-sponsored long-term follow-up clinical studies relating to our AVR-RD-02, or Gaucher disease type 1, program, and Company-sponsored long term follow-up studies relating to our AVR-RD-01, or Fabry disease, program (which we previously deprioritized). In addition, in September 2023, we terminated our agreements with the University of Manchester for the license and development of a gene therapy for MPSII, or Hunter syndrome, and discontinued our AVR-RD-05, or Hunter syndrome gene therapy program. Previously, in June 2023, we sold our cystinosis gene therapy program to Novartis Pharma AG and Novartis Pharmaceuticals Corporation, or collectively “Novartis”. As of the date of the filing of this Quarterly Report, we currently have a total of three</w:t>
      </w:r>
      <w:r>
        <w:rPr>
          <w:rFonts w:ascii="Times New Roman" w:hAnsi="Times New Roman"/>
          <w:color w:val="000000"/>
          <w:sz w:val="20"/>
        </w:rPr>
        <w:t xml:space="preserve"> </w:t>
      </w:r>
      <w:r>
        <w:rPr>
          <w:rFonts w:ascii="Times New Roman" w:hAnsi="Times New Roman"/>
          <w:b w:val="false"/>
          <w:color w:val="000000"/>
          <w:sz w:val="20"/>
        </w:rPr>
        <w:t>gene therapy product candidates, none of which are currently in active clinical development, including AVR-RD-02 for the treatment of Gaucher disease type 1 and type 3, AVR-RD-03 for the treatment of Pompe disease and AVR-RD-01 for the treatment of Fabry disease.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September 30, 2023,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gross cash proceeds, before deducting commissions and expenses, of $23.5 million from sales of our common stock through our prior “at-the-market” facility, or our prior ATM facility; and gross proceeds, before deducting transaction costs, of $87.5 million from the sale of the Company’s cystinosis gene therapy program.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income (loss) was $20.9 million and $(80.9) million for the nine months ended September 30, 2023 and 2022, respectively. As of September 30, 2023, we had an accumulated deficit of $468.5 million. Should we resume development of our product candidates, we would expect to continue to incur significant expenses for at least the next several years as we advance our product candidates from preclinical development and clinical trials and seek regulatory approval of our product candidates. Should we resume development of our product candidates, we would expect to expend significant resources to advance these candidates. In addition, if we obtain marketing approval for any of our product candidates, we expect to incur significant commercialization expenses related to product manufacturing, marketing, sales and distribution.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Should we resume development of our product candidates, we would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sales of equity, including the net proceeds from our follow-on offerings and sales of common stock under our prior ATM facility. We may also pursue additional funding from outside sources, including our expansion of, or our entry into, new borrowing arrangements and our entry into potential future collaboration agreements for one or more of our programs. We may be unable to raise additional funds or enter into such other agreements or arrangements when needed on favorable terms,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Because of the numerous risks and uncertainties associated with product development, we are unable to predict the timing or amount of increased expenses or when or if we will be able to achieve or maintain profitability, should we resume development of our product candidates.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Consolidated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license maintenance fees and milestone fees incurred in connection with various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incurred under agreements with contract research organizations, or CROs, contract manufacturing organizations, or CMOs, as well as investigative sites and consultants that conduct our clinical trials, preclinical studies and other scientific development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manufacturing scale-up expenses and the cost of acquiring and manufacturing preclinical and clinical trial materials and commercial materials, including manufacturing validation batches;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of purchasing lab supplies and non</w:t>
        <w:noBreakHyphen/>
        <w:t>capital equipment used in our preclinical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employee-related expenses, including salaries, related benefits, travel and stock-based compensation expense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allocated facilities costs, depreciation and other expenses, which include rent and utilities.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recognize external development costs based on an evaluation of the progress to completion of specific tasks using information provided to us by our service providers.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r>
        <w:rPr>
          <w:rFonts w:ascii="Times New Roman" w:hAnsi="Times New Roman"/>
          <w:color w:val="000000"/>
          <w:sz w:val="20"/>
        </w:rPr>
        <w:t xml:space="preserve"> </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table below summarizes our research and development expenses related to our product candidates (in thousands):</w:t>
      </w:r>
    </w:p>
    <w:tbl>
      <w:tblPr>
        <w:tblW w:w="9306" w:type="dxa"/>
        <w:jc w:val="left"/>
        <w:tblInd w:w="0" w:type="dxa"/>
        <w:tblLayout w:type="fixed"/>
        <w:tblCellMar>
          <w:top w:w="28" w:type="dxa"/>
          <w:left w:w="28" w:type="dxa"/>
          <w:bottom w:w="28" w:type="dxa"/>
          <w:right w:w="28" w:type="dxa"/>
        </w:tblCellMar>
      </w:tblPr>
      <w:tblGrid>
        <w:gridCol w:w="4051"/>
        <w:gridCol w:w="211"/>
        <w:gridCol w:w="676"/>
        <w:gridCol w:w="166"/>
        <w:gridCol w:w="146"/>
        <w:gridCol w:w="211"/>
        <w:gridCol w:w="676"/>
        <w:gridCol w:w="346"/>
        <w:gridCol w:w="346"/>
        <w:gridCol w:w="211"/>
        <w:gridCol w:w="676"/>
        <w:gridCol w:w="166"/>
        <w:gridCol w:w="146"/>
        <w:gridCol w:w="211"/>
        <w:gridCol w:w="676"/>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Fabry</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5,464</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Gaucher</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2,085</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4,998</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Cystinosis</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4,462</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Hunter</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2,634</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4,577</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Pompe</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research activities</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Unallocated research and development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15,919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Research and development activities will be central to our business model, should we resume development of our product candidates. Product candidates in later stages of clinical development generally have higher development costs than those in earlier stages of clinical development, primarily due to the increased size and duration of later-stage clinical trials. As a result, should we resume development of our product candidates,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Should we resume development of our product candidates, we also expect to incur additional expenses related to milestone and royalty payments payable to third parties with whom we have entered into license agreements to acquire the rights to our product candidates. See “Risk Factors—Risks related to our business, financial position and need for additional capital—We have incurred net losses since inception. We expect to incur net losses for the foreseeable future and may never achieve or maintain profitability.”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successful development and commercialization of our product candidates is highly uncertain. At this time, should we resume development of our product candidates,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progress, outcome and costs of our preclinical development activities, clinical trials and other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establishing an appropriate safety profile with IND-enabling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successful patient enrollment in, and the design, initiation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receipt and terms of any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establishing commercial manufacturing capabilities or making arrangements with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development and timely delivery of commercial-grade drug formulations that can be used in our clinical trials and for commercial launch;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maintaining, defending and enforcing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significant and changing government regulation;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launching commercial sales of our product candidates,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maintaining a continued acceptable safety profile of the product candidates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risks disclosed in the section entitled “Risk Factors” of this Quarterly Report on Form 10-Q.</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Should we resume development of our product candidates, 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anticipate that we may continue to incur increased accounting, audit, legal, regulatory, compliance, director and officer insurance costs as well as investor and public relations expenses associated with being a public company and our exploration of potential strategic alternatives. We anticipate the additional costs for these services could substantially increase our general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administrative expenses. Additionally, should we resume development of our product candidates, if and when we believe a regulatory approval of a product candidate appears likely, we anticipate an increase in payroll and expense as a result of our preparation for commercial operations, especially as it relates to the potential sales and marketing of our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(Expense)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(expense) income, net primarily consists of interest income earned on our cash and cash equivalents and changes in foreign currency, and interest expense related to our Term Loan Agreement, which was repaid in full and terminated on June 9, 2023.</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Consolidated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summarizes our consolidated results of operations (in thousands):</w:t>
      </w:r>
      <w:r>
        <w:rPr>
          <w:rFonts w:ascii="Times New Roman" w:hAnsi="Times New Roman"/>
          <w:color w:val="000000"/>
          <w:sz w:val="20"/>
        </w:rPr>
        <w:t xml:space="preserve"> </w:t>
      </w:r>
    </w:p>
    <w:tbl>
      <w:tblPr>
        <w:tblW w:w="6678"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631"/>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2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25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 income: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25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5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Research and development expenses decreased by approximately $1.1 million to $14.8 million for the three months ended September 30, 2023, from $15.9 million for the three months ended September 30, 2022. This decrease was driven by a $2.5 million decrease in personnel-related and consulting costs, including non-cash stock-based compensation, a $2.1 million decrease in manufacturing costs, and a $0.3 million decrease in preclinical costs which was partially offset by a $3.8 million increase in development costs primarily related to the payment made in connection with the termination of the MPSII License Agreement.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were $6.3 million for the three months ended September 30, 2023, compared to $7.1 million for the three months ended September 30, 2022. This decrease of $0.8 million was driven by a $1.4 million decrease in personnel-related and consulting costs, including non-cash stock-based compensation and a $0.6 million decrease in information technology-related costs which was partially offset by a $1.2 million increase in legal expenses.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Loss on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months ended September 30, 2023 we recognized a $1.8 million loss on impairment. Of this amount, $0.9 million is related to the loss on impairment of property, plant, and equipment as a result of the reclassification of these assets to held for sale. In addition, $0.9 million is related to the loss on impairment of the right of use asset for the subleased lab space located in Cambridge, Massachusetts, which is no longer in use.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Other (Expense)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(expense) income, net, was $1.4 million for the three months ended September 30, 2023, compared to $0.1 million for the three months ended September 30, 2022. This change is primarily due to the elimination of interest expense related to the Term Loan Agreement, which was paid off in the second quarter of 2023.</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summarizes our consolidated results of operations (in thousands):</w:t>
      </w:r>
      <w:r>
        <w:rPr>
          <w:rFonts w:ascii="Times New Roman" w:hAnsi="Times New Roman"/>
          <w:color w:val="000000"/>
          <w:sz w:val="20"/>
        </w:rPr>
        <w:t xml:space="preserve"> </w:t>
      </w:r>
    </w:p>
    <w:tbl>
      <w:tblPr>
        <w:tblW w:w="7890" w:type="dxa"/>
        <w:jc w:val="left"/>
        <w:tblInd w:w="0" w:type="dxa"/>
        <w:tblLayout w:type="fixed"/>
        <w:tblCellMar>
          <w:top w:w="28" w:type="dxa"/>
          <w:left w:w="28" w:type="dxa"/>
          <w:bottom w:w="28" w:type="dxa"/>
          <w:right w:w="28" w:type="dxa"/>
        </w:tblCellMar>
      </w:tblPr>
      <w:tblGrid>
        <w:gridCol w:w="3236"/>
        <w:gridCol w:w="146"/>
        <w:gridCol w:w="255"/>
        <w:gridCol w:w="817"/>
        <w:gridCol w:w="200"/>
        <w:gridCol w:w="176"/>
        <w:gridCol w:w="255"/>
        <w:gridCol w:w="890"/>
        <w:gridCol w:w="166"/>
        <w:gridCol w:w="146"/>
        <w:gridCol w:w="211"/>
        <w:gridCol w:w="781"/>
        <w:gridCol w:w="61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72"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43,310</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(10,739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18,730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3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62,040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on asset sale</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83,736</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83,736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impairment</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19,854</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(expense), net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1,160</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1,088</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101,798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Research and development expenses decreased by approximately $10.7 million to $43.3 million for the nine months ended September 30, 2023, from $54.0 million for the nine months ended September 30, 2022. This decrease was driven by a $8.3 million decrease in personnel-related and consulting costs, including non-cash stock-based compensation, a $3.8 million decrease in manufacturing costs, and a $1.7 million decrease in preclinical costs which was partially offset by a $3.1 million increase in development costs primarily related to the payment made in connection with the termination of the MPSII License Agreement.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were $18.7 million for the nine months ended September 30, 2023, compared to $26.1 million for the nine months ended September 30, 2022. This decrease of $7.4 million was driven by an $8.6 million decrease in personnel-related and consulting costs, including non-cash stock-based compensation and a $0.9 million decrease in information technology-related costs which was partially offset by a $2.0 million increase in legal expenses.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Gain on Asset Sale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we recognized $83.7 million as a gain on asset sale, net of $3.8 million in transaction costs. We completed the Asset Sale on June 9, 2023.</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Loss on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2023 we recognized a $1.8 million loss on impairment. Of this amount, $0.9 million is related to the loss on impairment of property, plant, and equipment as a result of the reclassification of these assets to held for sale. In addition, $0.9 million is related to the loss on impairment of the right of use asset for the subleased lab space located in Cambridge, Massachusetts, which is no longer in use.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expense, net, was $1.1 million for the nine months ended September 30, 2023, compared to $(0.7) million for the nine months ended September 30, 2022. This change is primarily due to the elimination of interest expense related to the Term Loan Agreement, which was paid off in the second quarter of 2023.</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prior ATM facility.</w:t>
      </w:r>
      <w:r>
        <w:rPr>
          <w:rFonts w:ascii="Times New Roman" w:hAnsi="Times New Roman"/>
          <w:color w:val="000000"/>
          <w:sz w:val="20"/>
        </w:rPr>
        <w:t xml:space="preserve"> </w:t>
      </w:r>
      <w:r>
        <w:rPr>
          <w:rFonts w:ascii="Times New Roman" w:hAnsi="Times New Roman"/>
          <w:b w:val="false"/>
          <w:color w:val="000000"/>
          <w:sz w:val="20"/>
        </w:rPr>
        <w:t>Through September 30, 2023,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gross cash proceeds, before deducting commissions and expenses, of $23.5 million from sales of our common stock under our prior ATM facility; $15.0 million drawn in term loans under our Term Loan Agreement, which was repaid in full and terminated on June 9, 2023; and gross proceeds, before deducting transaction costs, of $87.5 million from the sale of our cystinosis gene therapy program.</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June 2020, we sold an aggregate of 384,140 shares of common stock under the prior ATM facility for net proceeds, after deducting commissions and other offering expenses payable by us, of $8.1 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May 2021, we sold an aggregate of 1,829,268 shares of common stock under the prior ATM facility for net proceeds, after deducting commissions and other offering expenses payable by us, of $14.5 million. As of September 30, 2023, approximately $26.5 million of common stock remained available for future issuance under the prior ATM facility.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 discretionary $15.0 million term loan facility available upon our request and approval by the Agent and the Lenders, or, collectively, the Term Loans. We drew $15.0 million in term loans on the Closing Date. On June 9, 2023, upon the closing of the Asset Sale, all outstanding amounts due and owed, including principal, interest, and other charges, under the Term Loan Agreement,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July 2022, the July 2019 Shelf expired, and on November 8, 2022, we filed a shelf registration statement on Form S-3 with the SEC, or the November 2022 Shelf, which covered the offering, issuance and sale by us of up to an aggregate of $250.0 million of our common stock, preferred stock, debt securities, warrants and/or units. The December 2019 Shelf expired in December 2022, and the November 2022 Shelf carried forward unsold securities previously covered by the December 2019 Shelf, thus registering an aggregate total of $250.0 million of our common stock, preferred stock, debt securities, warrants and/or units. In connection with the November 2022 Shelf, we simultaneously entered into a new Sales Agreement with Cowen and Company, LLC, as sales agent, to provide for the offering, issuance and sale by us of up to $50.0 million of our common stock from time to time in “at-the-market” offerings under the November 2022 Shelf, or the 2022 ATM Facility. As of the date of this report, we have not made any sales under the 2022 ATM Facility. On November 3, 2023, we withdrew the November 2022 Shelf. We will not make sales under the 2022 ATM Facility until a new shelf registration statement on Form S-3 is filed and declared effective.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we had cash and cash equivalents of $105.8 million. Cash in excess of immediate requirements is invested primarily with a view to liquidity and capital preservation.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summarizes our cash flows for each of the periods presented (in thousands):</w:t>
      </w:r>
      <w:r>
        <w:rPr>
          <w:rFonts w:ascii="Times New Roman" w:hAnsi="Times New Roman"/>
          <w:color w:val="000000"/>
          <w:sz w:val="20"/>
        </w:rPr>
        <w:t xml:space="preserve"> </w:t>
      </w:r>
    </w:p>
    <w:tbl>
      <w:tblPr>
        <w:tblW w:w="7264"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(55,159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(73,535</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84,926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val="false"/>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operating activities used $55.2 million of cash, cash equivalents and restricted cash, resulting from our net income of $20.9 million offset by cash used by changes in our operating assets and liabilities of $3.8 million and non-cash charges of $72.3 million. The net change in our operating assets and liabilities was primarily due to a $6.7 million decrease in accrued expenses and other current liabilities and a $1.8 million decrease in current and non-current operating lease liabilities, partially offset by a $4.3 million decrease in prepaids and other current assets. The non-cash charges included $83.7 million of gain on asset sale, offset by $6.3 million of stock-based compensation expense, $1.8 million in non-cash asset impairment charges, $1.1 million in non-cash interest expense, $1.6 million in non-cash lease expense, and $0.6 million in depreciation and amortization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operating activities used $73.5 million of cash, cash equivalents and restricted cash, resulting from our net loss of $80.9 million and cash used by changes in our operating assets and liabilities of $3.1 million which was partially offset by non-cash charges of $10.5 million. The net change in our operating assets and liabilities was primarily due to a decrease in accounts payable of $1.7 million and a decrease in accrued expenses and other liabilities of $1.3 million. The non-cash charges primarily included $9.3 million of stock-based compensation expense and $1.1 million of depreciation and amortization expense.</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 was $84.9 million for the nine months ended September 30, 2023 compared to cash used by investing activities of ($0.3) million for the nine months ended September 30, 2022. The increase in cash provided by investing activities is related to the net proceeds received for the sale of the cystinosis program in the second quarter of 2023 for $83.7 million, and $1.2 million in proceeds from the sale of property, plant, and equipment.</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used by financing activities was $16.1 million for the nine months ended September 30, 2023 compared to cash provided by financing activities of $0.2 million for the nine months ended September 30, 2022. The change is related to the repayment of the Term Loan Agreement in the second quarter of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Should we resume development of our product candidates, we may not be able to resume activities at the same costs as previously, and we expect our expenses would increase substantially, particularly as we advance the preclinical activities and clinical trials of our product candidates. Our expenses would also increase, should we resume development of our product candidates,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initiate additional clinical trials and preclinical studies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 to identify and develop or in-license or acquire additional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 xml:space="preserve">seek to industrialize our </w:t>
      </w:r>
      <w:r>
        <w:rPr>
          <w:rFonts w:ascii="Times New Roman" w:hAnsi="Times New Roman"/>
          <w:b w:val="false"/>
          <w:i/>
          <w:color w:val="000000"/>
          <w:sz w:val="20"/>
        </w:rPr>
        <w:t>ex vivo</w:t>
      </w:r>
      <w:r>
        <w:rPr>
          <w:color w:val="000000"/>
        </w:rPr>
        <w:t xml:space="preserve"> </w:t>
      </w:r>
      <w:r>
        <w:rPr>
          <w:rFonts w:ascii="Times New Roman" w:hAnsi="Times New Roman"/>
          <w:b w:val="false"/>
          <w:color w:val="000000"/>
          <w:sz w:val="20"/>
        </w:rPr>
        <w:t xml:space="preserve">lentiviral gene therapy approach into a robust, scalable and, if approved, commercially viable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 marketing approvals for our product candidates that successfully complete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a sales, marketing and distribution infrastructure to commercialize any product candidates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hire and retain additional personnel, such as clinical, medical, manufacturing, quality, commercial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expand our infrastructure, office space and facilities to accommodate our employee base, including adding equipment and physical infrastructure to support our research and development;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continue to incur additional public company-related costs.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2022, filed with the SEC on March 23, 2023.</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nine months ended September 30, 2023,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2022, which was filed with the SEC on March 23, 2023, and the notes to the consolidated financial statements included in Item 1, “</w:t>
      </w:r>
      <w:r>
        <w:rPr>
          <w:rFonts w:ascii="Times New Roman" w:hAnsi="Times New Roman"/>
          <w:b w:val="false"/>
          <w:i/>
          <w:color w:val="000000"/>
          <w:sz w:val="20"/>
        </w:rPr>
        <w:t>Condensed Consolidated Unaudited Financial Statements</w:t>
      </w:r>
      <w:r>
        <w:rPr>
          <w:rFonts w:ascii="Times New Roman" w:hAnsi="Times New Roman"/>
          <w:b w:val="false"/>
          <w:color w:val="000000"/>
          <w:sz w:val="20"/>
        </w:rPr>
        <w:t>,” of this Quarterly Report on Form 10-Q.</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A description of recently issued accounting pronouncements that may potentially impact our financial position and results of operations is disclosed in Note 2, </w:t>
      </w:r>
      <w:r>
        <w:rPr>
          <w:rFonts w:ascii="Times New Roman" w:hAnsi="Times New Roman"/>
          <w:color w:val="000000"/>
          <w:sz w:val="20"/>
        </w:rPr>
        <w:t>“</w:t>
      </w:r>
      <w:r>
        <w:rPr>
          <w:rFonts w:ascii="Times New Roman" w:hAnsi="Times New Roman"/>
          <w:b w:val="false"/>
          <w:i/>
          <w:color w:val="000000"/>
          <w:sz w:val="20"/>
        </w:rPr>
        <w:t>Summary of Significant Accounting Policies”</w:t>
      </w:r>
      <w:r>
        <w:rPr>
          <w:rFonts w:ascii="Times New Roman" w:hAnsi="Times New Roman"/>
          <w:color w:val="000000"/>
          <w:sz w:val="20"/>
        </w:rPr>
        <w:t xml:space="preserve"> </w:t>
      </w:r>
      <w:r>
        <w:rPr>
          <w:rFonts w:ascii="Times New Roman" w:hAnsi="Times New Roman"/>
          <w:b w:val="false"/>
          <w:color w:val="000000"/>
          <w:sz w:val="20"/>
        </w:rPr>
        <w:t>to our consolidated financial statements appearing at the beginning of this Quarterly Report on Form 10-Q.</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we had cash and cash equivalents of $105.8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the nine months ended September 30, 2023 and 2022, we recognized foreign currency transaction losses of $116 thousand and $70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with the participation of our interim Chief Executive Officer and Chief Financial Officer (our principal executive officer and principal financial officer), evaluated the effectiveness of our disclosure controls and procedures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September 30, 2023, our interim Chief Executive Officer and Chief Financial Officer concluded that our disclosure controls and procedures were effective at the reasonable assurance level as of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 change in our internal control over financial reporting (as defined in Rules 13a-15(f) and 15d-15(f) under the Exchange Act) occurred during the three months ended September 30, 2023 that has materially affected, or is reasonably likely to materially affect, our internal control over financial reporting.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become subject to various legal proceedings and claims that arise in the ordinary course of our business activities. Although the results of litigation and claims cannot be predicted with certainty, as of September 30, 2023,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4" w:name="item_1a_risk_factors"/>
      <w:bookmarkEnd w:id="14"/>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w:t>
      </w:r>
      <w:bookmarkStart w:id="15" w:name="item_1a_risk_factors1"/>
      <w:bookmarkEnd w:id="15"/>
      <w:r>
        <w:rPr>
          <w:rFonts w:ascii="Times New Roman" w:hAnsi="Times New Roman"/>
          <w:b/>
          <w:color w:val="000000"/>
          <w:sz w:val="20"/>
        </w:rPr>
        <w:t>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strategic review process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successful in identifying and implementing any potential strategic alternatives in a timely manner or at all, and any strategic transactions that we may consummate in the future could have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2023, we announced that we are undertaking a comprehensive exploration of strategic alternatives focused on maximizing stockholder value, which may include, but are not limited to, an acquisition, a merger, business combination or divestiture. We expect to devote substantial time and resources to exploring strategic alternatives that our board of directors believes will maximize stockholder value. Despite management devoting significant efforts to identify and evaluate potential strategic alternatives, there can be no assurance that this strategic review process will result in us pursuing any transaction or that we will be able to successfully consummate any particular strategic transaction on attractive terms, on a timely basis, or at all. For example, certain types of strategic transactions may require third party consents, such as stockholder approval, which could be difficult or costly to obtain. We have not set a timetable for completion of this strategic review process, and our board of directors has not approved a definitive course of action. Additionally, there can be no assurance that any particular course of action, business arrangement or transaction, or series of transactions, will be pursued, successfully consummated or lead to increased stockholder value or that we will make any cash distributions to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process of continuing to evaluate our strategic alternatives may be costly, time-consuming and complex, and we may incur significant legal, accounting and advisory fees and other expenses, some of which may be incurred regardless of whether we successfully enter into a transaction. We may also incur additional unanticipated expenses in connection with this process. Any such expenses will decrease the remaining cash available for use in our business. Our ability to pursue or consummate strategic transactions also depends upon our ability to retain certain of our employees, the loss of whose services may adversely impact the ability to identify, negotiate and consummate such transaction. If we are unable to successfully retain certain of our key remaining personnel, we are at risk of a disruption to our exploration and consummation of one or more strategic transactions.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potential counterparties in a strategic transaction involving the Company may place minimal or no value on our assets and our public listing. Further, should we resume the development of our product candidates,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the Company may choose not to spend additional resources to resume or continue development of our product candidates and may attribute little or no value, in such a transaction, to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any strategic transactions that we may pursue could have a variety of negative consequences, and we may enter into a transaction that yields unexpected results that adversely affects our business and decreases the remaining cash available for use in our business.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There can be no assurance that any particular course of action, business arrangement or transaction, or series of transactions, will be pursued, successfully consummated, lead to increased stockholder value, or achieve the anticipated results.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not successful in setting forth a new strategic path for the Company, or if our plans are not executed in a timely fashion, this may cause reputational harm with our stockholders and the value of our securities may be adversely impacted. In addition, speculation regarding any developments related to the review of strategic alternatives and perceived uncertainties related to the future of the Company could cause our stock price to fluctuate significantly.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successfully consummate any strategic transaction, or series of transactions, from our strategic assessment, including, but not limited to, an acquisition, merger, a business combination or divestiture, we may fail to realize all or any of the anticipated benefits of any such transaction, such benefits may take longer to realize than expected, we may encounter integration difficulties or we may be exposed to other operational and financial risks.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market capitalization of our company is below the value of our current cash and cash equivalents. Potential counterparties in a strategic transaction involving our company may place minimal or no value on our assets, including the programs in our pipeline for which we halted further development in July 2023. Further, the development and any potential commercialization of our product candidates, should we determine to resume development, will require substantial additional cash to fund the costs associated with conducting the necessary preclinical and clinical testing and obtaining regulatory approval, as the case may be. Consequently, any potential counterparty in a strategic transaction involving our company may choose not to spend additional resources to resume and continue development of our product candidates and may attribute little or no value, in such a transaction, to those product candidates. To the extent that the development of any of our product candidates is resumed following a strategic transaction, including by a potential counterparty, third-party licensee or other collaborator, such development will be subject to the risks related to product development discussed elsewhere in these Risk Factors.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realize the anticipated benefits of any potential strategic transaction will depend on a number of factors, including our ability to integrate with any future business partner, our ability to obtain value for portions of our business, if divested, and our ability to generate future stockholder value. The process may be disruptive to our business and the expected benefits may not be achieved within the anticipated time frame, or at all. The failure to meet the challenges involved and to realize the anticipated benefits of any potential transaction could adversely affect our business and financial condition. The negotiation and consummation of any potential strategic transaction will require significant time on the part of our management, and the diversion of management’s attention may disrupt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negotiation and consummation of any such transaction may also require more time or greater cash resources than we anticipate and expose us to other operational and financial risks, including, but not limited to, increased near-term and long-term expenditures, exposure to unknown liabilities, higher than expected acquisition or integration costs, incurrence of substantial debt or dilutive issuances of equity securities to fund future operations, including financings in connection with a strategic transaction, write-downs of assets or goodwill or incurrence of non-recurring, impairment or other charges, increased amortization expenses, difficulty and cost in combining the operations and personnel of any acquired or acquiring business with our operations and personnel, impairment of relationships with key suppliers or customers of any acquired or acquiring business due to changes in management and ownership, inability to retain key employees of the Company or any acquired or acquiring business and possibility of future litigation. Any of the foregoing risks could have a material adverse effect on our business, financial condition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a strategic transaction is not consummated, our board of directors may decide to pursue a dissolution and liquidation. In such an event, the amount of cash available for distribution to our stockholders will depend significantly on the timing of such liquidation as well as the amount of cash that may need to be reserved for commitments and contingent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can be no assurance that a strategic transaction will be completed. If a strategic transaction is not completed, our board of directors may decide to pursue a dissolution and liquidation.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value to stockholders in the event of a strategic transaction or dissolution may depend on the extent to which we will be able to successfully satisfy our existing contractual obligations to third parties and regulatory commitments on favorable terms, which may include the outcome of our negotiations to reduce or terminate such commitments.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currently subject to certain contractual and regulatory obligations and commitments. In connection with our comprehensive exploration of strategic alternatives, we may seek to negotiate with third parties in order to reduce or eliminate such obligations and commitments. Our ability to successfully negotiate such obligations or commitments on favorable terms, or at all, or our ability to satisfy any such obligations may impact our ability to pursue a strategic transaction on terms favorable to us, the resulting value to stockholders in a strategic transaction or the cash available for distribution to our stockholders in the event of our dissolution. We may also incur substantial costs in connection with or as a result of such negotiations or termination of any of our commitments. There can be no assurance that we will be successful in negotiating to reduce or eliminate any of our existing contractual or regulatory obligations and commitments, or that we will be able to satisfy any such obligations on a timetable that will allow us to maximize potential value to our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become involved in litigation, including securities class action litigation, that could divert our management’s attention and harm the Company’s business, and insurance coverage may not be sufficient to cover all costs and damages.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past, litigation, including securities class action litigation, has often followed certain significant business transactions, such as the sale of a company or announcement of any other strategic transaction, or the announcement of negative events. These events may also result in investigations by the SEC. We may be exposed to such litigation even if no wrongdoing occurred. Litigation is usually expensive and diverts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financial position and need for additional capital</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net losses since inception. We expect to incur net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inception, we have incurred annual net losses. We incurred net losses of $105.9 million and $119.1 million for the years ended December 31, 2022 and 2021, respectively, and net income of $20.9 million for the nine months ended September 30, 2023. We historically financed our operations primarily through private placements of our preferred stock and, more recently, our initial public offering and follow-on public offerings of our common stock, as well as sales of our common stock under our prior ATM facility. Although we have established the 2022 ATM Facility, as of the date of this report, we have not made any sales under the 2022 ATM Facility, and we will not make sales under the 2022 ATM Facility unless and until a new shelf registration statement on Form S-3 is filed and declared effective. In addition, on November 2, 2021 we entered into the Loan and Security Agreement, or the Term Loan Agreement, by and among the Company, the lenders party thereto from time to time and Silicon Valley Bank or its successor, Silicon Valley Bank, a division of First-Citizens Bank &amp; Trust company, which we refer to as SVB. In May 2023, we announced that we had entered into an Asset Purchase Agreement with Novartis providing for the sale of the Company’s cystinosis gene therapy program (designated AVR-RD-04) and all other assets of the Company specifically related to this program for an aggregate cash payment of $87.5 million upon closing of the transaction. In June 2023, we announced the closing of this transaction, as well as the pay-off of all outstanding amounts due and owed, including principal, interest and other charges, under the Term Loan Agreement and the termination thereof.</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devoted substantially all of our efforts to research and development, including clinical and preclinical development of our product candidates, as well as assembling our team. In July 2023, we announced the decision to halt further development of the Company’s programs and to conduct a comprehensive exploration of strategic alternatives, and as such, our research and development expenses have decreased. Should we resume development of our product candidates, we expect that research and development costs would increase significantly, that it will be several years, if ever, before we commercialize any product candidates, and that we would continue to incur significant expenses and increasing operating losses for the foreseeable future thereafter. We also anticipate that our expenses would increase substantially should we resume development of our product candidates and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resume clinical trial enrollment activities, particularly if and as we commence or resume clinical-stage activities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initiate additional clinical trials and preclinical studies for our product candidates,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experience delays or interruptions in preclinical studies, clinical trials, or our supply chain due to the COVID-19 pandemic;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to identify and develop or in-license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marketing approvals for our product candidates that successfully complete clinical trials,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 a sales, marketing and distribution infrastructure to commercialize any product candidates for which we may obtain marketing approval;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resume implementation of our plato platform as we seek to industrialize our HSC gene therapy approach into a robust, scalable and, if approved, commercially viable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hire and retain additional personnel, such as clinical, quality control, regulatory and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expand our office space, infrastructure and facilities as needed to accommodate our employee base, including adding equipment and physical infrastructure to support our research and development;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incur additional public company-related costs.</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continue to incur costs and expenditures in connection with the process of evaluating our strategic alternatives. Should we resume development of our product candidates, to become and remain profitable, we must successfully develop and eventually commercialize product candidates with significant market potential and acceptance. This will require us to be successful in a range of challenging activities, and our expenses will increase substantially as we seek to resume, initiate, conduct and complete preclinical and clinical trials of our product candidates, and manufacture, market and sell these or any future product candidates for which we may obtain marketing approval, if any, and satisfy any post-marketing requirements. Should we resume development of our product candidates,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audited financial statements for the year ended December 31, 2022 and the accompanying report of our independent registered public accounting firm included a discussion of the circumstances giving rise to substantial doubt about our ability to continue as a going concern. Substantial doubt about our ability to continue as a going concern, the Company’s inability to raise adequate capital as and when needed and the Company’s ability to identify and successfully consummate any strategic alternative may create negative reactions to the price of our common stock and could have a negative impact on our financial condition and ability to pursue our business strategies. There can be no assurance that our current operating plan will be achieved or that additional funding will be available at levels sufficient to fund our operations or on terms acceptable to us, or at all. In July 2023, we announced that we are undertaking a comprehensive exploration of strategic alternatives focused on maximizing stockholder value, which may include, but are not limited to, an acquisition, a merger, business combination or divestiture. Certain types of strategic alternatives, such as a reverse merger, may require the continuing business to raise capital in connection with such transaction, which financing may not be completed in a timely manner, on favorable terms or at all. There can be no assurance that any particular course of action, business arrangement or transaction, or series of transactions, will be pursued, successfully consummated or lead to increased stockholder value. Further, if we do not obtain additional funding and/or if a strategic transaction is not completed and we are unable to continue as a going concern, we may have to liquidate our assets and the values we receive for our assets in liquidation or dissolution could be significantly lower than the values reflected in our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never generated revenue from product sales and do not expect to do so for the next several years, if ever.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generate revenue from product sales and achieve profitability depends on our ability, alone or with collaborative partners, to successfully resume and complete the development of, and obtain the regulatory approvals necessary to commercialize, our product candidates. We do not anticipate generating revenues from product sales for the next several years, if ever. Should we resume development of our product candidates, our ability to generate future revenues from product sales depends heavily on our, or our collaborators’, success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re-initiating and completing research and preclinical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seeking and obtaining regulatory and marketing approvals for product candidates for which we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launching and commercializing product candidates for which we obtain regulatory and marketing approval by establishing a sales force, marketing and distribution infrastructure or, alternatively, collaborating with a commercialization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qualifying for adequate coverage and reimbursement by government and third-party payors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establishing and maintaining supply and manufacturing processes and relationships with third parties that can provide adequate, in both amount and quality, products and services to support clinical development and the commercial market demand for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market acceptance of our product candidates, if approved, as a viable treatment 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addressing any competing technological and market developments;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negotiating favorable terms in any collaboration, licensing or other arrangements into which we may enter and performing our obligations under such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attracting, hiring and retaining qualified personnel.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and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would be required. Even if we are able to generate revenues from the sale of any approved products, we may not become profitable and may need to obtain additional funding to continue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decide to resume development of our product candidates, we will need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Should we resume development of our product candidates, particularly if we resume the research and development of, initiate further clinical trials of and seek marketing approval for, our product candidates and continue to enhance and optimize our vector technology and manufacturing processes, we expect our expenses would increase in connection with such activities. In July 2023, we announced we were halting further development of our programs. Following such announcement, in September 2023 we terminated our agreements with the University of Manchester for the license and development of a gene therapy for MPSII, or Hunter syndrome, and discontinued our AVR-RD-05, or Hunter syndrome gene therapy program. Previously, in June 2023, we sold our cystinosis gene therapy program to Novartis. As of the date of the filing of this Quarterly Report, we have a total of three</w:t>
      </w:r>
      <w:r>
        <w:rPr>
          <w:rFonts w:ascii="Times New Roman" w:hAnsi="Times New Roman"/>
          <w:color w:val="000000"/>
          <w:sz w:val="20"/>
        </w:rPr>
        <w:t xml:space="preserve"> </w:t>
      </w:r>
      <w:r>
        <w:rPr>
          <w:rFonts w:ascii="Times New Roman" w:hAnsi="Times New Roman"/>
          <w:b w:val="false"/>
          <w:color w:val="000000"/>
          <w:sz w:val="20"/>
        </w:rPr>
        <w:t>gene therapy product candidates, for Gaucher, Pompe and Fabry diseases, none of which is currently in clinical development. Resumption of the development of these product candidates, if that were to occur, would require us to expend significant resources to advance these candidates. In addition, should we resume development of our product candidates and thereafter obtain marketing approval for any of our product candidates, we would expect to incur significant expenses related to product sales, medical affairs, marketing, manufacturing and distribution. Though we have halted further development of the Company’s programs to conduct a comprehensive exploration of strategic alternatives and have conducted reductions in force, we may incur significant costs in connection with a comprehensive review of strategic alternatives, and we have incurred, and may in the future incur, significant costs related to this continued evaluation. We may also incur additional unanticipated expenses in connection with this process. Furthermore, we expect to continue to incur additional costs associated with operating as a public company. Accordingly, should we resume development of our product candidates, we will need to obtain substantial additional funding in connection with our continuing operations. If we are unable to raise capital when needed or on reasonable terms, and/or if a strategic transaction is not completed, we may have to liquidate our assets. Our future capital requirements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exploration of strategic alternatives to maximize stockholder value, including whether we are able to identify and implement any potential strategic alternatives, in a timely manner or at all, whether we realize all or any of the anticipated benefits of any such transaction and whether any such transactions would generate value for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the scope, progress, results and costs of drug discovery, laboratory testing, preclinical development and clinical trials for our product candidates, including the extent of any impacts from the COVID-19 pandemic or similar public health crisis on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future activities, including, should we resume development of our product candidates, product sales, medical affairs, marketing, manufacturing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the costs associated with our manufacturing process development and evaluation of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 if any, should we resume development of our product candidates, received from commercial sale of our products,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amounts, if any, raised from potential financings and capital raising activities should we resume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defending against and resolving adverse litigation, if any;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terms of our current and any future license agreements and collaborations;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to which we acquire or in-license other product candidates, technologies and intellectual property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Identifying potential product candidates and conducting preclinical testing and clinical trials is a time-consuming, expensive and uncertain process that takes years to complete, and should we resume development of our product candidates,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Entry into an acquisition, merger, business combination, or other strategic transaction, or raising additional capital may cause dilution to our existing stockholders, restrict our operations or cause us to relinquish valuable rights.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July 2023, we announced our intention to explore strategic alternatives, including a potential acquisition, merger, business combination, or other strategic transaction. The terms of any strategic transaction that we might enter into could result in the issuance of securities in the company, such as our common stock, which could result in significant dilution to our stockholders. Additionally, in connection with such strategic alternatives, we may seek to raise additional capital through a combination of public and private equity offerings or other financing arrangements. To the extent that we enter into a strategic transaction and/or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strategic or financing plans or the terms of such strategic transaction or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limited operating history may make it difficult for you to evaluate the success of our business to date and to assess our future viability.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were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commercial scale or conduct sales and marketing activities necessary for successful commercialization. Consequently, any predictions you make about our future success or viability, should we resume development of our programs, may not be as accurate as they could be if we had a longer operating history. In addition, as an early-stage company, we may encounter unforeseen expenses, difficulties, complications, delays and other known and unknown factors.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Uncertainty remains over liquidity concerns in the broader financial services industry, and if any of our contract organizations, vendors, suppliers or other parties with whom we conduct business are unable to access funds pursuant to their own arrangements with such a financial institution, such party’s ability to perform their obligations could be adversely affected. Similar impacts have occurred in the past, such as during the 2008-2010 financial crisis.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access to uninsured funds in the future in the event of the closure of other banks or financial institutions, or that they would do so in a timely fashion.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Delayed access to deposits or other financial assets or the uninsured loss of deposits or other financial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or actual breach of contractual obligations that require the Company to maintain letters of credit or other credit support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or actual breach of financial covenants in our credit agreements or credit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or actual cross-defaults in other credit agreements, credit arrangements or operating or financing agreements;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Termination of cash management arrangements and/or delays in accessing or actual loss of funds subject to cash management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any further deterioration in the macroeconomic economy or financial services industry could lead to losses or defaults by our contract organizations, vendors, suppliers or other parties with whom we conduct business, which in turn, could have a material adverse effect on our current and/or projected business operations and results of operations and financial condition. For example, contract organizations, vendors, suppliers or other parties with whom we conduct business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bankruptcy or insolvency involving our contract organizations, vendors, suppliers or other parties with whom we conduct business, or any breach or default by such parties, or the loss of any significant relationships with such parties, could result in a material adverse impact on our business.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discovery and development of our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Business interruptions resulting from the coronavirus disease, or COVID-19, pandemic or similar public health crises have caused and may in the future cause a disruption of the development of our product candidates and adversely impact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Public health crises such as pandemics, epidemics, or any outbreak of an infectious disease or similar public health crises could adversely impact our business. For example, the COVID-19 pandemic disrupted normal business operations both in and outside of affected areas and has had significant negative impacts on businesses and financial markets worldwide. While we currently have no ongoing clinical development activities following our decision to halt our clinical development programs while we consider strategic alternatives, we continue to monitor our operations and follow applicable government recommendations, and the majority of our employees have adopted a “hybrid” work schedule which generally limits the number of people in our office at any particular time.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Notwithstanding these measures, the COVID-19 pandemic, including potential outbreaks of new variants, or any other public health crisis could affect the health and availability of our workforce as well as those of the third parties on which we rely. If members of our management and other key personnel are unable to perform their duties or have limited availability due any outbreak of an infectious disease or similar public health crises, we may not be able to execute on our business strategy and/or our operations may be negatively impacted.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clinical trial activities, should we resume any such activities, including patient enrollment and data collection, are dependent upon global clinical trial sites which were adversely affected by the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we substantially resumed data collection and dosing of new patients until halting our development programs in July 2023, our ability to continue clinical activities without further delay or interruption, should we resume development of our programs, will depend on future developments that are highly uncertain and cannot be accurately predicted.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 factors from any public health crisis that may delay or otherwise adversely affect enrollment in or the progress of the clinical trials of our product candidates if we resume development of our programs, as well as our business generally,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interruption in global shipping affecting the transport of clinical trial materials, such as patient samples, investigational drug product and conditioning drugs and other supplies used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business disruptions involving our third parties on whom we rely, including CROs and other collaborators for the conduct of our clinical trials or our third party suppliers or manufacturers, which could impact their ability to perform adequately or disrupt our supply chain;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hospital or research institution policies or government regulations, which could delay or adversely impact our ability to conduct our clinical trials.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and other factors arising from public health crises could reemerge or worsen and adversely impact our ability to conduct clinical trials and our business generally, and could have a material adverse impact on our operations and financial condition and results. The extent to which any public health crisis impacts our operations or those of our third party partners will depend on future developments, which are highly uncertain and cannot be predicted with confidence, including the duration of the public health crisis, the efficacy and safety of vaccines, including against emerging variants, the ability of third parties to manufacture and distribute vaccines, among others.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HSC lentiviral-based gene therapy product candidates are based on a novel technology, which makes it difficult to predict the time and cost of product candidate development and of subsequently obtaining regulatory approval, should we resume development of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concentrated our research and development efforts on our HSC gene therapy approach, and should we resume development of our product candidates our future success would depend on our successful development of viable gene therapy product candidates. There can be no assurance that we will not experience problems or delays in developing new product candidates, should we resume development of our product candidates, and that such problems or delays will not cause unanticipated costs, or that any such development problems can be solved. For example, timely enrollment in our clinical trials is dependent upon global clinical trial sites which were adversely affected by the COVID-19 pandemic. In addition, we may also experience delays in developing a sustainable, reproducible and scalable manufacturing process or transferring that process to commercial, additional or alternative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partners, which should we resume development of our product candidates may prevent us from completing clinical studies or commercializing our products on a timely or profitable basis, if at all. For example, as of July 12, 2023, the date on which we announced that we were halting all further development activities in our programs, we had only dosed 11 patients using our plato platform, including six patients in our FAB-GT clinical trial (for which we previously halted enrollment) and five patients in our Guard1 clinical trial. Our implementation of the LV2 lentiviral vector or of our cell processing to an industrialized, automated closed system using disposable supplies may not be successful or may experience unforeseen delays, should we resume development of our product candidates, which may cause shortages or delays in the supply of our products available for clinical trials and future commercial sales, if any, or impair our research and development efforts, including those in any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HSC gene therapy.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HSC gene therapies have received marketing authorization from the FDA or foreign regulatory authorities. Should we resume development of our product candidates, it is difficult to determine how long it would take or how much it would cost to obtain regulatory approvals for those product candidates in the United States, Canada, Europe, Japan or other major markets or how long it would take to commercialize those product candidates, if any were to be approved. Approvals by foreign regulatory authorities may not be indicative of what the FDA may require for approval, and vice versa.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Before a clinical trial can begin at any institution, that institution’s review board, or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our product candidates should we resume their development. Similarly, foreign regulatory authorities may issue new guidelines concerning the development and marketing authorization for gene therapy medicinal products and require that we comply with these new guidelines.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or OTAT, within the CBER, to consolidate the review of gene therapy and related products, and to advise the CBER on its review. In September 2022, the FDA announced retitling of OTAT to the Office of Therapeutic Products, or OTP, and elevation of OTP to a “Super Office” to meet its growing cell and gene therapy workload. Although FDA has indicated that this change of name and responsibilities is intended to, among other things, increase review capabilities and enhance expertise on new cell and gene therapies, we cannot be certain that this approach will improve the time and cost associated with navigating gene therapy regulatory requirements, our regulatory strategy or the potential success of our product candidates. Such regulatory action and developments could, instead, delay, impede or even prevent commercialization of some or all of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Should we resume development of our product candidates, we will be required to consult with these regulatory and advisory groups, and comply with applicable guidelines. If we fail to do so, we may be required to delay or discontinue development of certain of those product candidates. These additional processes may result in a review and approval process that is longer than we otherwise would have expected. Should we resume development of our product candidates, the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FDA continues to develop its guidance for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Foreign regulatory agencies also may have requirements for long term follow-up studies of patients following human gene therapy administration.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and the process for administering our product candidates may cause undesirable side effects or have other properties that, should we resume development of our product candidates, could delay or prevent their regulatory approval, limit their commercial potential or result in significant negative consequences following any potential marketing approval.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or compassionate use, may lead to discovery of undesirable side effects, or other negative consequences that could have adverse impacts on our development programs for our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we may be unable to resume our development programs and any further development of the product candidate may ultimately fail or be delayed.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HSC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HSC gene therapy clinical trials. While our HSC gene therapy approach has been designed to avoid insertional oncogenesis, there can be no assurance that patients will not experience such adverse effects, including death. Should we resume development of our gene therapy product candidates and any of those product candidates demonstrates adverse side effects at unacceptable rates or degrees of severity, we may decide or be required to halt or delay clinical development of such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to side effects caused by our product candidates, the conditioning, administration process or related procedures,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we designed to utilize a precision dosing program, called TCI, to achieve a balance between the removal of a sufficient amount of bone marrow cells from a patient to aid engraftment of our genetically modified cells against potential risks, such as toxicity or graft failure. Our conditioning regimens may not be successful or may nevertheless result in adverse side effects. For example, busulfan, the myeloablative agent most recently used in our conditioning regimen, has been known to carry certain safety risks, including the risk of impairment to fertility in both men and women, and such impairment has been reported in some patients in our clinical trials. Moreover, in each of our previous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unexpected rates or degrees of severity, the FDA or other foreign regulatory authorities could order the cessation of development of, or deny approval of,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Even if we are able to demonstrate that adverse events are not product-related, such occurrences could adversely affect patient recruitment (should we resume development of our product candidates) or the ability of enrolled patients to complete the clinical trial, and lead to a decline in our stock price.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if we resume development of our programs and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suspend or withdraw approvals of such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require additional or boxed warnings on the label;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required to change the way a product candidate is distributed, dispensed, or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reputation may suffer.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of these events could prevent us from achieving or maintaining market acceptance of our product candidates, lead to a decline in our stock price, and significantly harm our business, prospects,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never completed a pivotal or registrational clinical trial, and may be unable to do so for any product candidates we may develop, should we resume development of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at an early stage of development for all of our product candidates, and have currently halted further development of the Company’s programs. As of the date of this Quarterly Report, only 25 patients have been dosed in our clinical trials, which includes 14 patients from our Fabry program that we deprioritized in January 2022, six patients in our cystinosis program that we sold to Novartis in June 2023, and five patients in our Gaucher disease type 1 program. Should we resume development of our product candidates, further clinical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 Carrying out later-stage clinical trials is a complicated and lengthy process, and we do not expect that all data from patients participating in the clinical trials will be relevant or meaningful.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across our Company-sponsored clinical trials we have dosed only four patients in the United States, and our interactions with the FDA have generally been limited. We cannot be certain how many additional clinical trials of any of our product candidates would be required or how such trials should be designed, should we resume development of our programs. In order to commence a clinical trial in the United States, we are required to seek FDA acceptance of an IND for each of our product candidates. We cannot be sure any IND we submit to the FDA, or any similar CTA we submit in other countries, will be accepted. Should we resume development of our product candidates, there can be no assurance that we would be able to submit and secure similar clearances for any of our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the necessary clinical trials, could prevent us from or delay us in commercializing any of our product candidates.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Success in preclinical studies or early clinical trials may not be indicative of results obtained in later trials,</w:t>
      </w:r>
      <w:r>
        <w:rPr>
          <w:rFonts w:ascii="Times New Roman" w:hAnsi="Times New Roman"/>
          <w:color w:val="000000"/>
          <w:sz w:val="20"/>
        </w:rPr>
        <w:t xml:space="preserve"> </w:t>
      </w:r>
      <w:r>
        <w:rPr>
          <w:rFonts w:ascii="Times New Roman" w:hAnsi="Times New Roman"/>
          <w:b/>
          <w:i/>
          <w:color w:val="000000"/>
          <w:sz w:val="20"/>
        </w:rPr>
        <w:t>should we resume development of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ongoing or future studies or trials, should we resume development of any of our programs. Furthermore, preliminary results may not be indicative of the final results of a trial after all data have been collected and analyzed. For example, in January 2022 we announced the deprioritization of our Fabry program due to several factors, including new clinical data showing variable engraftment patterns from the five most recently dosed Phase 2 FAB-GT patients. Although previously reported data from 13 patients treated across our clinical-stage programs had shown durable engraftment out 9 to 54 months, the new data from the five most recently dosed Phase 2 FAB-GT patients were discordant with these other data and showed variable engraftment. Data from three of the five patients showed both a reduction to near baseline levels in alpha-galactosidase A enzyme activity in leukocytes and plasma, and a reduction in vector copy number in whole blood, potentially suggesting resistance to persistent engraftment of the genetically modified cells observed at three to nine months post infusion of AVR-RD-01. Based on our internal assessment, we believe, due to the large degree of heterogeneity in Fabry disease, that in some cases there may be intrinsic resistance to engraftment related to the unique underlying pathophysiology of untreated Fabry disease, potentially caused by the persistently stressed vascular endothelium. However, while this belief is based on a thorough review</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and analysis conducted by the Company, it remains a hypothesis and, should we resume development of our product candidates, there can be no assurance that similar engraftment or other issues will not occur in clinical trials of our other product candidates, which are all based on our technology and the same HSC approach utilized for AVR-RD-01. For example, although we believe the variable engraftment data were caused by factors intrinsic to certain Fabry disease patients and we do not anticipate readthrough to other clinical trials should we resume development of our product candidates, if the variable engraftment data were actually caused, directly or indirectly, by any other factors, including any aspect of our plato platform or the conditioning process, we could see similar issues in other clinical trials.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should we resume development of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also may experience regulatory delays or rejections as a result of many factors, including due to changes in regulatory policy or the approval of competitive therapies during the period of our product candidate development. Should we resume development of any of our product candidates, those product candidates may fail to show the desired safety and efficacy in clinical development despite positive results in preclinical studies. Any such failure would cause us to abandon the product candidate.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As is typical in open-label studies in which interim reports are provided, the safety and efficacy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we may find it difficult to enroll patients in our clinical trials, which could delay or prevent us from proceeding with clinical trials of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Should we resume development of our product candidates, the timing and success of our patient enrollment and clinical trial activities would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have targeted and may in the future target are rare diseases, which may limit the pool of patients that may be enrolled in our clinical trials. Should we resume development of our product candidates,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may not be able to identify, recruit and enroll a sufficient number of patients, or those with required or desired characteristics, to complete our clinical trials in a timely manner or at all. There can be no assurance we will achieve that goal or any of our other patient enrollment goals should we resume development of our product candidates.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Patient enrollment and trial completion is affected by factors including the: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size of the patient population and process for identifying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 of the trial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eligibility and exclusion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perceived risks and benefits of the product candidate under study;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perceived risks and benefits of gene therapy-based approaches to treatment of diseases, including any required pretreatment conditioning regimens;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availability of competing therapies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availability of genetic testing for potential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proximity and availability of clinical trial sites for prospective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ability to obtain and maintain subject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risk that enrolled patients will drop out before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patient referral practices of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ability to monitor patients adequately during and after treatment.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historically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should we resume development of our product candidates,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were being developed to treat rare conditions. Should we resume development of our product candidates, we would expect to seek initial marketing approvals in the United States, Europe and certain other major markets, including Japan. However, we may not be able to resume, initiate or continue clinical trials if we cannot enroll a sufficient number of eligible patients to participate in the clinical trials required by FDA or other foreign regulatory authorities. Our ability to successfully resume, initiate, enroll and complete a clinical trial in any foreign country is subject to numerous risks unique to conducting business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difficulty in establishing or managing relationships with contract research organizations, or CROs, clinical study sites and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different standards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absence in some countries of established groups with sufficient regulatory expertise for review of gene therapy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inability to locate qualified local consultants, physicians and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and if we have difficulty enrolling a sufficient number of patients to conduct our clinical trials, we may need to delay, limit or terminate the resumption or continuation of clinical trials, any of which would have an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we may encounter substantial delays in resuming our clinical trials or we may fail to demonstrate safety and efficacy to the satisfaction of applicable regulatory authorities.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Should we resume development of our product candidates, we cannot guarantee that any clinical studies will be conducted as planned or completed on schedule, if at all. A failure of one or more clinical studies can occur at any stage of testing. Events that may prevent successful or timely completion of clinical development, should we resume any clinical development programs,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reaching a consensus with regulatory agencies on study design;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reaching agreement on acceptable terms with prospective CROs and clinical study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obtaining required IRB approval at each clinical study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recruiting suitable patients to participate in our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imposition of a clinical hold by regulatory agencies, after an inspection of our clinical study operations or study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by our CROs, other third parties or us to adhere to clinical study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to perform in accordance with the FDA’s good clinical practices, or GCP, or applicable regulatory guidelines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the testing, validation, manufacturing and delivery of our product candidates to the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having patients complete participation in a study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study sites or patients dropping out of a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occurrence of serious adverse events associated with the product candidate that are viewed to outweigh its potential benefits;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regulatory requirements and guidance that require amending or submitting new clinical protocols.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Should we resume development of our product candidates, any inability to successfully complete preclinical and clinical development could result in additional costs to us or impair our ability to generate revenues. In addition, if we make changes to our product candidates, or if collaborator-sponsored trials utilize different materials or manufacturing processes from ours to generate data, we may need to conduct additional studies to compare or bridge our modified product candidates to earlier versions, which could delay our clinical development plan or marketing approval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and, following such resumption, if the results of our clinical studies are inconclusive or if there are safety concerns or adverse events associated with our product candidates,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 delayed in obtaining marketing approval for our product candidates,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 approval with labeling or a REMS that includes significant use or distribution restrictions or safety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 subject to changes with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 required to perform additional clinical studies to support approval or 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have regulatory authorities withdraw their approval of the product or impose restrictions on its distribution in the form of a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 subject to the addition of labeling statements, such as warnings or contraindications;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 sued;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experience damage to our reputation.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of these events could prevent us from achieving or maintaining market acceptance of our product candidates and impair our ability to commercialize our products.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even if we complete the necessary preclinical and clinical studies, we cannot predict whether or when we would be able to obtain regulatory approval to commercialize a product candidate, and any approval could be for a narrower indication than anticipated.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cannot commercialize a product until the appropriate regulatory authorities have reviewed and approved the product candidate. Even if we resume development of our product candidates and they are able to demonstrate safety and efficacy in clinical studies to support submitting such programs for marketing approval,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 commercialization of our product candidates. If we are unable to obtain necessary regulatory approvals or labeling claims, our business, prospects, financial condition and results of operations would be materially and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commercially-scalable plato platform has been used in only two of our clinical trials and clinical development has been halted.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While we have submitted and, should we resume development of our product candidates, intend to continue to submit comparability studies to the FDA and other regulatory agencies, as needed, with respect to our implementation of our scalable plato platform,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Should we resume development of our product candidates, we intend to continue implementing our scalable plato platform, including heightened vector efficiency, our closed, automated manufacturing system and utilization of a customized conditioning regimen, in connection with each of our investigational product candidates. We have developed the plato platform to form the backbone of our commercial programs, with the intent of replacing our original academic platforms with improved solutions for delivering our gene therapy candidates to patients in multiple disease indications. In order to implement this transition, we were and would continue to be required to conduct additional studies to bridge our modified product candidates to earlier versions, including any earlier version that may have been utilized in a collaborator-sponsored clinical study, which could delay clinical development or marketing approvals.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in our industry and, should we resume development of our product candidates,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 should we resume development of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Should we resume development of our product candidates, our product candidates, if successfully developed and approved, will compete with established therapies, some of which are being marketed by large and international companies. In addition, should we resume development of our product candidates, we expect to compete with new treatments that are under development or may be advanced into the clinic by our competitors. There are a variety of product candidates, including gene therapies, in development for the indications that we are targeting.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anticipate competing with biotechnology and pharmaceutical companies, many of which may have significantly greater resources than we do. For example, for Gaucher disease, Sanofi, Pfizer, and Takeda market existing enzyme replacement therapies, or ERTs, that represent the standard of care for Gaucher patients. For Gaucher disease we also expect that we would compete with oral therapies marketed by Johnson &amp; Johnson and Sanofi. Sanofi also markets an enzyme replacement therapy for Pompe disease. In addition, we may compete with other gene therapy companies in our industry such as Freeline Therapeutics, Generation Bio, or Eli Lilly and Company. Freeline Therapeutics, for example, is developing an adeno-associated virus, or AAV based gene therapy for Gaucher disease type 1. Moreover, a number of gene therapy companies have announced preclinical or clinical non-viral and adeno-associated viral based gene therapy programs that, if successful in obtaining regulatory approval, could compete with our gene therapies. For example, several companies including AskBio (a subsidiary of Bayer AG) and Astellas Pharma have clinical programs for late onset Pompe disease and GeneCradle Therapeutics has announced a clinical program for infantile onset Pompe disease.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methods of treatment to our product candidates, or if physicians switch to other new drug or biologic products or choose to reserve our product candidates for use in limited circumstances.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would expect to seek designations for our product candidates with the FDA and comparable foreign regulatory authorities that are intended to confer benefits such as a faster development process or an accelerated regulatory pathway. However, there can be no assurance that we could successfully obtain such designations. In addition, even if one or more of our product candidates are granted such designations, we may not be able to realize the intended benefits of such designations.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seek a Breakthrough Therapy Designation for some of our product candidates should we resume development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may seek an accelerated approval pathway for one or more of our product candidates from the FDA or comparable foreign regulatory authorities. The FDA may grant accelerated approval to a therapeutic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prior to seeking accelerated approval, we would expect to seek feedback from the FDA or comparable foreign regulatory authorities and would otherwise evaluate our ability to seek and receive such accelerated approval. There can be no assurance that after our evaluation of the feedback and other factors we would decide to pursue or submit a BLA for accelerated approval or any other form of expedited development, review or approval. Similarly, there can be no assurance that after subsequent feedback from the FDA or comparable foreign regulatory authorities, we would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Moreover, even if we are able to obtain accelerated approval for any of our product candidates, there is no guarantee that post-approval studies will be able to confirm the clinical benefit, which could cause FDA to withdraw our approval.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Should we resume development of our product candidates, we may also pursue programs or designations from foreign regulatory authorities, such as the UK’s Innovative Licensing and Access Pathway, or ILAP, which aims to accelerate the time to</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market and facilitate patient access to certain types of medicinal products in development which target a life-threatening or seriously debilitating condition, or where there is a significant patient or public health need. To access the ILAP, an applicant applies for an Innovation Passport designation. Once an Innovation Passport designation is granted, the MHRA and its partner agencies (including The All Wales Therapeutics and Toxicology Centre, National Institute for Health and Care Excellence, or NICE, and the Scottish Medicines Consortium, or SMC) will work with the Innovation Passport designee to define a Target Development Profile, or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should we resume development of our product candidates,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However, the FDA has broad discretion whether or not to grant Fast Track designation, so even if we believe a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should we resume development of our product candidates,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we may be unable to obtain orphan drug designation for our product candidates and, even if we obtain such designation, we may not be able to realize the benefits of such designation, including potential marketing exclusivity of our product candidates, if approved.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may designate a medicinal product as an orphan medicinal product if it is intended for the diagnosis, prevention or treatment of a life-threatening or chronically debilitating condition affecting not more than 5 in 10,000 persons in the European Union. Additionally, orphan designation may be granted for products intended for the diagnosis, prevention or treatment of a life-threatening, seriously debilitating or serious and chronic condition when, without incentives, it is unlikely that sales of the product in the European Union would be sufficient to justify the necessary investment in developing the product. In either case, the applicant must be able to establish that there is no satisfactory method of diagnosis, prevention or treatment of such condition authorized for marketing in the European Union, or if such a method exists, the product would be of a significant benefit to those affected by the condition.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request orphan drug designation (or the foreign equivalent) for product candidates, there can be no assurances that the FDA or applicable foreign regulatory authorities will grant such designation. Additionally, the designation of any of our product candidates as an orphan product does not mean that any regulatory agency will accelerate regulatory review of, or ultimately approve,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designation or if the product is sufficiently profitable so that market exclusivity is no longer justified. The European Commission introduced a legislative proposal in April 2023 that, if implemented, could reduce the current ten-year marketing exclusivity period in the European Union for certain orphan medicines to nine years (or five years for well-established use orphan medicines).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a marketing authorization may be granted to a similar medicinal product for the same orphan indication at any time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second applicant can establish in its application that its medicinal product, although similar to the orphan medicinal product already authorized, is safer, more effective or otherwise clinically superior;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holder of the marketing authorization for the original orphan medicinal product consents to a second orphan medicinal product application;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holder of the marketing authorization for the original orphan medicinal product cannot supply sufficient quantities of orphan medicinal product.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marketing application for a product candidate with rare pediatric disease designation, or RPDD, if approved, may not meet the eligibility criteria for a Priority Review Voucher, or PRV, or the RPDD program may sunset before the FDA is able to consider eligibility for a voucher.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Designation of a drug or biologic as a product for a rare pediatric disease does not guarantee that a BLA for such drug or biologic will meet the eligibility criteria for a rare pediatric disease PRV at the time the application is approved. Under the Federal Food, Drug, and Cosmetic Act, should we resume development of our product candidates, we would need to request a rare pediatric disease PRV in our original BLA for any of our product candidates that previously received RPDD. The FDA may determine that any such BLA, if approved, does not meet the eligibility criteria for a PRV, including for the following reasons: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disease indication no longer meets the definition of a rare pediatric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BLA contains an active ingredient that has been previously approved in a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BLA is not deemed eligible for priority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BLA is approved for a different adult indication than the rare pediatric disease for which the product candidate is designated.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authority for the FDA to award rare pediatric disease PRVs for drugs that have received rare pediatric disease designation prior to September 30, 2024 currently expires on September 30, 2026. If the BLA for any of our product candidates with RPDD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even if we obtain regulatory approval for a product candidate, our products will remain subject to regulatory oversight.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fail to comply with applicable regulatory requirements following approval of any of our product candidates, a regulatory authority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issue a warning letter asserting that we are in violation of the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an injunction or impose administrative,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suspend or withdraw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suspend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refuse to approve a pending BLA or comparable foreign marketing application (or any supplements thereto) submitted by us or our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restrict the marketing or manufacturing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seize or detain the product or otherwise require the withdrawal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refuse to permit the import or export of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refuse to allow us to enter into supply contracts, including government contracts.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our focus on developing such product candidates may not yield any commercially viable products, and our failure to successfully identify and develop additional product candidates could impair our ability to grow.</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we initially pursued a growth strategy to identify, develop and market additional product candidates, we have halted further development of the Company’s programs and, should we resume development of our product candidates, we do not anticipate actively seeking additional product candidates beyond our existing product candidates. Should we resume development of our product candidates, we may spend several years completing our development of any particular product candidates, and failure can occur at any stage. The product candidates to which we allocate our resources may not end up being successful. Because we have limited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resources, we may forego or delay pursuit of opportunities with certain programs or product candidates or for indications that later prove to have greater commercial potential than our product candidates. Our spending on any future research and development programs may not yield any commercially viable product candidates. Should we resume development of our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should we resume development of our product candidates, certain of our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in clinical trials or in obtaining marketing approval thereafter. Accordingly, our focus on treating these diseases may not result in the development of commercially viable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if we are unsuccessful in our development efforts, we may not be able to advance the development of our product candidates, commercialize products, raise capital, expand our business or continue our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manufacturing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 therapies are novel, complex and difficult to manufacture. Should we resume development of our product candidates, we could experience production problems that result in delays in our development or commercialization programs or otherwise adversely affect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manufacturing process we use to produce our product candidates is complex, novel and has not been validated for commercial use. Should we resume development of our product candidates, several factors could cause production interruptions, including equipment malfunctions, facility contamination, raw material shortages or contamination, natural disasters, disruption in utility services, human error or disruptions in the operations of our suppliers.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Should we resume development of our product candidates,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 Our manufacturing process relies on a platform structure, which we refer to as our plato platform, and, if we experience delays, deviations or failures that impact that platform, such delays, deviations or failures could have an adverse impact on our development products or future commercialization programs.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we expect to rely on third parties to conduct some or all aspects of our vector production, product manufacturing, protocol development, research and preclinical and clinical testing, and these third parties may not perform satisfactorily.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Should we resume development of our product candidates, we do not expect to independently conduct our vector production, product manufacturing, protocol development, research and preclinical and clinical testing. We have historically relied, and, should we resume development of our product candidates, expect to continue to rely, on third parties with respect to these items. Any of these third parties may terminate their engagements with us or renegotiate the terms of our agreements at any time. If we need to enter into alternative arrangements, it could delay our product development activities. Our reliance on these third parties for research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with relevant experience and expertise, our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We cannot make any assurances that these difficulties will not occur in the future, or that we will be able to resolve or address them in a timely manner or at all as problems arise.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anticipated data was not available.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reliance on third-party manufacturers entails risks to which we would not be subject if we manufactured the product candidates ourselves,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inability to negotiate manufacturing agreements with third parties under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reduced control as a result of using third-party manufacturers for all aspects of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termination or nonrenewal of manufacturing agreements with third parties in a manner or at a time that is costly or damaging to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disruptions to the operations of our third-party manufacturers or suppliers caused by conditions unrelated to our business or operations, including the impact of the COVID-19 pandemic or the bankruptcy of the manufacturer or supplier.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historically relied, and, should we resume development of our product candidates,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moved our cell processing to an automated, closed system with a sole source supplier. In addition, we have historically relied, and, should we resume development of our product candidates, expect to continue to rely, on sole source suppliers for vector supply, plasmid supply and cell culture media, as well as drug product manufacturing for our Company-sponsored clinical trials. Should we resume development of our product candidates, our sole source suppliers may be unwilling or unable to supply product to us reliably, continuously or at the levels we anticipate or are required by our clinical trial activities, or at all. Such suppliers could still delay, suspend, or terminate supply of product to us for a number of reasons, including manufacturing or quality issues, payment disputes with us, intellectual property disputes with third parties, bankruptcy or insolvency, earthquakes or other natural disasters or other occurrences.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we depend on a limited number of suppliers for some of the other components necessary for our product candidates. Should we resume development of our product candidates, we cannot be sure that any of our suppliers will remain in business, or that they will not be purchased by one of our competitors or another company that is not interested in continuing to produce these materials for our intended purpose. Our use of a sole source or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equipment. Any of our vendors may be unable or unwilling to meet our future demands for our clinical trials or commercial sale. Establishing additional or replacement suppliers for these components and materials could take a substantial amount of time and it may be difficult or impossible to establish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replacement suppliers who meet regulatory requirements. Any disruption in supply from any supplier or manufacturing location could lead to supply delays or interruptions which would damage our business, financial condition, results of operations and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and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If we resume development of our product candidates, we would seek to maintain adequate inventory of the components and materials used in our product candidates; however,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reliance on suppliers subjects us to a number of risks that, should we resume development of our product candidates, could materially harm our reputation, business, and financial condition, including,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production, supply, shipment or delivery as a result of the COVID-19 pandemic or trade sanctions, embargoes, and heightened export requirements resulting from the war in Ukraine and the evolving conflicts in Israel and the Gaza Strip;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interruption of supply resulting from modifications to or discontinuation of a supplier’s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product shipments resulting from uncorrected defects, reliability issues, or a supplier’s variation in a component;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lack of long-term supply arrangements for key components with our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inability to obtain adequate supply in a timely manner, or to obtain adequate supply on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difficulty and cost associated with locating and qualifying alternative suppliers for our components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production delays related to the evaluation and testing of products from alternative suppliers, and corresponding regulatory qualifications;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delay in delivery due to our suppliers prioritizing other customer orders over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damage to our reputation caused by defective components produced by our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increased cost of our warranty program due to product repair or replacement based upon defects in components produced by our suppliers;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fluctuation in delivery by our suppliers due to changes in demand from us or their other customers.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any of these risks materialize, our costs could significantly increase and our ability to conduct our clinical trials and, if our product candidates are approved, to meet demand for our products could be impacted.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and our contract manufacturers are subject to significant regulation with respect to manufacturing our products. The manufacturing facilities on which we have relied may not continue to meet regulatory requirements and have limited capacity.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our development activities to date, we have relied on sole source suppliers of our automated, closed cell processing system; vector supply; plasmid supply; cell culture media; as well as drug product manufacturing for our Company-sponsored clinical trials. In addition, we have depended on a limited number of suppliers for some of the other components necessary for our product candidates. Each of our suppliers may require licenses to manufacture such components if such processes are not owned by the supplier or in the public domain, and we may be unable to transfer or sublicense the intellectual property rights we may have with respect to such activities.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or similar public health crisis, the FDA may issue a complete response letter or defer action on our applications, and approval of the products may be delayed or may not be granted.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Because we have relied and, should we resume development of our product candidates, would expect to continue to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commercialization of our product candidates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and obtain approval of any of our product candidates, and we are unable to establish sales, distribution and marketing capabilities or enter into agreements with third parties to market and sell our product candidates, we will be unable to generate any product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successfully commercialize any of our product candidates, if approved, we will need to develop our commercial capabilities, either on our own or with others, should we resume development of our product candidates.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and the market opportunities for our product candidates are smaller than we believe they are, our product revenues may be adversely affected and our business may suffer.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historically focused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should we resume development of our product candidates, would adversely affect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the commercial success of any current or future product candidate will depend upon the degree of market acceptance by physicians, patients, third-party payors and others in the medical community.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and thereafter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efficacy and potential advantages over alternative treatments, including any similar generic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efficacy and safety as demonstrated in pivotal clinical trials and published in peer-reviewed journals;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prevalence and severity of any side effects resulting from the conditioning regimen for the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to offer the products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clinical indications for which the products are approved by the FDA or comparable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relative convenience and ease of dosing and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strength of marketing and distribution support and timing of market introduction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restrictions on how the product is distributed;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of accessible and skilled healthcare centers capable of administering our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publicity concerning our products or competing products and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favorable third-party insurance coverage and sufficient reimbursement.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if we obtain approval to commercialize our product candidates outside of the United States, a variety of risks associated with international operations could materially adversely affect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had been conducting clinical trials for our product candidates in the United States, Canada and Australia, and should we resume development of our product candidates, we would expect to expand our clinical trials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different regulatory requirements for approval of drugs and biologics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reduced protection for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unexpected changes in tariffs, trade barriers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economic weakness, including inflation, fluctuating interest rates,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business interruptions resulting from geopolitical actions, including war and terrorism, or natural disasters including earthquakes, typhoons, floods and fires.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insurance coverage and reimbursement status of newly-approved products are uncertain. Should we resume development of our product candidates, failure to obtain or maintain adequate coverage and reimbursement for any of our product candidates, if approved, could limit our ability to market those products and decrease our ability to generate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“Business – Government Regulation – Coverage and Reimbursement” in our Annual Report on Form 10-K for the year ended December 31,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and obtain regulatory approval for such candidates, our ability to successfully commercialize our product candidates or any other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is significant uncertainty related to the insurance coverage and reimbursement of newly approved products. In the United States, the principal decisions about reimbursement for new medicines are typically made by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Should we resume development of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Due to the novel nature of our technology and the potential for our product candidates to offer therapeutic benefit in a single administration, we face uncertainty related to pricing and reimbursement for these product candidates should we resume their development.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 Moreover, if approved for marketing, because our product candidates are designed to provide their intended therapeutic benefit from a single administration, treatment with our product candidates may result in a decrease in the available pool of target patients.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Healthcare legislative reform measures and constraints on national budget social security systems may have a material adverse effect on our business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See Section entitled “Business – Government Regulation – Healthcare Reform” in our Annual Report on Form 10-K for the year ended December 31,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the continuing efforts of the government, insurance companies, managed care organizations and other payers of healthcare services to contain or reduce costs of healthcare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demand for any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to set a price that we believe is fair for any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generate revenues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of capital.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Legislative and regulatory proposals have been made to expand post-approval requirements and restrict sales and promotional activities for pharmaceutical and biologic products. We cannot be sure whether additional legislative changes will be enacted, or whether existing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Should we resume development of our product candidates, the implementation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 containment measures or other healthcare reforms may prevent us from being able to generate revenue, attain profitability or commercialize our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or any other public health crisis and may experience delays in their regulatory activities. If a prolonged government shutdown occurs, it could significantly impact the ability of the FDA to timely review and process our regulatory submissions, should we resume development of our product candidates, which could have a material adverse effect on our business. Further, future shutdowns of other government agencies, such as the SEC, may also impact our business through review of our public filings and our ability to access the public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Given the nature of biologics manufacturing, there is a risk of contamination in our manufacturing processes. Should we resume development of our product candidates, any contamination could materially adversely affect our ability to produce product candidates on schedule and could, therefore, harm our results of operations and cause reputational damage.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should we resume development of our product candidates. For example, earlier gene therapy trials led to several well-publicized adverse events, including cases of leukemia, myelodysplastic syndromes and deaths seen in other trials using other vectors. Adverse events in our clinical studies or discovered in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long-term follow-up, even if not ultimately attributable to our product candidates (such as the many adverse events that typically arise from the conditioning process), or adverse events in other gene therapy trials, and the resulting publicity could result in a decline in our stock price, increased governmental regulation, unfavorable public perception and, should we resume development of our product candidates, potential regulatory delays in the testing or approval of our potential product candidates, stricter labeling requirements for those product candidates that are approved and a decrease in demand for any such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future success depends on our ability to retain key employees, consultants and advisors and to attract, retain and motivate qualified personnel.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Our former President and Chief Executive Officer, Geoff MacKay, resigned on May 1, 2023, and we have appointed our current Chief Financial Officer, Erik Ostrowski, as our interim President and Chief Executive Officer. In July 2023, in connection with the determination to halt further development of the Company’s programs and to conduct a comprehensive exploration of strategic alternatives, we paused our search for a permanent Chief Executive Officer. Accordingly, no assurance can be made as to when or if we will hire a permanent Chief Executive Officer. We do not maintain “key person” insurance policies on the lives of these individuals or the lives of any of our other employees. The loss of the services of one or more of our current executive or key employees might impede the achievement of our ongoing business commitments and strategic objectives.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Retaining other qualified employees, consultants and advisors for our business, including scientific and technical personnel, remains critical to our success. We implemented a reduction in force in January 2022 in connection with the deprioritization of our Fabry disease program, and through the first half of 2022 we continued to streamline employee headcount including senior management. In July 2023, in connection with the determination to halt further development of the Company’s programs and to conduct a comprehensive exploration of strategic alternatives, we implemented a reduction in force by approximately 50% across different areas. The Company’s remaining workforce was further reduced by 11 employees in a workforce reduction implemented effective as of October 31, 2023. Reductions in force, management changes and program reprioritizations can have an adverse impact on employee morale. While we believe our relations with our continuing employees to be good, there can be no assurance that we can avoid retention challenges for skilled personnel as the Company explores potential strategic alternatives. There is currently a shortage of skilled executives and other personnel in our industry, which is likely to continue. As a result, competition for skilled personnel, including in gene therapy research and vector manufacturing, is intense and the turnover rate can be high. We may not be able to retain personnel on acceptable terms given the competition among numerous pharmaceutical and biotechnology companies for individuals with similar skill sets. In addition, our ability to retain qualified personnel could be impacted by other factors, such as remote or hybrid working arrangements, which could impact employees’ productivity and morale. In addition, in recent months, the market price of our common stock has experienced significant downward pressure, resulting in “underwater” or “out-of-the-money” stock options for many of our employees, thereby limiting the desired retentive effect that our equity incentive program was intended to achieve. The inability to recruit, if necessary, or the loss of the services of any executive, key employee, skilled personnel, consultant or advisor may impede our business objectives. Furthermore, we may not realize, in full or in part, the anticipated benefits, savings and improvements in our cost structure from our workforce reductions and restructuring efforts due to unforeseen difficulties, delays or unexpected costs. If we are unable to realize the expected operational efficiencies and cost savings from the restructuring, our operating results and financial condition would be adversely affected. Our restructuring plan may also be disruptive to our operations, for example, our reductions in force could yield unanticipated consequences, such as increased difficulties in implementing our business strategy, including retention of our remaining employees, attrition beyond our reduction in force and employee litigation related to the reductions in force could be costly and prevent management from fully concentrating on the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we may need to expand or streamline our operations and we may experience difficulties in managing any such changes, which could disrupt our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may need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Conversely, headwinds in the overall economy and limited availability of suitable financing to meet our needs could constrain our ability to achieve our growth objectives, and could in turn lead to further reductions in force or scaling back of business operations, that could impact employee morale and adversely impact our ability to manage ongoing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and we are unable to manage expected growth in the scale and complexity of our operations, our performance may suffer.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will need to expand our managerial, operational, financial and other systems and resources to manage our operations, resume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conduct in the healthcare industry are subject to extensive laws and regulations intended to prevent fraud, misconduct, kickbacks, self-dealing and other abusive practices. These laws and 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should we resume development of our product candidates, that our non-U.S. activities would increase in time. Should we resume development of our product candidates, we would also expect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and may be increasingly subject if we obtain FDA approval for any of our product candidates, to various federal and state fraud and abuse laws and regulations, including, without limitation, the federal Health Care Program Anti-Kickback Statute, the federal civil and criminal False Claims Act and Physician Payments Sunshine Act and regulations. See Section entitled “Business -</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Government Regulation - Other Healthcare Laws and Compliance Requirements” in our Annual Report on Form 10-K for the year ended December 31,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laws will impact, among other things, our clinical trial programs, healthcare professional interactions, grant making activities, and our anticipated sales, marketing and medical educational programs. In addition, we may be subject to patient privacy laws by both the federal government and the states in which we conduct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personnel, sales or withdrawal of future marketed products could materially affect business in an adverse way.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European data collection is governed by restrictive regulations governing the use, processing and cross-border transfer of personal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we would expect to conduct clinical trials in the European Economic Area, or EEA, and the United Kingdom, or UK, and as a result would be subject to additional privacy restrictions. The collection, use, disclosure, transfer or other processing of personal health data in the EU and the UK is governed by the provisions of the GDPR (references to the GDPR include both the “EU GDPR” and “UK GDPR” unless specified otherwise).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 any clinical trials conducted in the EEA or the UK. Its definition of personal data includes coded data, requires changes to informed consent practices and detailed notices for clinical trial subjects and investigators. In addition, the GDPR imposes strict rules on the transfer of personal data out of the EEA or the UK, including to the United States (see below). The GDPR also permits data protection authorities to require destruction of improperly gathered or used personal data and/or impose substantial fines for violations of the GDPR, which can be up to four percent of global revenues or 20 million Euros (£ 17.5 million for the UK),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EEA member states or the UK may make their own further laws and regulations limiting the processing of personal data, including genetic, biometric, or health data.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GDPR prohibits cross-border data transfers of personal data to countries outside the EEA or the UK that are not considered by the European Commission and UK government as providing “adequate” protection to personal data, or third countries, including the United States in certain circumstances, unless a valid GDPR transfer mechanism (for example, the European Commission approved Standard Contractual Clauses, or the SCCs, and the UK International Data Transfer Agreement/Addendum, or the UK IDTA) has been put in place. Where relying on the SCCs/UK IDTA for data transfers, we may also be required to carry out transfer impact assessments to assess whether the recipient is subject to local laws which allow public authority access to personal data.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yet to adopt and implement comprehensive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our facing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Although the UK is regarded as a third country under the EU GDPR, the EC has issued an adequacy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EU remain free flowing.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Given the breadth and depth of its obligations, complying with the GDPR’s requirements is rigorous and time intensive and requires significant resources and assessment of our technologies, systems and practices, as well as those of any third-party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service providers, contractors, or consultants that process or transfer personal data collected in the EEA or the UK. Compliance with the GDPR will be a rigorous and time-intensive process that may increase our cost of doing business and require us to change our business practices, and despite those efforts, there is a risk that we may be subject to fines and penalties, litigation, and reputational harm in connection with European activities.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use of our product candidates including in clinical studies and, should we resume the development of our product candidates, the future sale of any products for which we may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impairment of our business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withdrawal of clinical study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due to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distraction of management’s attention from our primary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substantial monetary awards to patients or other claimants;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inability to commercialize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decreased demand for our product candidates, if approved for commercial sale.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carry master product liability insurance of $5.0 million per occurrence and $5.0 million in the aggregate in the United States. For studies conducted in certain countries outside the United States,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we resume development of our product candidates and thereafter obtain marketing approval for product candidates, we expect that we would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might not be able to utilize a significant portion of our net operating loss carryforwards and research and development tax credit carryforwards.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December 31, 2022 and 2021, we had federal and state net operating loss carryforwards of $340.4 million and $313.0 million, respectively, and federal research and development tax credit carryforwards of approximately $6.8 million and $6.2 million, respectively. If not utilized, the net operating loss carryforwards and research and development credits will generally expire at various 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third-party claims of intellectual property infringement may prevent or delay our development and commercialization efforts.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parties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manufacturing process or any final product itself, the holders of any such patents may be able to block our ability to commercialize such product candidate unless we obtained a license under the applicable patents, or until such patents expire.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rights to develop and commercialize our product candidates, should we resume development of our product candidates, are subject, in part, to the terms and conditions of licenses granted to us by others.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or UHN, (relevant to AVR-RD-01 and our Fabry program, which we deprioritized in January 2022) and affiliates of Lund University (relevant to AVR-RD-02 and our Gaucher type 1 and type 3 programs). On October 3, 2023, we provided UHN with a notice of termination with respect to the Fabry license agreement, specifying an effective termination date of January 4, 2024. In addition, we have in-licensed patents and patent applications from BioMarin Pharmaceutical Inc., or BioMarin, (relevant to AVR-RD-03 and our Pompe program) directed to compositions and methods related to the manufacture and use of AVR-RD-03. We also previously had in place in-licensed patent applications from The University of Manchester relevant to AVR-RD-05 and our Hunter program, which license agreement was terminated as of September 8, 2023. Any termination of our remaining licenses could result in the loss of significant rights and could harm or prevent our ability to commercialize our product candidates, should we resume development of such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Each of our licenses with affiliates of Lund University and BioMarin are exclusive but are limited to particular fields, such as Gaucher disease type 1,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Should we resume development of our product candidates and we are unsuccessful in protecting our intellectual property rights, sales of our products may suffer and our ability to generate revenue could be severely impacted.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licensors and we have sought, and we intend to continue to seek to protect our proprietary position by filing patent applications in the United States and, in at least some cases, one or more countries outside the United States related to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product candidates, should we resume development of our product candidates. While we have in-licensed patents and patent applications relevant to AVR-RD-03, we currently have no owned or in-licensed patents or patent applications covering AVR-RD-01 or AVR-RD-02. Some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Should we resume development of our product candidates, we may not be able to protect our intellectual property rights throughout the world.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We may not be able to protect our trade secrets in court.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parties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the patents and other intellectual property that we own or license.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such as exclusive ownership of, or right to use, intellectual property, which could adversely impact our business, results of operations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we resume development of our product candidates and we do not obtain patent term extension and data exclusivity for our product candidates, our business may be materially harmed.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registered the marks “AVROBIO” and “plato” with the USPTO and in certain other countries, but we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rights and regulatory exclusivity rights do not necessarily address all potential threats.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should we resume development of our product candidates.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may be able to make gene therapy products that are similar to our product candidates but that are not covered by the claims of the patents that we license or may 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our license partners or current or future collaborators, might not have been the first to make the inventions covered by the issued patents or pending patent applications that we license or may 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our license partners or current or future collaborators, might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may independently develop similar or alternative technologies or duplicate any of our technologies without infringing our owned or licensed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it is possible that our pending licensed patent applications or those that we may own or license in the future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issued patents that we hold rights to or may hold rights to in the future may be held invalid or unenforceable, including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one or more of our product candidates may never be protected by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patents of others may have an adverse effect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choose not to file a patent application for certain trade secrets or know-how, and a third party may subsequently file a patent application or obtain a patent covering such intellectual property.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Should any of these events occur, they could significantly harm our business, financial condition,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market price of our common stock may be highly volatile, and you may not be able to resell your shares at or above the price at which you purchased our shares.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stock price is likely to be volatile. Since our initial public offering, or IPO, in June 2018, through November 2, 2023, the trading price of our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outcome of our exploration of strategic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results or delays in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reports of adverse events in other gene therapy products or clinical studies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inability to obtain additional funding;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by us to successfully develop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by us to maintain our existing strategic collaborations or enter into new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by us or our licensors and strategic partners to prosecute, maintain or enforce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laws or regulations applicable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inability to obtain adequate product supply for our product candidates or the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regulatory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introduction of new products, services or technologies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by us to meet or exceed financial projections we may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by us to meet or exceed the financial projections of the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perception of the pharmaceutical industry by the public, legislatures, regulators and the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announcements of significant acquisitions, strategic partnerships, joint ventures or capital commitments by us, our strategic partners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additions or departures of key scientific or management personnel, or other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of our common stock by us or our stockholders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trading volume of our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Prior to our IPO in June 2018, there had been no public market for our common stock. Although our common stock is listed on Nasdaq, an active trading market for our shares may never be sustained. If an active market for our common stock is not sustained, it may be difficult for you to sell shares you purchased without depressing the market price for the shares, or at all.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inactive trading market may also impair our ability to raise capital to continue to fund operations by selling additional shares and may impair our ability to acquire other companies or technologies by using our shares as consideration.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including during such time period that we pursue potential strategic alternatives,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Concentration of ownership of our common stock among our existing executive officers, directors and principal stockholders may prevent new investors from influencing significant corporate decisions.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shares outstanding as of November 2, 2023, our executive officers, directors, five percent stockholders and their affiliates beneficially owned approximately 42%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stockholders may accumulate or acquire significant positions in our common stock and may similarly be able to influence our business or matters submitted to our stockholders for approval.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an “emerging growth company,” and the reduced disclosure requirements applicable to emerging growth companies may make our common stock less attractive to investors.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an “emerging growth company,” or EGC, as defined in the JOBS Act. We will remain an EGC until the earliest of: (i) the last day of the fiscal year in which we have total annual gross revenues of $1.235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being required to comply with the auditor attestation requirements of Section 404 of the Sarbanes-Oxley Act, or Section 404;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reduced disclosure obligations regarding executive compensation;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exemption from the requirement to seek nonbinding advisory votes on executive compensation or golden parachute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choose to take advantage of some, but not all, of the available exemptions. We have taken advantage of reduced reporting burdens in this Quarterly Report, or our Annual Report or 2023 Proxy Statement. In particular, we have not included in this Quarterly Report, and did not include in our 2023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expect to continue to incur increased costs as a result of operating as a public company, and our management is required to devote substantial time to new compliance initiatives.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continue our efforts to improve our control processes, though there can be no assurance that our efforts will ultimately be successful or avoid potential material weaknesses, and we expect to continue incurring additional costs as a result of these efforts. If we are unable to successfully remediate any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create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specify that special meetings of our stockholders can be called only by our board of directors, the chairperson of our board of directors, our chief executive officer or our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provide that our directors may be removed only for cause;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expressly authorize our board of directors to modify, alter or repeal our 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supermajority votes of the holders of our common stock to amend specified provisions of our amended and restated certificate of incorporation and amended and restated by-laws.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provisions, alone or together, could delay or prevent hostile takeovers and changes in control or changes in our management.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bylaws contain exclusive forum provisions, which may limit a stockholder’s ability to bring a claim in a judicial forum it finds favorable and may discourage lawsuits with respect to such claims.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fail to satisfy the continued listing requirements of Nasdaq, such as the corporate governance requirements or the requirement to maintain a minimum bid price of $1.00 per share pursuant to Nasdaq Listing Rule 5450(a)(1), or the Minimum Bid Price Requirement, Nasdaq may take steps to delist our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4, 2022, we received a written notice from the staff, or the Staff, of Nasdaq’s Listing Qualifications Department, notifying us that, for the 30 consecutive business day period between August 22, 2022 through October 3, 2022, our common stock had not complied with the Minimum Bid Price Requirement. On February 23, 2023, we received a written notice from the Staff notifying us that for 10 consecutive business days, from February 8, 2023 to February 22, 2023, the closing bid price of our common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stock was at $1.00 per share or greater, and accordingly, the Staff advised us that we had regained compliance with the Minimum Bid Price Requirement.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May 11, 2023, we received a written notice from the Staff notifying us that, for the 30 consecutive business day period between March 29, 2023 through May 10, 2023, our common stock had not complied with the Minimum Bid Price Requirement. On June 12, 2023, we received a written notice from the Staff notifying us that for 14 consecutive business days, from May 22, 2023 to June 9, 2023, the closing bid price of our common stock was at $1.00 per share or greater, and accordingly, the Staff advised us that we had regained compliance with the Minimum Bid Price Requirement.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While we have regained compliance with the Minimum Bid Price Requirement as of the date of this Quarterly Report, we can provide no assurance that we will continue to remain in compliance with the Minimum Bid Price Requirement. If we are unable to maintain compliance with any of Nasdaq’s continued listing requirements in the future, we may be subject to delisting. At that time, we may appeal the Staff’s delisting determination to a Nasdaq Hearing Panel. There can be no assurance that, if we receive a delisting notice and appeal the delisting determination by the Staff to the Nasdaq Hearing Panel, such appeal would be successful.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Such a delisting would likely have a negative effect on the price of our common stock and would impair your ability to sell or purchase our common stock when you wish to do so. Any such delisting could also adversely impact our ability to raise additional capital or enter into strategic transactions. Additionally, if our common stock is not listed on, or becomes delisted from, Nasdaq for any reason, trading our common stock could be conducted only in the over-the-counter, or OTC, market or on an electronic bulletin board established for unlisted securities such as the OTC Bulletin Board, an inter-dealer automated quotation system for equity securities that is not a national securities exchange, and the liquidity and price of our common stock may be more limited than if we were quoted or listed on Nasdaq or another national securities exchange. In such circumstances, you may be unable to sell your common stock unless a market can be established or sustained.</w:t>
        <w:br/>
        <w:br/>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or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and the evolving events in Israel and the Gaza Strip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Russia, Israel or the Gaza Strip, we do not know the extent to which continuing and evolving conflicts in such regions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internal computer systems, or those of our collaborators or other contractors or consultants, may fail or suffer security breaches, which could result in a material disruption of our business operations or, if we resume development of our product candidates, our product development programs.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business operations or, if we resume development of our product candidates, our product development programs,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should we resume development of our product candidates. To the extent that any disruption or security breach were to result in a loss of, or damage to, our data or applications, or inappropriate disclosure of confidential or proprietary information, we could incur liability, our competitive position could be harmed and the development and commercialization of our product candidates, should we resume their development, could be delayed.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9"/>
        <w:gridCol w:w="146"/>
        <w:gridCol w:w="9280"/>
      </w:tblGrid>
      <w:tr>
        <w:trPr/>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0" w:type="dxa"/>
            <w:tcBorders/>
            <w:vAlign w:val="center"/>
          </w:tcPr>
          <w:p>
            <w:pPr>
              <w:pStyle w:val="TableContents"/>
              <w:bidi w:val="0"/>
              <w:spacing w:before="0" w:after="283"/>
              <w:jc w:val="left"/>
              <w:rPr>
                <w:sz w:val="4"/>
                <w:szCs w:val="4"/>
              </w:rPr>
            </w:pPr>
            <w:r>
              <w:rPr>
                <w:sz w:val="4"/>
                <w:szCs w:val="4"/>
              </w:rPr>
            </w:r>
          </w:p>
        </w:tc>
      </w:tr>
      <w:tr>
        <w:trPr/>
        <w:tc>
          <w:tcPr>
            <w:tcW w:w="77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8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Fourth Amended and Restated Certificate of Incorporation of the Registrant (filed as Exhibit 3.1 to our Current Report on Form 8-K filed on J</w:t>
              </w:r>
            </w:hyperlink>
            <w:hyperlink r:id="rId3">
              <w:r>
                <w:rPr>
                  <w:rStyle w:val="InternetLink"/>
                  <w:rFonts w:ascii="Times New Roman" w:hAnsi="Times New Roman"/>
                  <w:b w:val="false"/>
                  <w:color w:val="0000FF"/>
                  <w:sz w:val="24"/>
                  <w:u w:val="single"/>
                </w:rPr>
                <w:t>une</w:t>
              </w:r>
            </w:hyperlink>
            <w:hyperlink r:id="rId4">
              <w:r>
                <w:rPr>
                  <w:rStyle w:val="InternetLink"/>
                  <w:rFonts w:ascii="Times New Roman" w:hAnsi="Times New Roman"/>
                  <w:color w:val="0000FF"/>
                  <w:sz w:val="24"/>
                  <w:u w:val="single"/>
                </w:rPr>
                <w:t xml:space="preserve"> </w:t>
              </w:r>
            </w:hyperlink>
            <w:hyperlink r:id="rId5">
              <w:r>
                <w:rPr>
                  <w:rStyle w:val="InternetLink"/>
                  <w:rFonts w:ascii="Times New Roman" w:hAnsi="Times New Roman"/>
                  <w:b w:val="false"/>
                  <w:color w:val="0000FF"/>
                  <w:sz w:val="20"/>
                  <w:u w:val="single"/>
                </w:rPr>
                <w:t>25, 2018 (File No. 001-38537) and incorporated herein by reference).</w:t>
              </w:r>
            </w:hyperlink>
            <w:hyperlink r:id="rId6">
              <w:r>
                <w:rPr>
                  <w:rStyle w:val="InternetLink"/>
                  <w:rFonts w:ascii="Times New Roman" w:hAnsi="Times New Roman"/>
                  <w:color w:val="0000FF"/>
                  <w:sz w:val="24"/>
                </w:rPr>
                <w:t xml:space="preserve"> </w:t>
              </w:r>
            </w:hyperlink>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Certificate of Change of Registered Agent and/or Registered Office of the Registrant (filed as Exhibit 3.2 to our Quarterly Report on Form 10-Q filed on November 5, 2020 (File No. 001-38537) and incorporated herein by reference).</w:t>
              </w:r>
            </w:hyperlink>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3.3</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hyperlink r:id="rId8">
              <w:r>
                <w:rPr>
                  <w:rStyle w:val="InternetLink"/>
                  <w:rFonts w:ascii="Times New Roman" w:hAnsi="Times New Roman"/>
                  <w:b w:val="false"/>
                  <w:color w:val="0000FF"/>
                  <w:sz w:val="20"/>
                  <w:u w:val="single"/>
                </w:rPr>
                <w:t>Amended and Restated By-laws of the Registrant (filed as Exhibit 3.2 to our Current Report on Form 8-K filed on June 25, 2018 (File No. 001-38537) and incorporated herein by reference).</w:t>
              </w:r>
            </w:hyperlink>
            <w:hyperlink r:id="rId9">
              <w:r>
                <w:rPr>
                  <w:rStyle w:val="InternetLink"/>
                  <w:rFonts w:ascii="Times New Roman" w:hAnsi="Times New Roman"/>
                  <w:color w:val="0000FF"/>
                  <w:sz w:val="20"/>
                </w:rPr>
                <w:t xml:space="preserve"> </w:t>
              </w:r>
            </w:hyperlink>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hyperlink w:anchor="avro-ex31_1.htm">
              <w:r>
                <w:rPr>
                  <w:rStyle w:val="InternetLink"/>
                  <w:rFonts w:ascii="Times New Roman" w:hAnsi="Times New Roman"/>
                  <w:b w:val="false"/>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hyperlink w:anchor="avro-ex31_1.htm">
              <w:r>
                <w:rPr>
                  <w:rStyle w:val="InternetLink"/>
                  <w:rFonts w:ascii="Times New Roman" w:hAnsi="Times New Roman"/>
                  <w:color w:val="0000FF"/>
                  <w:sz w:val="20"/>
                </w:rPr>
                <w:t xml:space="preserve"> </w:t>
              </w:r>
            </w:hyperlink>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hyperlink w:anchor="avro-ex32_1.htm">
              <w:r>
                <w:rPr>
                  <w:rStyle w:val="InternetLink"/>
                  <w:rFonts w:ascii="Times New Roman" w:hAnsi="Times New Roman"/>
                  <w:b w:val="false"/>
                  <w:color w:val="0000FF"/>
                  <w:sz w:val="20"/>
                  <w:u w:val="single"/>
                </w:rPr>
                <w:t>Certification of Principal Executive Officer and Principal Financial Officer Pursuant to 18 U.S.C. Section 1350, as Adopted Pursuant to Section 906 of the Sarbanes-Oxley Act of 2002.</w:t>
              </w:r>
            </w:hyperlink>
            <w:hyperlink w:anchor="avro-ex32_1.htm">
              <w:r>
                <w:rPr>
                  <w:rStyle w:val="InternetLink"/>
                  <w:rFonts w:ascii="Times New Roman" w:hAnsi="Times New Roman"/>
                  <w:color w:val="0000FF"/>
                  <w:sz w:val="20"/>
                </w:rPr>
                <w:t xml:space="preserve"> </w:t>
              </w:r>
            </w:hyperlink>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Interactive Data Files pursuant to Rule 405 of Regulation S-T formatted in Inline Extensible Business Reporting Language (“Inline XBRL”).</w:t>
            </w:r>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2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with applicable taxonomy extension information contained in Exhibits 101.*).</w:t>
            </w:r>
          </w:p>
        </w:tc>
      </w:tr>
    </w:tbl>
    <w:p>
      <w:pPr>
        <w:pStyle w:val="TextBody"/>
        <w:pBdr>
          <w:bottom w:val="single" w:sz="6" w:space="1" w:color="000000"/>
        </w:pBdr>
        <w:bidi w:val="0"/>
        <w:spacing w:before="0" w:after="6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 Indicates the exhibit is being furnished, not filed, with this report.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9674" w:type="dxa"/>
        <w:jc w:val="left"/>
        <w:tblInd w:w="0" w:type="dxa"/>
        <w:tblLayout w:type="fixed"/>
        <w:tblCellMar>
          <w:top w:w="28" w:type="dxa"/>
          <w:left w:w="28" w:type="dxa"/>
          <w:bottom w:w="28" w:type="dxa"/>
          <w:right w:w="28" w:type="dxa"/>
        </w:tblCellMar>
      </w:tblPr>
      <w:tblGrid>
        <w:gridCol w:w="2101"/>
        <w:gridCol w:w="406"/>
        <w:gridCol w:w="146"/>
        <w:gridCol w:w="702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7573"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AVROBIO, INC.</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Erik Ostrowski</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Erik Ostrowski</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Interim Chief Executive Officer, Chief Financial Officer and Treasurer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avro-ex31_1.htm"/>
      <w:bookmarkStart w:id="23" w:name="ksavro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Erik Ostrowski,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AVROBIO,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9674" w:type="dxa"/>
        <w:jc w:val="left"/>
        <w:tblInd w:w="0" w:type="dxa"/>
        <w:tblLayout w:type="fixed"/>
        <w:tblCellMar>
          <w:top w:w="28" w:type="dxa"/>
          <w:left w:w="28" w:type="dxa"/>
          <w:bottom w:w="28" w:type="dxa"/>
          <w:right w:w="28" w:type="dxa"/>
        </w:tblCellMar>
      </w:tblPr>
      <w:tblGrid>
        <w:gridCol w:w="2101"/>
        <w:gridCol w:w="406"/>
        <w:gridCol w:w="146"/>
        <w:gridCol w:w="702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shd w:fill="FFFFFF" w:val="clear"/>
            <w:vAlign w:val="center"/>
          </w:tcPr>
          <w:p>
            <w:pPr>
              <w:pStyle w:val="TableContents"/>
              <w:bidi w:val="0"/>
              <w:spacing w:before="0" w:after="283"/>
              <w:jc w:val="left"/>
              <w:rPr/>
            </w:pPr>
            <w:r>
              <w:rPr/>
              <w:t> </w:t>
            </w:r>
          </w:p>
        </w:tc>
        <w:tc>
          <w:tcPr>
            <w:tcW w:w="7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Erik Ostrowski</w:t>
            </w:r>
          </w:p>
        </w:tc>
      </w:tr>
      <w:tr>
        <w:trPr/>
        <w:tc>
          <w:tcPr>
            <w:tcW w:w="2101" w:type="dxa"/>
            <w:tcBorders/>
            <w:shd w:fill="FFFFFF" w:val="clear"/>
            <w:vAlign w:val="center"/>
          </w:tcPr>
          <w:p>
            <w:pPr>
              <w:pStyle w:val="TableContents"/>
              <w:bidi w:val="0"/>
              <w:spacing w:before="40" w:after="283"/>
              <w:jc w:val="left"/>
              <w:rPr/>
            </w:pPr>
            <w:r>
              <w:rPr/>
              <w:t> </w:t>
            </w:r>
          </w:p>
        </w:tc>
        <w:tc>
          <w:tcPr>
            <w:tcW w:w="406" w:type="dxa"/>
            <w:tcBorders/>
            <w:shd w:fill="FFFFFF" w:val="clear"/>
            <w:vAlign w:val="center"/>
          </w:tcPr>
          <w:p>
            <w:pPr>
              <w:pStyle w:val="TableContents"/>
              <w:bidi w:val="0"/>
              <w:spacing w:before="40" w:after="283"/>
              <w:jc w:val="left"/>
              <w:rPr/>
            </w:pPr>
            <w:r>
              <w:rPr/>
              <w:t> </w:t>
            </w:r>
          </w:p>
        </w:tc>
        <w:tc>
          <w:tcPr>
            <w:tcW w:w="146" w:type="dxa"/>
            <w:tcBorders/>
            <w:shd w:fill="FFFFFF" w:val="clear"/>
            <w:vAlign w:val="center"/>
          </w:tcPr>
          <w:p>
            <w:pPr>
              <w:pStyle w:val="TableContents"/>
              <w:bidi w:val="0"/>
              <w:spacing w:before="40" w:after="283"/>
              <w:jc w:val="left"/>
              <w:rPr/>
            </w:pPr>
            <w:r>
              <w:rPr/>
              <w:t> </w:t>
            </w:r>
          </w:p>
        </w:tc>
        <w:tc>
          <w:tcPr>
            <w:tcW w:w="7021" w:type="dxa"/>
            <w:tcBorders/>
            <w:shd w:fill="FFFFFF" w:val="cle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Erik Ostrowski</w:t>
            </w:r>
          </w:p>
        </w:tc>
      </w:tr>
      <w:tr>
        <w:trPr/>
        <w:tc>
          <w:tcPr>
            <w:tcW w:w="2101" w:type="dxa"/>
            <w:tcBorders/>
            <w:shd w:fill="FFFFFF" w:val="clear"/>
            <w:vAlign w:val="center"/>
          </w:tcPr>
          <w:p>
            <w:pPr>
              <w:pStyle w:val="TableContents"/>
              <w:bidi w:val="0"/>
              <w:spacing w:before="0" w:after="283"/>
              <w:jc w:val="center"/>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1" w:type="dxa"/>
            <w:tcBorders/>
            <w:shd w:fill="FFFFFF" w:val="cle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Interim Chief Executive Officer, Chief Financial Officer and Treasurer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avro-ex32_1.htm"/>
      <w:bookmarkStart w:id="25" w:name="ksavroex32_1"/>
      <w:bookmarkEnd w:id="24"/>
      <w:bookmarkEnd w:id="2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AVROBIO, Inc. (the “Company”) on Form 10-Q for the period ending September 30, 2023 as filed with the Securities and Exchange Commission on the date hereof (the “Report”), the undersigned officer of the Company certifies, pursuant to 18 U.S.C. § 1350, as adopted pursuant to § 906 of the Sarbanes-Oxley Act of 2002, to the best of his knowledge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9674" w:type="dxa"/>
        <w:jc w:val="left"/>
        <w:tblInd w:w="0" w:type="dxa"/>
        <w:tblLayout w:type="fixed"/>
        <w:tblCellMar>
          <w:top w:w="28" w:type="dxa"/>
          <w:left w:w="28" w:type="dxa"/>
          <w:bottom w:w="28" w:type="dxa"/>
          <w:right w:w="28" w:type="dxa"/>
        </w:tblCellMar>
      </w:tblPr>
      <w:tblGrid>
        <w:gridCol w:w="2101"/>
        <w:gridCol w:w="406"/>
        <w:gridCol w:w="146"/>
        <w:gridCol w:w="702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Erik Ostrowski</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Erik Ostrowski</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Interim Chief Executive Officer, Chief Financial Officer and Treasurer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Financial, and Accounting Officer)</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7167" w:type="dxa"/>
            <w:gridSpan w:val="2"/>
            <w:tcBorders/>
            <w:vAlign w:val="center"/>
          </w:tcPr>
          <w:p>
            <w:pPr>
              <w:pStyle w:val="TableContents"/>
              <w:bidi w:val="0"/>
              <w:spacing w:before="0" w:after="283"/>
              <w:jc w:val="center"/>
              <w:rPr/>
            </w:pPr>
            <w:r>
              <w:rPr/>
              <w:t> </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1087/000119312518202460/d153924dex31.htm" TargetMode="External"/><Relationship Id="rId3" Type="http://schemas.openxmlformats.org/officeDocument/2006/relationships/hyperlink" Target="https://www.sec.gov/Archives/edgar/data/1681087/000119312518202460/d153924dex31.htm" TargetMode="External"/><Relationship Id="rId4" Type="http://schemas.openxmlformats.org/officeDocument/2006/relationships/hyperlink" Target="https://www.sec.gov/Archives/edgar/data/1681087/000119312518202460/d153924dex31.htm" TargetMode="External"/><Relationship Id="rId5" Type="http://schemas.openxmlformats.org/officeDocument/2006/relationships/hyperlink" Target="https://www.sec.gov/Archives/edgar/data/1681087/000119312518202460/d153924dex31.htm" TargetMode="External"/><Relationship Id="rId6" Type="http://schemas.openxmlformats.org/officeDocument/2006/relationships/hyperlink" Target="https://www.sec.gov/Archives/edgar/data/1681087/000119312518202460/d153924dex31.htm" TargetMode="External"/><Relationship Id="rId7" Type="http://schemas.openxmlformats.org/officeDocument/2006/relationships/hyperlink" Target="https://www.sec.gov/Archives/edgar/data/1681087/000156459020051456/avro-ex32_90.htm" TargetMode="External"/><Relationship Id="rId8" Type="http://schemas.openxmlformats.org/officeDocument/2006/relationships/hyperlink" Target="https://www.sec.gov/Archives/edgar/data/1681087/000119312518202460/d153924dex32.htm" TargetMode="External"/><Relationship Id="rId9" Type="http://schemas.openxmlformats.org/officeDocument/2006/relationships/hyperlink" Target="https://www.sec.gov/Archives/edgar/data/1681087/000119312518202460/d153924dex3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61265</Words>
  <Characters>340965</Characters>
  <CharactersWithSpaces>402260</CharactersWithSpaces>
  <Paragraphs>4864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